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MOSA Conformance Plan</w:t>
      </w:r>
    </w:p>
    <w:p>
      <w:pPr>
        <w:spacing w:before="160"/>
        <w:jc w:val="center"/>
      </w:pPr>
      <w:r>
        <w:rPr>
          <w:sz w:val="22"/>
        </w:rPr>
        <w:t>February 28, 2026</w:t>
      </w:r>
    </w:p>
    <w:p>
      <w:r>
        <w:br w:type="page"/>
      </w:r>
    </w:p>
    <w:p>
      <w:pPr>
        <w:pStyle w:val="Heading1"/>
        <w:spacing w:before="0" w:after="160"/>
      </w:pPr>
      <w:r>
        <w:t>1. MOSA Objectives</w:t>
      </w:r>
    </w:p>
    <w:p>
      <w:r>
        <w:t>Title 10 U.S. Code § 4401 defines a Modular Open Systems Approach (MOSA) as an integrated business and technical strategy that: employs a modular design using modular system interfaces; subjects those interfaces to verification; uses an architecture that allows severability; and complies with technical data rights guidance per 10 U.S.C. § 2320. The five MOSA Principles from the OSD Program Manager's Guide to Open Systems (v2.0) are:</w:t>
      </w:r>
    </w:p>
    <w:p>
      <w:pPr>
        <w:pStyle w:val="ListBullet"/>
      </w:pPr>
      <w:r>
        <w:t>Establish an Enabling Environment – Governance, working groups, and shared architecture frameworks (e.g., PEO AVN Enterprise Architecture Framework) that sustain MOSA across the enterprise.</w:t>
      </w:r>
    </w:p>
    <w:p>
      <w:pPr>
        <w:pStyle w:val="ListBullet"/>
      </w:pPr>
      <w:r>
        <w:t>Employ Modular Design – Cohesive, encapsulated, self-contained, and highly-bound modules with clearly delineated functional boundaries (MSCs/MSPs/MSIs per EAF).</w:t>
      </w:r>
    </w:p>
    <w:p>
      <w:pPr>
        <w:pStyle w:val="ListBullet"/>
      </w:pPr>
      <w:r>
        <w:t>Designate Key Interfaces – Identify, document, and control Modular System Interfaces (MSIs) that are candidates for open-standards compliance and Government ownership.</w:t>
      </w:r>
    </w:p>
    <w:p>
      <w:pPr>
        <w:pStyle w:val="ListBullet"/>
      </w:pPr>
      <w:r>
        <w:t>Select Open Standards – Choose consensus-based, widely supported standards (FACE, CMOSS/AMCE, SOSA, VICTORY, etc.) to prevent lock-in and enable competitive re-sourcing.</w:t>
      </w:r>
    </w:p>
    <w:p>
      <w:pPr>
        <w:pStyle w:val="ListBullet"/>
      </w:pPr>
      <w:r>
        <w:t>Certify Conformance – Verify and certify that delivered components comply with the designated interface standards and the program’s tailored MOSA at each lifecycle milestone.</w:t>
      </w:r>
    </w:p>
    <w:p>
      <w:pPr>
        <w:pStyle w:val="Heading2"/>
        <w:spacing w:before="240" w:after="120"/>
      </w:pPr>
      <w:r>
        <w:t>1.1 PEO AVN MOSA Objectives for This Program</w:t>
      </w:r>
    </w:p>
    <w:p>
      <w:r>
        <w:t>The Test Program program applies MOSA in pursuit of the following PEO Aviation enterprise objectives:</w:t>
      </w:r>
    </w:p>
    <w:p>
      <w:pPr>
        <w:pStyle w:val="ListBullet"/>
      </w:pPr>
      <w:r>
        <w:t>Improved Lifecycle Affordability – Reduce total ownership cost through competitive module re-sourcing and elimination of duplicative development across the PEO portfolio.</w:t>
      </w:r>
    </w:p>
    <w:p>
      <w:pPr>
        <w:pStyle w:val="ListBullet"/>
      </w:pPr>
      <w:r>
        <w:t>Increased Readiness – Enable faster, lower-risk upgrades and component replacements that minimize system downtime and sustainment complexity.</w:t>
      </w:r>
    </w:p>
    <w:p>
      <w:pPr>
        <w:pStyle w:val="ListBullet"/>
      </w:pPr>
      <w:r>
        <w:t>Enhanced Capabilities – Support rapid technology insertion by preserving open interface standards that allow new capabilities to be integrated with minimal redesign.</w:t>
      </w:r>
    </w:p>
    <w:p>
      <w:pPr>
        <w:pStyle w:val="ListBullet"/>
      </w:pPr>
      <w:r>
        <w:t>Reduced Schedule Pressure – Enable parallel module development and independent module acceptance testing, compressing integration timelines.</w:t>
      </w:r>
    </w:p>
    <w:p>
      <w:pPr>
        <w:pStyle w:val="ListBullet"/>
      </w:pPr>
      <w:r>
        <w:t>Reduced Supply Chain Risk – Eliminate single-source dependencies through open-standard interfaces and Government-owned technical data packages.</w:t>
      </w:r>
    </w:p>
    <w:p>
      <w:pPr>
        <w:pStyle w:val="Heading2"/>
        <w:spacing w:before="240" w:after="120"/>
      </w:pPr>
      <w:r>
        <w:t>1.2 Program-Specific MOSA Objectives</w:t>
      </w:r>
    </w:p>
    <w:p>
      <w:pPr>
        <w:pStyle w:val="ListBullet"/>
      </w:pPr>
      <w:r>
        <w:t>they just do idk</w:t>
      </w:r>
    </w:p>
    <w:p>
      <w:pPr>
        <w:pStyle w:val="Heading2"/>
        <w:spacing w:before="240" w:after="120"/>
      </w:pPr>
      <w:r>
        <w:t>1.3 Title 10 Compliance Intent</w:t>
      </w:r>
    </w:p>
    <w:p>
      <w:r>
        <w:t>The following requirements from 10 U.S.C. § 4401 and the FY17/FY21 NDAAs are addressed by this Conformance Plan:</w:t>
      </w:r>
    </w:p>
    <w:tbl>
      <w:tblPr>
        <w:tblStyle w:val="TableGrid"/>
        <w:tblW w:type="auto" w:w="0"/>
        <w:tblLook w:firstColumn="1" w:firstRow="1" w:lastColumn="0" w:lastRow="0" w:noHBand="0" w:noVBand="1" w:val="04A0"/>
      </w:tblPr>
      <w:tblGrid>
        <w:gridCol w:w="4320"/>
        <w:gridCol w:w="4320"/>
      </w:tblGrid>
      <w:tr>
        <w:tc>
          <w:tcPr>
            <w:tcW w:type="dxa" w:w="3456"/>
            <w:shd w:val="clear" w:color="auto" w:fill="D9E1F2"/>
          </w:tcPr>
          <w:p>
            <w:r>
              <w:rPr>
                <w:b/>
                <w:sz w:val="20"/>
              </w:rPr>
              <w:t>10 U.S.C. § 4401 Requirement</w:t>
            </w:r>
          </w:p>
        </w:tc>
        <w:tc>
          <w:tcPr>
            <w:tcW w:type="dxa" w:w="5184"/>
            <w:shd w:val="clear" w:color="auto" w:fill="D9E1F2"/>
          </w:tcPr>
          <w:p>
            <w:r>
              <w:rPr>
                <w:b/>
                <w:sz w:val="20"/>
              </w:rPr>
              <w:t>How This Plan Addresses It</w:t>
            </w:r>
          </w:p>
        </w:tc>
      </w:tr>
      <w:tr>
        <w:tc>
          <w:tcPr>
            <w:tcW w:type="dxa" w:w="3456"/>
          </w:tcPr>
          <w:p>
            <w:r>
              <w:rPr>
                <w:b w:val="0"/>
                <w:sz w:val="20"/>
              </w:rPr>
              <w:t>Modular design with modular system interfaces</w:t>
            </w:r>
          </w:p>
        </w:tc>
        <w:tc>
          <w:tcPr>
            <w:tcW w:type="dxa" w:w="5184"/>
          </w:tcPr>
          <w:p>
            <w:r>
              <w:rPr>
                <w:b w:val="0"/>
                <w:sz w:val="20"/>
              </w:rPr>
              <w:t>Modules defined in Section 3; MSIs documented in Section 4 Interface Registry</w:t>
            </w:r>
          </w:p>
        </w:tc>
      </w:tr>
      <w:tr>
        <w:tc>
          <w:tcPr>
            <w:tcW w:type="dxa" w:w="3456"/>
          </w:tcPr>
          <w:p>
            <w:r>
              <w:rPr>
                <w:b w:val="0"/>
                <w:sz w:val="20"/>
              </w:rPr>
              <w:t>Verification of modular system interface compliance</w:t>
            </w:r>
          </w:p>
        </w:tc>
        <w:tc>
          <w:tcPr>
            <w:tcW w:type="dxa" w:w="5184"/>
          </w:tcPr>
          <w:p>
            <w:r>
              <w:rPr>
                <w:b w:val="0"/>
                <w:sz w:val="20"/>
              </w:rPr>
              <w:t>Verification events and evidence mapped in Section 7 Conformance Verification Plan</w:t>
            </w:r>
          </w:p>
        </w:tc>
      </w:tr>
      <w:tr>
        <w:tc>
          <w:tcPr>
            <w:tcW w:type="dxa" w:w="3456"/>
          </w:tcPr>
          <w:p>
            <w:r>
              <w:rPr>
                <w:b w:val="0"/>
                <w:sz w:val="20"/>
              </w:rPr>
              <w:t>Architecture enabling severability</w:t>
            </w:r>
          </w:p>
        </w:tc>
        <w:tc>
          <w:tcPr>
            <w:tcW w:type="dxa" w:w="5184"/>
          </w:tcPr>
          <w:p>
            <w:r>
              <w:rPr>
                <w:b w:val="0"/>
                <w:sz w:val="20"/>
              </w:rPr>
              <w:t>Module functional boundaries and severability rationale documented in Section 3</w:t>
            </w:r>
          </w:p>
        </w:tc>
      </w:tr>
      <w:tr>
        <w:tc>
          <w:tcPr>
            <w:tcW w:type="dxa" w:w="3456"/>
          </w:tcPr>
          <w:p>
            <w:r>
              <w:rPr>
                <w:b w:val="0"/>
                <w:sz w:val="20"/>
              </w:rPr>
              <w:t>Technical data rights per 10 U.S.C. § 2320</w:t>
            </w:r>
          </w:p>
        </w:tc>
        <w:tc>
          <w:tcPr>
            <w:tcW w:type="dxa" w:w="5184"/>
          </w:tcPr>
          <w:p>
            <w:r>
              <w:rPr>
                <w:b w:val="0"/>
                <w:sz w:val="20"/>
              </w:rPr>
              <w:t>Data rights strategy and deliverables matrix documented in Section 6</w:t>
            </w:r>
          </w:p>
        </w:tc>
      </w:tr>
      <w:tr>
        <w:tc>
          <w:tcPr>
            <w:tcW w:type="dxa" w:w="3456"/>
          </w:tcPr>
          <w:p>
            <w:r>
              <w:rPr>
                <w:b w:val="0"/>
                <w:sz w:val="20"/>
              </w:rPr>
              <w:t>Identification of modular systems in acquisition strategy</w:t>
            </w:r>
          </w:p>
        </w:tc>
        <w:tc>
          <w:tcPr>
            <w:tcW w:type="dxa" w:w="5184"/>
          </w:tcPr>
          <w:p>
            <w:r>
              <w:rPr>
                <w:b w:val="0"/>
                <w:sz w:val="20"/>
              </w:rPr>
              <w:t>MSCs and MSIs identified in Sections 3 and 4; reflected in program Acquisition Strategy</w:t>
            </w:r>
          </w:p>
        </w:tc>
      </w:tr>
      <w:tr>
        <w:tc>
          <w:tcPr>
            <w:tcW w:type="dxa" w:w="3456"/>
          </w:tcPr>
          <w:p>
            <w:r>
              <w:rPr>
                <w:b w:val="0"/>
                <w:sz w:val="20"/>
              </w:rPr>
              <w:t>Delivery and Government access to Modular System Interfaces</w:t>
            </w:r>
          </w:p>
        </w:tc>
        <w:tc>
          <w:tcPr>
            <w:tcW w:type="dxa" w:w="5184"/>
          </w:tcPr>
          <w:p>
            <w:r>
              <w:rPr>
                <w:b w:val="0"/>
                <w:sz w:val="20"/>
              </w:rPr>
              <w:t>ICD delivery requirements and Government rights documented in Section 4 and Section 6</w:t>
            </w:r>
          </w:p>
        </w:tc>
      </w:tr>
    </w:tbl>
    <w:p>
      <w:r>
        <w:br w:type="page"/>
      </w:r>
    </w:p>
    <w:p>
      <w:pPr>
        <w:pStyle w:val="Heading1"/>
        <w:spacing w:before="0" w:after="160"/>
      </w:pPr>
      <w:r>
        <w:t>2. Tailoring Rationale</w:t>
      </w:r>
    </w:p>
    <w:p>
      <w:r>
        <w:t>Per PEO AVN MIG §7.1, each program must tailor its MOSA to address enterprise concerns defined in the Enterprise Architecture Framework (EAF) while meeting program-specific objectives. This section documents the tailoring decisions made for this program, the rationale behind each decision, and the resulting conformance targets. Programs will be measured against these tailored degrees of openness and modularity to achieve their program and applicable enterprise objectives.</w:t>
      </w:r>
    </w:p>
    <w:p>
      <w:pPr>
        <w:pStyle w:val="Heading2"/>
        <w:spacing w:before="240" w:after="120"/>
      </w:pPr>
      <w:r>
        <w:t>2.1 Lifecycle Phase and Program Context</w:t>
      </w:r>
    </w:p>
    <w:p>
      <w:r>
        <w:t>Current acquisition phase: To be determined. Program description: This is a Class 1 UAS modernization effort.</w:t>
      </w:r>
    </w:p>
    <w:p>
      <w:pPr>
        <w:pStyle w:val="Heading2"/>
        <w:spacing w:before="240" w:after="120"/>
      </w:pPr>
      <w:r>
        <w:t>2.2 MOSA Tailoring Decisions</w:t>
      </w:r>
    </w:p>
    <w:p>
      <w:r>
        <w:t>The following table documents each MOSA tailoring decision, its rationale, and the resulting conformance target. Tailoring must maintain alignment with PEO AVN MOSA Objectives and the EAF.</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D9E1F2"/>
          </w:tcPr>
          <w:p>
            <w:r>
              <w:rPr>
                <w:b/>
                <w:sz w:val="20"/>
              </w:rPr>
              <w:t>Tailoring Area</w:t>
            </w:r>
          </w:p>
        </w:tc>
        <w:tc>
          <w:tcPr>
            <w:tcW w:type="dxa" w:w="3168"/>
            <w:shd w:val="clear" w:color="auto" w:fill="D9E1F2"/>
          </w:tcPr>
          <w:p>
            <w:r>
              <w:rPr>
                <w:b/>
                <w:sz w:val="20"/>
              </w:rPr>
              <w:t>Rationale</w:t>
            </w:r>
          </w:p>
        </w:tc>
        <w:tc>
          <w:tcPr>
            <w:tcW w:type="dxa" w:w="3168"/>
            <w:shd w:val="clear" w:color="auto" w:fill="D9E1F2"/>
          </w:tcPr>
          <w:p>
            <w:r>
              <w:rPr>
                <w:b/>
                <w:sz w:val="20"/>
              </w:rPr>
              <w:t>Conformance Target</w:t>
            </w:r>
          </w:p>
        </w:tc>
      </w:tr>
      <w:tr>
        <w:tc>
          <w:tcPr>
            <w:tcW w:type="dxa" w:w="2304"/>
          </w:tcPr>
          <w:p>
            <w:r>
              <w:rPr>
                <w:b w:val="0"/>
                <w:sz w:val="20"/>
              </w:rPr>
              <w:t>FACE Technical Standard Applicability</w:t>
            </w:r>
          </w:p>
        </w:tc>
        <w:tc>
          <w:tcPr>
            <w:tcW w:type="dxa" w:w="3168"/>
          </w:tcPr>
          <w:p>
            <w:r>
              <w:rPr>
                <w:b w:val="0"/>
                <w:sz w:val="20"/>
              </w:rPr>
              <w:t>Software-intensive: full FACE applicability</w:t>
            </w:r>
          </w:p>
        </w:tc>
        <w:tc>
          <w:tcPr>
            <w:tcW w:type="dxa" w:w="3168"/>
          </w:tcPr>
          <w:p>
            <w:r>
              <w:rPr>
                <w:b w:val="0"/>
                <w:sz w:val="20"/>
              </w:rPr>
              <w:t>All FACE UoCs at key interfaces shall complete at minimum internal FACE Verification with CTS test results delivered as CDRL; high-value UoCs shall complete independent FACE Conformance Program</w:t>
            </w:r>
          </w:p>
        </w:tc>
      </w:tr>
      <w:tr>
        <w:tc>
          <w:tcPr>
            <w:tcW w:type="dxa" w:w="2304"/>
          </w:tcPr>
          <w:p>
            <w:r>
              <w:rPr>
                <w:b w:val="0"/>
                <w:sz w:val="20"/>
              </w:rPr>
              <w:t>CMOSS/AMCE CSM Applicability</w:t>
            </w:r>
          </w:p>
        </w:tc>
        <w:tc>
          <w:tcPr>
            <w:tcW w:type="dxa" w:w="3168"/>
          </w:tcPr>
          <w:p>
            <w:r>
              <w:rPr>
                <w:b w:val="0"/>
                <w:sz w:val="20"/>
              </w:rPr>
              <w:t>Attritable platform: AMCE CSM conformance is not required; modular hardware boundaries and ICD delivery remain required</w:t>
            </w:r>
          </w:p>
        </w:tc>
        <w:tc>
          <w:tcPr>
            <w:tcW w:type="dxa" w:w="3168"/>
          </w:tcPr>
          <w:p>
            <w:r>
              <w:rPr>
                <w:b w:val="0"/>
                <w:sz w:val="20"/>
              </w:rPr>
              <w:t>Contractor shall submit MOSA Standard Deviations List (DI-MISC-80508) if non-conformant; PM approval required prior to implementation</w:t>
            </w:r>
          </w:p>
        </w:tc>
      </w:tr>
      <w:tr>
        <w:tc>
          <w:tcPr>
            <w:tcW w:type="dxa" w:w="2304"/>
          </w:tcPr>
          <w:p>
            <w:r>
              <w:rPr>
                <w:b w:val="0"/>
                <w:sz w:val="20"/>
              </w:rPr>
              <w:t>Severability Scope</w:t>
            </w:r>
          </w:p>
        </w:tc>
        <w:tc>
          <w:tcPr>
            <w:tcW w:type="dxa" w:w="3168"/>
          </w:tcPr>
          <w:p>
            <w:r>
              <w:rPr>
                <w:b w:val="0"/>
                <w:sz w:val="20"/>
              </w:rPr>
              <w:t>Mission-critical / safety-critical platform: all MSCs must be severable; replacement-supplier demonstration required at CDR</w:t>
            </w:r>
          </w:p>
        </w:tc>
        <w:tc>
          <w:tcPr>
            <w:tcW w:type="dxa" w:w="3168"/>
          </w:tcPr>
          <w:p>
            <w:r>
              <w:rPr>
                <w:b w:val="0"/>
                <w:sz w:val="20"/>
              </w:rPr>
              <w:t>Each MSC shall be independently replaceable using only Government-owned ICDs without original contractor participation</w:t>
            </w:r>
          </w:p>
        </w:tc>
      </w:tr>
      <w:tr>
        <w:tc>
          <w:tcPr>
            <w:tcW w:type="dxa" w:w="2304"/>
          </w:tcPr>
          <w:p>
            <w:r>
              <w:rPr>
                <w:b w:val="0"/>
                <w:sz w:val="20"/>
              </w:rPr>
              <w:t>Long-Term Sustainment Data Rights</w:t>
            </w:r>
          </w:p>
        </w:tc>
        <w:tc>
          <w:tcPr>
            <w:tcW w:type="dxa" w:w="3168"/>
          </w:tcPr>
          <w:p>
            <w:r>
              <w:rPr>
                <w:b w:val="0"/>
                <w:sz w:val="20"/>
              </w:rPr>
              <w:t>Long sustainment tail anticipated: Government will acquire unlimited or GPR for all major design artifacts to enable organic or third-party sustainment</w:t>
            </w:r>
          </w:p>
        </w:tc>
        <w:tc>
          <w:tcPr>
            <w:tcW w:type="dxa" w:w="3168"/>
          </w:tcPr>
          <w:p>
            <w:r>
              <w:rPr>
                <w:b w:val="0"/>
                <w:sz w:val="20"/>
              </w:rPr>
              <w:t>Technical Data Package (TDP) delivery with unlimited rights on ICDs; minimum GPR on all other design data</w:t>
            </w:r>
          </w:p>
        </w:tc>
      </w:tr>
      <w:tr>
        <w:tc>
          <w:tcPr>
            <w:tcW w:type="dxa" w:w="2304"/>
          </w:tcPr>
          <w:p>
            <w:r>
              <w:rPr>
                <w:b w:val="0"/>
                <w:sz w:val="20"/>
              </w:rPr>
              <w:t>Open System Architecture Framework Alignment</w:t>
            </w:r>
          </w:p>
        </w:tc>
        <w:tc>
          <w:tcPr>
            <w:tcW w:type="dxa" w:w="3168"/>
          </w:tcPr>
          <w:p>
            <w:r>
              <w:rPr>
                <w:b w:val="0"/>
                <w:sz w:val="20"/>
              </w:rPr>
              <w:t>Program architecture shall align to PEO AVN EAF and Enterprise Product Architecture (EPA). Any deviations require APEO E&amp;A concurrence</w:t>
            </w:r>
          </w:p>
        </w:tc>
        <w:tc>
          <w:tcPr>
            <w:tcW w:type="dxa" w:w="3168"/>
          </w:tcPr>
          <w:p>
            <w:r>
              <w:rPr>
                <w:b w:val="0"/>
                <w:sz w:val="20"/>
              </w:rPr>
              <w:t>Solution Architecture model delivered at PDR; deviation register maintained and reviewed at each milestone</w:t>
            </w:r>
          </w:p>
        </w:tc>
      </w:tr>
      <w:tr>
        <w:tc>
          <w:tcPr>
            <w:tcW w:type="dxa" w:w="2304"/>
          </w:tcPr>
          <w:p>
            <w:r>
              <w:rPr>
                <w:b w:val="0"/>
                <w:sz w:val="20"/>
              </w:rPr>
              <w:t>Program-Specific Tailoring</w:t>
            </w:r>
          </w:p>
        </w:tc>
        <w:tc>
          <w:tcPr>
            <w:tcW w:type="dxa" w:w="3168"/>
          </w:tcPr>
          <w:p>
            <w:r>
              <w:rPr>
                <w:b w:val="0"/>
                <w:sz w:val="20"/>
              </w:rPr>
              <w:t>Technical constraint identified: many risks</w:t>
            </w:r>
          </w:p>
        </w:tc>
        <w:tc>
          <w:tcPr>
            <w:tcW w:type="dxa" w:w="3168"/>
          </w:tcPr>
          <w:p>
            <w:r>
              <w:rPr>
                <w:b w:val="0"/>
                <w:sz w:val="20"/>
              </w:rPr>
              <w:t>Tailoring approved by APEO E&amp;A; deviation documented and risk-tracked</w:t>
            </w:r>
          </w:p>
        </w:tc>
      </w:tr>
    </w:tbl>
    <w:p>
      <w:r>
        <w:br w:type="page"/>
      </w:r>
    </w:p>
    <w:p>
      <w:pPr>
        <w:pStyle w:val="Heading1"/>
        <w:spacing w:before="0" w:after="160"/>
      </w:pPr>
      <w:r>
        <w:t>3. Program Overview &amp; Reference Documents</w:t>
      </w:r>
    </w:p>
    <w:p>
      <w:r>
        <w:t>This MOSA Conformance Plan documents the Test Program program's approach to achieving and sustaining Modular Open Systems Approach (MOSA) compliance in accordance with 10 U.S.C. § 4401 and DoD Directive 5000.01. It establishes the modular architecture baseline, interface control strategy, technical data rights posture, and verification plan against which MOSA compliance will be assessed at each program milestone.</w:t>
      </w:r>
    </w:p>
    <w:p>
      <w:r>
        <w:t>This is a Class 1 UAS modernization effort.</w:t>
      </w:r>
    </w:p>
    <w:p>
      <w:pPr>
        <w:pStyle w:val="ListBullet"/>
      </w:pPr>
      <w:r>
        <w:t>Program: Test Program</w:t>
      </w:r>
    </w:p>
    <w:p>
      <w:pPr>
        <w:pStyle w:val="ListBullet"/>
      </w:pPr>
      <w:r>
        <w:t>Estimated development cost: $15,000,000</w:t>
      </w:r>
    </w:p>
    <w:p>
      <w:pPr>
        <w:pStyle w:val="ListBullet"/>
      </w:pPr>
      <w:r>
        <w:t>Estimated production unit cost: $450,000</w:t>
      </w:r>
    </w:p>
    <w:p>
      <w:pPr>
        <w:pStyle w:val="ListBullet"/>
      </w:pPr>
      <w:r>
        <w:t>Mission-critical system</w:t>
      </w:r>
    </w:p>
    <w:p>
      <w:pPr>
        <w:pStyle w:val="ListBullet"/>
      </w:pPr>
      <w:r>
        <w:t>Safety-critical system</w:t>
      </w:r>
    </w:p>
    <w:p>
      <w:pPr>
        <w:pStyle w:val="ListBullet"/>
      </w:pPr>
      <w:r>
        <w:t>Attritable system (low-cost, expendable)</w:t>
      </w:r>
    </w:p>
    <w:p>
      <w:pPr>
        <w:pStyle w:val="ListBullet"/>
      </w:pPr>
      <w:r>
        <w:t>Long sustainment tail anticipated</w:t>
      </w:r>
    </w:p>
    <w:p>
      <w:pPr>
        <w:pStyle w:val="ListBullet"/>
      </w:pPr>
      <w:r>
        <w:t>Software constitutes a major portion of the system</w:t>
      </w:r>
    </w:p>
    <w:p/>
    <w:p>
      <w:r>
        <w:t>Reference documents applicable to this program:</w:t>
      </w:r>
    </w:p>
    <w:p>
      <w:pPr>
        <w:pStyle w:val="ListBullet"/>
      </w:pPr>
      <w:r>
        <w:t>constraints.txt</w:t>
      </w:r>
    </w:p>
    <w:p>
      <w:pPr>
        <w:pStyle w:val="ListBullet"/>
      </w:pPr>
      <w:r>
        <w:t>description.txt</w:t>
      </w:r>
    </w:p>
    <w:p>
      <w:r>
        <w:br w:type="page"/>
      </w:r>
    </w:p>
    <w:p>
      <w:pPr>
        <w:pStyle w:val="Heading1"/>
        <w:spacing w:before="0" w:after="160"/>
      </w:pPr>
      <w:r>
        <w:t>3.1 Module Inventory / Decomposition</w:t>
      </w:r>
    </w:p>
    <w:p>
      <w:r>
        <w:t>The following table summarizes the modular decomposition of the system. Each module represents a cohesive functional element with well-defined boundaries and standardized interfaces, enabling independent development, integration, and replacement by competing suppliers.</w:t>
      </w:r>
    </w:p>
    <w:p>
      <w:r>
        <w:t>Candidate modules identified through program planning:</w:t>
      </w:r>
    </w:p>
    <w:p>
      <w:r>
        <w:t>its functional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Pr>
                <w:b/>
                <w:sz w:val="20"/>
              </w:rPr>
              <w:t>Module</w:t>
            </w:r>
          </w:p>
        </w:tc>
        <w:tc>
          <w:tcPr>
            <w:tcW w:type="dxa" w:w="1728"/>
            <w:shd w:val="clear" w:color="auto" w:fill="D9E1F2"/>
          </w:tcPr>
          <w:p>
            <w:r>
              <w:rPr>
                <w:b/>
                <w:sz w:val="20"/>
              </w:rPr>
              <w:t>Functional Boundary</w:t>
            </w:r>
          </w:p>
        </w:tc>
        <w:tc>
          <w:tcPr>
            <w:tcW w:type="dxa" w:w="1728"/>
            <w:shd w:val="clear" w:color="auto" w:fill="D9E1F2"/>
          </w:tcPr>
          <w:p>
            <w:r>
              <w:rPr>
                <w:b/>
                <w:sz w:val="20"/>
              </w:rPr>
              <w:t>Key Interfaces</w:t>
            </w:r>
          </w:p>
        </w:tc>
        <w:tc>
          <w:tcPr>
            <w:tcW w:type="dxa" w:w="1728"/>
            <w:shd w:val="clear" w:color="auto" w:fill="D9E1F2"/>
          </w:tcPr>
          <w:p>
            <w:r>
              <w:rPr>
                <w:b/>
                <w:sz w:val="20"/>
              </w:rPr>
              <w:t>Standards</w:t>
            </w:r>
          </w:p>
        </w:tc>
        <w:tc>
          <w:tcPr>
            <w:tcW w:type="dxa" w:w="1008"/>
            <w:shd w:val="clear" w:color="auto" w:fill="D9E1F2"/>
          </w:tcPr>
          <w:p>
            <w:r>
              <w:rPr>
                <w:b/>
                <w:sz w:val="20"/>
              </w:rPr>
              <w:t>Tech Risk</w:t>
            </w:r>
          </w:p>
        </w:tc>
        <w:tc>
          <w:tcPr>
            <w:tcW w:type="dxa" w:w="1008"/>
            <w:shd w:val="clear" w:color="auto" w:fill="D9E1F2"/>
          </w:tcPr>
          <w:p>
            <w:r>
              <w:rPr>
                <w:b/>
                <w:sz w:val="20"/>
              </w:rPr>
              <w:t>Obsolescence Risk</w:t>
            </w:r>
          </w:p>
        </w:tc>
      </w:tr>
      <w:tr>
        <w:tc>
          <w:tcPr>
            <w:tcW w:type="dxa" w:w="1440"/>
          </w:tcPr>
          <w:p>
            <w:r>
              <w:rPr>
                <w:b w:val="0"/>
                <w:sz w:val="20"/>
              </w:rPr>
              <w:t>its functional</w:t>
            </w:r>
          </w:p>
        </w:tc>
        <w:tc>
          <w:tcPr>
            <w:tcW w:type="dxa" w:w="1728"/>
          </w:tcPr>
          <w:p>
            <w:r>
              <w:rPr>
                <w:b w:val="0"/>
                <w:sz w:val="20"/>
              </w:rPr>
              <w:t>Identified for: This is a Class 1 UAS modernization effort.</w:t>
            </w:r>
          </w:p>
        </w:tc>
        <w:tc>
          <w:tcPr>
            <w:tcW w:type="dxa" w:w="1728"/>
          </w:tcPr>
          <w:p>
            <w:r>
              <w:rPr>
                <w:b w:val="0"/>
                <w:sz w:val="20"/>
              </w:rPr>
              <w:t>Not provided</w:t>
            </w:r>
          </w:p>
        </w:tc>
        <w:tc>
          <w:tcPr>
            <w:tcW w:type="dxa" w:w="1728"/>
          </w:tcPr>
          <w:p>
            <w:r>
              <w:rPr>
                <w:b w:val="0"/>
                <w:sz w:val="20"/>
              </w:rPr>
              <w:t>iec</w:t>
            </w:r>
          </w:p>
        </w:tc>
        <w:tc>
          <w:tcPr>
            <w:tcW w:type="dxa" w:w="1008"/>
          </w:tcPr>
          <w:p>
            <w:pPr>
              <w:jc w:val="center"/>
            </w:pPr>
            <w:r>
              <w:rPr>
                <w:b w:val="0"/>
                <w:sz w:val="20"/>
              </w:rPr>
              <w:t>Low</w:t>
            </w:r>
          </w:p>
        </w:tc>
        <w:tc>
          <w:tcPr>
            <w:tcW w:type="dxa" w:w="1008"/>
          </w:tcPr>
          <w:p>
            <w:pPr>
              <w:jc w:val="center"/>
            </w:pPr>
            <w:r>
              <w:rPr>
                <w:b w:val="0"/>
                <w:sz w:val="20"/>
              </w:rPr>
              <w:t>High</w:t>
            </w:r>
          </w:p>
        </w:tc>
      </w:tr>
    </w:tbl>
    <w:p>
      <w:r>
        <w:br w:type="page"/>
      </w:r>
    </w:p>
    <w:p>
      <w:pPr>
        <w:pStyle w:val="Heading1"/>
        <w:spacing w:before="0" w:after="160"/>
      </w:pPr>
      <w:r>
        <w:t>4. Interface Registry</w:t>
      </w:r>
    </w:p>
    <w:p>
      <w:r>
        <w:t>Interface Control Documents (ICDs) are Government-owned artifacts that define the technical standards and protocols governing communication between modules. The following registry identifies each interface by type (Hardware, Software, or Data), its owning module, and the applicable open standards and data rights posture. All ICDs will be maintained under configuration control by the Interface Control Working Group (ICWG). Per PEO AVN MIG §9.1, the Government will require delivery of Modular System Interface (MSI) documentation and will pursue Government Purpose Rights (GPR) or better on all interface definitions. Contractor-proprietary interfaces are prohibited unless specifically approved by the Program Manager.</w:t>
      </w:r>
    </w:p>
    <w:p>
      <w:r>
        <w:t>Known interface standards and architecture mappings identified during program planning:</w:t>
      </w:r>
    </w:p>
    <w:p>
      <w:r>
        <w:t>face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872"/>
            <w:shd w:val="clear" w:color="auto" w:fill="D9E1F2"/>
          </w:tcPr>
          <w:p>
            <w:r>
              <w:rPr>
                <w:b/>
                <w:sz w:val="20"/>
              </w:rPr>
              <w:t>Interface Name</w:t>
            </w:r>
          </w:p>
        </w:tc>
        <w:tc>
          <w:tcPr>
            <w:tcW w:type="dxa" w:w="1008"/>
            <w:shd w:val="clear" w:color="auto" w:fill="D9E1F2"/>
          </w:tcPr>
          <w:p>
            <w:r>
              <w:rPr>
                <w:b/>
                <w:sz w:val="20"/>
              </w:rPr>
              <w:t>Type</w:t>
              <w:br/>
              <w:t>(HW/SW/Data)</w:t>
            </w:r>
          </w:p>
        </w:tc>
        <w:tc>
          <w:tcPr>
            <w:tcW w:type="dxa" w:w="1584"/>
            <w:shd w:val="clear" w:color="auto" w:fill="D9E1F2"/>
          </w:tcPr>
          <w:p>
            <w:r>
              <w:rPr>
                <w:b/>
                <w:sz w:val="20"/>
              </w:rPr>
              <w:t>Owning Module</w:t>
            </w:r>
          </w:p>
        </w:tc>
        <w:tc>
          <w:tcPr>
            <w:tcW w:type="dxa" w:w="1152"/>
            <w:shd w:val="clear" w:color="auto" w:fill="D9E1F2"/>
          </w:tcPr>
          <w:p>
            <w:r>
              <w:rPr>
                <w:b/>
                <w:sz w:val="20"/>
              </w:rPr>
              <w:t>Open Standard?</w:t>
            </w:r>
          </w:p>
        </w:tc>
        <w:tc>
          <w:tcPr>
            <w:tcW w:type="dxa" w:w="1152"/>
            <w:shd w:val="clear" w:color="auto" w:fill="D9E1F2"/>
          </w:tcPr>
          <w:p>
            <w:r>
              <w:rPr>
                <w:b/>
                <w:sz w:val="20"/>
              </w:rPr>
              <w:t>ICD Required?</w:t>
            </w:r>
          </w:p>
        </w:tc>
        <w:tc>
          <w:tcPr>
            <w:tcW w:type="dxa" w:w="1872"/>
            <w:shd w:val="clear" w:color="auto" w:fill="D9E1F2"/>
          </w:tcPr>
          <w:p>
            <w:r>
              <w:rPr>
                <w:b/>
                <w:sz w:val="20"/>
              </w:rPr>
              <w:t>Data Rights Required</w:t>
            </w:r>
          </w:p>
        </w:tc>
      </w:tr>
      <w:tr>
        <w:tc>
          <w:tcPr>
            <w:tcW w:type="dxa" w:w="1872"/>
          </w:tcPr>
          <w:p>
            <w:r>
              <w:rPr>
                <w:b w:val="0"/>
                <w:sz w:val="20"/>
              </w:rPr>
              <w:t>its functional External Interface</w:t>
            </w:r>
          </w:p>
        </w:tc>
        <w:tc>
          <w:tcPr>
            <w:tcW w:type="dxa" w:w="1008"/>
          </w:tcPr>
          <w:p>
            <w:pPr>
              <w:jc w:val="center"/>
            </w:pPr>
            <w:r>
              <w:rPr>
                <w:b w:val="0"/>
                <w:sz w:val="20"/>
              </w:rPr>
              <w:t>Software</w:t>
            </w:r>
          </w:p>
        </w:tc>
        <w:tc>
          <w:tcPr>
            <w:tcW w:type="dxa" w:w="1584"/>
          </w:tcPr>
          <w:p>
            <w:r>
              <w:rPr>
                <w:b w:val="0"/>
                <w:sz w:val="20"/>
              </w:rPr>
              <w:t>its functional</w:t>
            </w:r>
          </w:p>
        </w:tc>
        <w:tc>
          <w:tcPr>
            <w:tcW w:type="dxa" w:w="1152"/>
          </w:tcPr>
          <w:p>
            <w:pPr>
              <w:jc w:val="center"/>
            </w:pPr>
            <w:r>
              <w:rPr>
                <w:b w:val="0"/>
                <w:sz w:val="20"/>
              </w:rPr>
              <w:t>Yes</w:t>
            </w:r>
          </w:p>
        </w:tc>
        <w:tc>
          <w:tcPr>
            <w:tcW w:type="dxa" w:w="1152"/>
          </w:tcPr>
          <w:p>
            <w:pPr>
              <w:jc w:val="center"/>
            </w:pPr>
            <w:r>
              <w:rPr>
                <w:b w:val="0"/>
                <w:sz w:val="20"/>
              </w:rPr>
              <w:t>Yes</w:t>
            </w:r>
          </w:p>
        </w:tc>
        <w:tc>
          <w:tcPr>
            <w:tcW w:type="dxa" w:w="1872"/>
          </w:tcPr>
          <w:p>
            <w:r>
              <w:rPr>
                <w:b w:val="0"/>
                <w:sz w:val="20"/>
              </w:rPr>
              <w:t>Unlimited Rights</w:t>
            </w:r>
          </w:p>
        </w:tc>
      </w:tr>
    </w:tbl>
    <w:p>
      <w:r>
        <w:br w:type="page"/>
      </w:r>
    </w:p>
    <w:p>
      <w:pPr>
        <w:pStyle w:val="Heading1"/>
        <w:spacing w:before="0" w:after="160"/>
      </w:pPr>
      <w:r>
        <w:t>5. Standards &amp; Architecture Mapping</w:t>
      </w:r>
    </w:p>
    <w:p>
      <w:r>
        <w:t>The following table maps each module to its applicable open standards and reference architectures. Selection of consensus-based standards (MOSA Principle #4) and their proper application are measured at each program review per PEO AVN MIG §7.1. Compliance with the FACE Technical Standard, CMOSS/AMCE, SOSA, or other applicable standards shall be verified per Section 7. Standards marked 'Required' are contract requirements; those marked 'Preferred' are strongly encouraged and deviations require PM approval.</w:t>
      </w:r>
    </w:p>
    <w:p>
      <w:r>
        <w:t>Program-identified standards and architecture notes:</w:t>
      </w:r>
    </w:p>
    <w:p>
      <w:r>
        <w:t>iec</w:t>
      </w:r>
    </w:p>
    <w:p>
      <w:r>
        <w:t>face</w:t>
      </w:r>
    </w:p>
    <w:p>
      <w:pPr>
        <w:pStyle w:val="Heading2"/>
        <w:spacing w:before="240" w:after="120"/>
      </w:pPr>
      <w:r>
        <w:t>5.1 Module-Level Standards Mapping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b/>
                <w:sz w:val="20"/>
              </w:rPr>
              <w:t>Module</w:t>
            </w:r>
          </w:p>
        </w:tc>
        <w:tc>
          <w:tcPr>
            <w:tcW w:type="dxa" w:w="2592"/>
            <w:shd w:val="clear" w:color="auto" w:fill="D9E1F2"/>
          </w:tcPr>
          <w:p>
            <w:r>
              <w:rPr>
                <w:b/>
                <w:sz w:val="20"/>
              </w:rPr>
              <w:t>Applicable Standards</w:t>
            </w:r>
          </w:p>
        </w:tc>
        <w:tc>
          <w:tcPr>
            <w:tcW w:type="dxa" w:w="1872"/>
            <w:shd w:val="clear" w:color="auto" w:fill="D9E1F2"/>
          </w:tcPr>
          <w:p>
            <w:r>
              <w:rPr>
                <w:b/>
                <w:sz w:val="20"/>
              </w:rPr>
              <w:t>Key Interfaces</w:t>
            </w:r>
          </w:p>
        </w:tc>
        <w:tc>
          <w:tcPr>
            <w:tcW w:type="dxa" w:w="1440"/>
            <w:shd w:val="clear" w:color="auto" w:fill="D9E1F2"/>
          </w:tcPr>
          <w:p>
            <w:r>
              <w:rPr>
                <w:b/>
                <w:sz w:val="20"/>
              </w:rPr>
              <w:t>Architecture Pattern</w:t>
            </w:r>
          </w:p>
        </w:tc>
        <w:tc>
          <w:tcPr>
            <w:tcW w:type="dxa" w:w="1008"/>
            <w:shd w:val="clear" w:color="auto" w:fill="D9E1F2"/>
          </w:tcPr>
          <w:p>
            <w:r>
              <w:rPr>
                <w:b/>
                <w:sz w:val="20"/>
              </w:rPr>
              <w:t>Applicability</w:t>
            </w:r>
          </w:p>
        </w:tc>
      </w:tr>
      <w:tr>
        <w:tc>
          <w:tcPr>
            <w:tcW w:type="dxa" w:w="1728"/>
          </w:tcPr>
          <w:p>
            <w:r>
              <w:rPr>
                <w:b w:val="0"/>
                <w:sz w:val="20"/>
              </w:rPr>
              <w:t>its functional</w:t>
            </w:r>
          </w:p>
        </w:tc>
        <w:tc>
          <w:tcPr>
            <w:tcW w:type="dxa" w:w="2592"/>
          </w:tcPr>
          <w:p>
            <w:r>
              <w:rPr>
                <w:b w:val="0"/>
                <w:sz w:val="20"/>
              </w:rPr>
              <w:t>iec</w:t>
            </w:r>
          </w:p>
        </w:tc>
        <w:tc>
          <w:tcPr>
            <w:tcW w:type="dxa" w:w="1872"/>
          </w:tcPr>
          <w:p>
            <w:r>
              <w:rPr>
                <w:b w:val="0"/>
                <w:sz w:val="20"/>
              </w:rPr>
              <w:t>TBD</w:t>
            </w:r>
          </w:p>
        </w:tc>
        <w:tc>
          <w:tcPr>
            <w:tcW w:type="dxa" w:w="1440"/>
          </w:tcPr>
          <w:p>
            <w:r>
              <w:rPr>
                <w:b w:val="0"/>
                <w:sz w:val="20"/>
              </w:rPr>
              <w:t>FACE UoC</w:t>
            </w:r>
          </w:p>
        </w:tc>
        <w:tc>
          <w:tcPr>
            <w:tcW w:type="dxa" w:w="1008"/>
          </w:tcPr>
          <w:p>
            <w:pPr>
              <w:jc w:val="center"/>
            </w:pPr>
            <w:r>
              <w:rPr>
                <w:b w:val="0"/>
                <w:sz w:val="20"/>
              </w:rPr>
              <w:t>Required</w:t>
            </w:r>
          </w:p>
        </w:tc>
      </w:tr>
    </w:tbl>
    <w:p>
      <w:pPr>
        <w:pStyle w:val="Heading2"/>
        <w:spacing w:before="240" w:after="120"/>
      </w:pPr>
      <w:r>
        <w:t>5.2 Enterprise Architecture Alignment</w:t>
      </w:r>
    </w:p>
    <w:p>
      <w:r>
        <w:t>The program architecture shall be derived from the PEO AVN Enterprise Architecture Framework (EAF) and shall align to the Enterprise Product Architecture (EPA). The Government-Furnished Information (GFI) Component System Model (CSM) will be provided to the prime contractor and shall form the baseline for the Solution Architecture. Architecture deviations require APEO Engineering &amp; Architecture concurrence prior to implementation.</w:t>
      </w:r>
    </w:p>
    <w:p>
      <w:r>
        <w:t>A search of the PEO AVN MOSA reuse repository has been completed for this program. Results will be incorporated into standards selection and component reuse decisions.</w:t>
      </w:r>
    </w:p>
    <w:p>
      <w:r>
        <w:br w:type="page"/>
      </w:r>
    </w:p>
    <w:p>
      <w:pPr>
        <w:pStyle w:val="Heading1"/>
        <w:spacing w:before="0" w:after="160"/>
      </w:pPr>
      <w:r>
        <w:t>6. Technical Data &amp; Data Rights Strategy</w:t>
      </w:r>
    </w:p>
    <w:p>
      <w:r>
        <w:t>The Government will acquire sufficient technical data rights to enable independent support, competitive re-sourcing, and future modernization across all program elements. The governing principle is that the Government must retain the ability to re-compete any module using only Government-owned technical data, without reliance on the original developer. All contractor data rights assertions will be reviewed and negotiated prior to contract award.</w:t>
      </w:r>
    </w:p>
    <w:p>
      <w:r>
        <w:t>Given the software-intensive nature of this program, particular emphasis is placed on acquiring source code rights sufficient to enable independent maintenance, security patching, and competitive re-development of software-intensive modules.</w:t>
      </w:r>
    </w:p>
    <w:p>
      <w:r>
        <w:t>Interface standards and architecture mapping from program planning:</w:t>
      </w:r>
    </w:p>
    <w:p>
      <w:r>
        <w:t>face</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D9E1F2"/>
          </w:tcPr>
          <w:p>
            <w:r>
              <w:rPr>
                <w:b/>
                <w:sz w:val="20"/>
              </w:rPr>
              <w:t>Artifact</w:t>
            </w:r>
          </w:p>
        </w:tc>
        <w:tc>
          <w:tcPr>
            <w:tcW w:type="dxa" w:w="2160"/>
            <w:shd w:val="clear" w:color="auto" w:fill="D9E1F2"/>
          </w:tcPr>
          <w:p>
            <w:r>
              <w:rPr>
                <w:b/>
                <w:sz w:val="20"/>
              </w:rPr>
              <w:t>Rights Required</w:t>
            </w:r>
          </w:p>
        </w:tc>
        <w:tc>
          <w:tcPr>
            <w:tcW w:type="dxa" w:w="3888"/>
            <w:shd w:val="clear" w:color="auto" w:fill="D9E1F2"/>
          </w:tcPr>
          <w:p>
            <w:r>
              <w:rPr>
                <w:b/>
                <w:sz w:val="20"/>
              </w:rPr>
              <w:t>Rationale</w:t>
            </w:r>
          </w:p>
        </w:tc>
      </w:tr>
      <w:tr>
        <w:tc>
          <w:tcPr>
            <w:tcW w:type="dxa" w:w="2592"/>
          </w:tcPr>
          <w:p>
            <w:r>
              <w:rPr>
                <w:b w:val="0"/>
                <w:sz w:val="20"/>
              </w:rPr>
              <w:t>Interface Control Documents (ICDs)</w:t>
            </w:r>
          </w:p>
        </w:tc>
        <w:tc>
          <w:tcPr>
            <w:tcW w:type="dxa" w:w="2160"/>
          </w:tcPr>
          <w:p>
            <w:r>
              <w:rPr>
                <w:b w:val="0"/>
                <w:sz w:val="20"/>
              </w:rPr>
              <w:t>Unlimited Rights</w:t>
            </w:r>
          </w:p>
        </w:tc>
        <w:tc>
          <w:tcPr>
            <w:tcW w:type="dxa" w:w="3888"/>
          </w:tcPr>
          <w:p>
            <w:r>
              <w:rPr>
                <w:b w:val="0"/>
                <w:sz w:val="20"/>
              </w:rPr>
              <w:t>Required for competitive module re-sourcing; must be available to any potential offeror</w:t>
            </w:r>
          </w:p>
        </w:tc>
      </w:tr>
      <w:tr>
        <w:tc>
          <w:tcPr>
            <w:tcW w:type="dxa" w:w="2592"/>
          </w:tcPr>
          <w:p>
            <w:r>
              <w:rPr>
                <w:b w:val="0"/>
                <w:sz w:val="20"/>
              </w:rPr>
              <w:t>Software Source Code (Government-funded)</w:t>
            </w:r>
          </w:p>
        </w:tc>
        <w:tc>
          <w:tcPr>
            <w:tcW w:type="dxa" w:w="2160"/>
          </w:tcPr>
          <w:p>
            <w:r>
              <w:rPr>
                <w:b w:val="0"/>
                <w:sz w:val="20"/>
              </w:rPr>
              <w:t>Unlimited Rights</w:t>
            </w:r>
          </w:p>
        </w:tc>
        <w:tc>
          <w:tcPr>
            <w:tcW w:type="dxa" w:w="3888"/>
          </w:tcPr>
          <w:p>
            <w:r>
              <w:rPr>
                <w:b w:val="0"/>
                <w:sz w:val="20"/>
              </w:rPr>
              <w:t>Government-funded development yields unlimited rights per DFARS 252.227-7014</w:t>
            </w:r>
          </w:p>
        </w:tc>
      </w:tr>
      <w:tr>
        <w:tc>
          <w:tcPr>
            <w:tcW w:type="dxa" w:w="2592"/>
          </w:tcPr>
          <w:p>
            <w:r>
              <w:rPr>
                <w:b w:val="0"/>
                <w:sz w:val="20"/>
              </w:rPr>
              <w:t>Software Source Code (contractor-funded)</w:t>
            </w:r>
          </w:p>
        </w:tc>
        <w:tc>
          <w:tcPr>
            <w:tcW w:type="dxa" w:w="2160"/>
          </w:tcPr>
          <w:p>
            <w:r>
              <w:rPr>
                <w:b w:val="0"/>
                <w:sz w:val="20"/>
              </w:rPr>
              <w:t>Government Purpose Rights (GPR) minimum</w:t>
            </w:r>
          </w:p>
        </w:tc>
        <w:tc>
          <w:tcPr>
            <w:tcW w:type="dxa" w:w="3888"/>
          </w:tcPr>
          <w:p>
            <w:r>
              <w:rPr>
                <w:b w:val="0"/>
                <w:sz w:val="20"/>
              </w:rPr>
              <w:t>Allows Government to use, modify, and share with other contractors for Government purposes</w:t>
            </w:r>
          </w:p>
        </w:tc>
      </w:tr>
      <w:tr>
        <w:tc>
          <w:tcPr>
            <w:tcW w:type="dxa" w:w="2592"/>
          </w:tcPr>
          <w:p>
            <w:r>
              <w:rPr>
                <w:b w:val="0"/>
                <w:sz w:val="20"/>
              </w:rPr>
              <w:t>Design Data &amp; Drawings</w:t>
            </w:r>
          </w:p>
        </w:tc>
        <w:tc>
          <w:tcPr>
            <w:tcW w:type="dxa" w:w="2160"/>
          </w:tcPr>
          <w:p>
            <w:r>
              <w:rPr>
                <w:b w:val="0"/>
                <w:sz w:val="20"/>
              </w:rPr>
              <w:t>Government Purpose Rights (GPR) minimum</w:t>
            </w:r>
          </w:p>
        </w:tc>
        <w:tc>
          <w:tcPr>
            <w:tcW w:type="dxa" w:w="3888"/>
          </w:tcPr>
          <w:p>
            <w:r>
              <w:rPr>
                <w:b w:val="0"/>
                <w:sz w:val="20"/>
              </w:rPr>
              <w:t>Enables independent sustainment and future competitive procurement</w:t>
            </w:r>
          </w:p>
        </w:tc>
      </w:tr>
      <w:tr>
        <w:tc>
          <w:tcPr>
            <w:tcW w:type="dxa" w:w="2592"/>
          </w:tcPr>
          <w:p>
            <w:r>
              <w:rPr>
                <w:b w:val="0"/>
                <w:sz w:val="20"/>
              </w:rPr>
              <w:t>Firmware &amp; Embedded Software</w:t>
            </w:r>
          </w:p>
        </w:tc>
        <w:tc>
          <w:tcPr>
            <w:tcW w:type="dxa" w:w="2160"/>
          </w:tcPr>
          <w:p>
            <w:r>
              <w:rPr>
                <w:b w:val="0"/>
                <w:sz w:val="20"/>
              </w:rPr>
              <w:t>Rights sufficient for sustainment</w:t>
            </w:r>
          </w:p>
        </w:tc>
        <w:tc>
          <w:tcPr>
            <w:tcW w:type="dxa" w:w="3888"/>
          </w:tcPr>
          <w:p>
            <w:r>
              <w:rPr>
                <w:b w:val="0"/>
                <w:sz w:val="20"/>
              </w:rPr>
              <w:t>Minimum rights to allow security patching, upgrades, and maintainer access</w:t>
            </w:r>
          </w:p>
        </w:tc>
      </w:tr>
      <w:tr>
        <w:tc>
          <w:tcPr>
            <w:tcW w:type="dxa" w:w="2592"/>
          </w:tcPr>
          <w:p>
            <w:r>
              <w:rPr>
                <w:b w:val="0"/>
                <w:sz w:val="20"/>
              </w:rPr>
              <w:t>Test Procedures &amp; Acceptance Criteria</w:t>
            </w:r>
          </w:p>
        </w:tc>
        <w:tc>
          <w:tcPr>
            <w:tcW w:type="dxa" w:w="2160"/>
          </w:tcPr>
          <w:p>
            <w:r>
              <w:rPr>
                <w:b w:val="0"/>
                <w:sz w:val="20"/>
              </w:rPr>
              <w:t>Unlimited Rights</w:t>
            </w:r>
          </w:p>
        </w:tc>
        <w:tc>
          <w:tcPr>
            <w:tcW w:type="dxa" w:w="3888"/>
          </w:tcPr>
          <w:p>
            <w:r>
              <w:rPr>
                <w:b w:val="0"/>
                <w:sz w:val="20"/>
              </w:rPr>
              <w:t>Required to conduct independent module acceptance testing during re-competition</w:t>
            </w:r>
          </w:p>
        </w:tc>
      </w:tr>
      <w:tr>
        <w:tc>
          <w:tcPr>
            <w:tcW w:type="dxa" w:w="2592"/>
          </w:tcPr>
          <w:p>
            <w:r>
              <w:rPr>
                <w:b w:val="0"/>
                <w:sz w:val="20"/>
              </w:rPr>
              <w:t>Open Standards Documentation</w:t>
            </w:r>
          </w:p>
        </w:tc>
        <w:tc>
          <w:tcPr>
            <w:tcW w:type="dxa" w:w="2160"/>
          </w:tcPr>
          <w:p>
            <w:r>
              <w:rPr>
                <w:b w:val="0"/>
                <w:sz w:val="20"/>
              </w:rPr>
              <w:t>Not applicable (public domain)</w:t>
            </w:r>
          </w:p>
        </w:tc>
        <w:tc>
          <w:tcPr>
            <w:tcW w:type="dxa" w:w="3888"/>
          </w:tcPr>
          <w:p>
            <w:r>
              <w:rPr>
                <w:b w:val="0"/>
                <w:sz w:val="20"/>
              </w:rPr>
              <w:t>Open, consensus-based standards are publicly available; copies retained by Government</w:t>
            </w:r>
          </w:p>
        </w:tc>
      </w:tr>
    </w:tbl>
    <w:p>
      <w:r>
        <w:br w:type="page"/>
      </w:r>
    </w:p>
    <w:p>
      <w:pPr>
        <w:pStyle w:val="Heading1"/>
        <w:spacing w:before="0" w:after="160"/>
      </w:pPr>
      <w:r>
        <w:t>7. Conformance Verification Plan</w:t>
      </w:r>
    </w:p>
    <w:p>
      <w:r>
        <w:t>MOSA compliance will be verified at each major program milestone through review of compliance artifacts and demonstration of modular interoperability. Failure to satisfy MOSA compliance criteria at any milestone is a condition of the program not proceeding to the next phase. The program Lead Systems Engineer (LSE) is responsible for compliance verification.</w:t>
      </w:r>
    </w:p>
    <w:tbl>
      <w:tblPr>
        <w:tblStyle w:val="TableGrid"/>
        <w:tblW w:type="auto" w:w="0"/>
        <w:tblLook w:firstColumn="1" w:firstRow="1" w:lastColumn="0" w:lastRow="0" w:noHBand="0" w:noVBand="1" w:val="04A0"/>
      </w:tblPr>
      <w:tblGrid>
        <w:gridCol w:w="2880"/>
        <w:gridCol w:w="2880"/>
        <w:gridCol w:w="2880"/>
      </w:tblGrid>
      <w:tr>
        <w:tc>
          <w:tcPr>
            <w:tcW w:type="dxa" w:w="2016"/>
            <w:shd w:val="clear" w:color="auto" w:fill="D9E1F2"/>
          </w:tcPr>
          <w:p>
            <w:r>
              <w:rPr>
                <w:b/>
                <w:sz w:val="20"/>
              </w:rPr>
              <w:t>Milestone</w:t>
            </w:r>
          </w:p>
        </w:tc>
        <w:tc>
          <w:tcPr>
            <w:tcW w:type="dxa" w:w="3312"/>
            <w:shd w:val="clear" w:color="auto" w:fill="D9E1F2"/>
          </w:tcPr>
          <w:p>
            <w:r>
              <w:rPr>
                <w:b/>
                <w:sz w:val="20"/>
              </w:rPr>
              <w:t>Compliance Artifact</w:t>
            </w:r>
          </w:p>
        </w:tc>
        <w:tc>
          <w:tcPr>
            <w:tcW w:type="dxa" w:w="3312"/>
            <w:shd w:val="clear" w:color="auto" w:fill="D9E1F2"/>
          </w:tcPr>
          <w:p>
            <w:r>
              <w:rPr>
                <w:b/>
                <w:sz w:val="20"/>
              </w:rPr>
              <w:t>Verification Method</w:t>
            </w:r>
          </w:p>
        </w:tc>
      </w:tr>
      <w:tr>
        <w:tc>
          <w:tcPr>
            <w:tcW w:type="dxa" w:w="2016"/>
          </w:tcPr>
          <w:p>
            <w:r>
              <w:rPr>
                <w:b w:val="0"/>
                <w:sz w:val="20"/>
              </w:rPr>
              <w:t>System Requirements Review (SRR)</w:t>
            </w:r>
          </w:p>
        </w:tc>
        <w:tc>
          <w:tcPr>
            <w:tcW w:type="dxa" w:w="3312"/>
          </w:tcPr>
          <w:p>
            <w:r>
              <w:rPr>
                <w:b w:val="0"/>
                <w:sz w:val="20"/>
              </w:rPr>
              <w:t>MOSA Requirements Compliance Matrix; initial module decomposition; candidate ICD list</w:t>
            </w:r>
          </w:p>
        </w:tc>
        <w:tc>
          <w:tcPr>
            <w:tcW w:type="dxa" w:w="3312"/>
          </w:tcPr>
          <w:p>
            <w:r>
              <w:rPr>
                <w:b w:val="0"/>
                <w:sz w:val="20"/>
              </w:rPr>
              <w:t>Government review of compliance matrix; MOSA checklist scoring; module boundary assessment</w:t>
            </w:r>
          </w:p>
        </w:tc>
      </w:tr>
      <w:tr>
        <w:tc>
          <w:tcPr>
            <w:tcW w:type="dxa" w:w="2016"/>
          </w:tcPr>
          <w:p>
            <w:r>
              <w:rPr>
                <w:b w:val="0"/>
                <w:sz w:val="20"/>
              </w:rPr>
              <w:t>System Design Review (SDR)</w:t>
            </w:r>
          </w:p>
        </w:tc>
        <w:tc>
          <w:tcPr>
            <w:tcW w:type="dxa" w:w="3312"/>
          </w:tcPr>
          <w:p>
            <w:r>
              <w:rPr>
                <w:b w:val="0"/>
                <w:sz w:val="20"/>
              </w:rPr>
              <w:t>Draft ICDs for all external interfaces; open standards selection rationale; data rights plan</w:t>
            </w:r>
          </w:p>
        </w:tc>
        <w:tc>
          <w:tcPr>
            <w:tcW w:type="dxa" w:w="3312"/>
          </w:tcPr>
          <w:p>
            <w:r>
              <w:rPr>
                <w:b w:val="0"/>
                <w:sz w:val="20"/>
              </w:rPr>
              <w:t>ICWG review of draft ICDs; Government SE assessment of open standards compliance</w:t>
            </w:r>
          </w:p>
        </w:tc>
      </w:tr>
      <w:tr>
        <w:tc>
          <w:tcPr>
            <w:tcW w:type="dxa" w:w="2016"/>
          </w:tcPr>
          <w:p>
            <w:r>
              <w:rPr>
                <w:b w:val="0"/>
                <w:sz w:val="20"/>
              </w:rPr>
              <w:t>Preliminary Design Review (PDR)</w:t>
            </w:r>
          </w:p>
        </w:tc>
        <w:tc>
          <w:tcPr>
            <w:tcW w:type="dxa" w:w="3312"/>
          </w:tcPr>
          <w:p>
            <w:r>
              <w:rPr>
                <w:b w:val="0"/>
                <w:sz w:val="20"/>
              </w:rPr>
              <w:t>Updated ICDs; Open Standards Compliance Matrix; TDP outline; data rights assertions</w:t>
            </w:r>
          </w:p>
        </w:tc>
        <w:tc>
          <w:tcPr>
            <w:tcW w:type="dxa" w:w="3312"/>
          </w:tcPr>
          <w:p>
            <w:r>
              <w:rPr>
                <w:b w:val="0"/>
                <w:sz w:val="20"/>
              </w:rPr>
              <w:t>Government review of ICDs and compliance matrix; legal review of data rights assertions</w:t>
            </w:r>
          </w:p>
        </w:tc>
      </w:tr>
      <w:tr>
        <w:tc>
          <w:tcPr>
            <w:tcW w:type="dxa" w:w="2016"/>
          </w:tcPr>
          <w:p>
            <w:r>
              <w:rPr>
                <w:b w:val="0"/>
                <w:sz w:val="20"/>
              </w:rPr>
              <w:t>Critical Design Review (CDR)</w:t>
            </w:r>
          </w:p>
        </w:tc>
        <w:tc>
          <w:tcPr>
            <w:tcW w:type="dxa" w:w="3312"/>
          </w:tcPr>
          <w:p>
            <w:r>
              <w:rPr>
                <w:b w:val="0"/>
                <w:sz w:val="20"/>
              </w:rPr>
              <w:t>Final ICDs; completed Open Standards Compliance Matrix; Technical Data Package (TDP)</w:t>
            </w:r>
          </w:p>
        </w:tc>
        <w:tc>
          <w:tcPr>
            <w:tcW w:type="dxa" w:w="3312"/>
          </w:tcPr>
          <w:p>
            <w:r>
              <w:rPr>
                <w:b w:val="0"/>
                <w:sz w:val="20"/>
              </w:rPr>
              <w:t>Competitive demonstration: alternate-source module integrated using only published ICDs</w:t>
            </w:r>
          </w:p>
        </w:tc>
      </w:tr>
      <w:tr>
        <w:tc>
          <w:tcPr>
            <w:tcW w:type="dxa" w:w="2016"/>
          </w:tcPr>
          <w:p>
            <w:r>
              <w:rPr>
                <w:b w:val="0"/>
                <w:sz w:val="20"/>
              </w:rPr>
              <w:t>System Verification Review (SVR)</w:t>
            </w:r>
          </w:p>
        </w:tc>
        <w:tc>
          <w:tcPr>
            <w:tcW w:type="dxa" w:w="3312"/>
          </w:tcPr>
          <w:p>
            <w:r>
              <w:rPr>
                <w:b w:val="0"/>
                <w:sz w:val="20"/>
              </w:rPr>
              <w:t>Verified compliance matrix; as-built ICD updates; final TDP delivery</w:t>
            </w:r>
          </w:p>
        </w:tc>
        <w:tc>
          <w:tcPr>
            <w:tcW w:type="dxa" w:w="3312"/>
          </w:tcPr>
          <w:p>
            <w:r>
              <w:rPr>
                <w:b w:val="0"/>
                <w:sz w:val="20"/>
              </w:rPr>
              <w:t>Government witness of MOSA integration testing; ICD accuracy verification vs. as-built system</w:t>
            </w:r>
          </w:p>
        </w:tc>
      </w:tr>
      <w:tr>
        <w:tc>
          <w:tcPr>
            <w:tcW w:type="dxa" w:w="2016"/>
          </w:tcPr>
          <w:p>
            <w:r>
              <w:rPr>
                <w:b w:val="0"/>
                <w:sz w:val="20"/>
              </w:rPr>
              <w:t>Initial Operational Test &amp; Evaluation (IOT&amp;E)</w:t>
            </w:r>
          </w:p>
        </w:tc>
        <w:tc>
          <w:tcPr>
            <w:tcW w:type="dxa" w:w="3312"/>
          </w:tcPr>
          <w:p>
            <w:r>
              <w:rPr>
                <w:b w:val="0"/>
                <w:sz w:val="20"/>
              </w:rPr>
              <w:t>MOSA compliance certification; operational ICD library; data rights delivery complete</w:t>
            </w:r>
          </w:p>
        </w:tc>
        <w:tc>
          <w:tcPr>
            <w:tcW w:type="dxa" w:w="3312"/>
          </w:tcPr>
          <w:p>
            <w:r>
              <w:rPr>
                <w:b w:val="0"/>
                <w:sz w:val="20"/>
              </w:rPr>
              <w:t>Independent assessment of module replaceability; operational demonstration of open interface compliance</w:t>
            </w:r>
          </w:p>
        </w:tc>
      </w:tr>
    </w:tbl>
    <w:p>
      <w:r>
        <w:br w:type="page"/>
      </w:r>
    </w:p>
    <w:p>
      <w:pPr>
        <w:pStyle w:val="Heading1"/>
        <w:spacing w:before="0" w:after="160"/>
      </w:pPr>
      <w:r>
        <w:t>8. MOSA Risk Register</w:t>
      </w:r>
    </w:p>
    <w:p>
      <w:r>
        <w:t>Per PEO AVN MIG §7.5.5, deviations from the MOSA plan at PDR and CDR are tracked as official program risks with clear mitigations. The following risk register documents MOSA-specific risks to the program’s modularity and openness objectives. Risks are assessed for Likelihood (H/M/L) and Impact on MOSA objectives (H/M/L). Risk owners are responsible for mitigation execution and status reporting at each milestone review.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Pr>
                <w:b/>
                <w:sz w:val="20"/>
              </w:rPr>
              <w:t>Risk Area</w:t>
            </w:r>
          </w:p>
        </w:tc>
        <w:tc>
          <w:tcPr>
            <w:tcW w:type="dxa" w:w="2592"/>
            <w:shd w:val="clear" w:color="auto" w:fill="D9E1F2"/>
          </w:tcPr>
          <w:p>
            <w:r>
              <w:rPr>
                <w:b/>
                <w:sz w:val="20"/>
              </w:rPr>
              <w:t>Description</w:t>
            </w:r>
          </w:p>
        </w:tc>
        <w:tc>
          <w:tcPr>
            <w:tcW w:type="dxa" w:w="720"/>
            <w:shd w:val="clear" w:color="auto" w:fill="D9E1F2"/>
          </w:tcPr>
          <w:p>
            <w:r>
              <w:rPr>
                <w:b/>
                <w:sz w:val="20"/>
              </w:rPr>
              <w:t>Like.</w:t>
            </w:r>
          </w:p>
        </w:tc>
        <w:tc>
          <w:tcPr>
            <w:tcW w:type="dxa" w:w="720"/>
            <w:shd w:val="clear" w:color="auto" w:fill="D9E1F2"/>
          </w:tcPr>
          <w:p>
            <w:r>
              <w:rPr>
                <w:b/>
                <w:sz w:val="20"/>
              </w:rPr>
              <w:t>Impact</w:t>
            </w:r>
          </w:p>
        </w:tc>
        <w:tc>
          <w:tcPr>
            <w:tcW w:type="dxa" w:w="2880"/>
            <w:shd w:val="clear" w:color="auto" w:fill="D9E1F2"/>
          </w:tcPr>
          <w:p>
            <w:r>
              <w:rPr>
                <w:b/>
                <w:sz w:val="20"/>
              </w:rPr>
              <w:t>Mitigation</w:t>
            </w:r>
          </w:p>
        </w:tc>
      </w:tr>
      <w:tr>
        <w:tc>
          <w:tcPr>
            <w:tcW w:type="dxa" w:w="1728"/>
          </w:tcPr>
          <w:p>
            <w:r>
              <w:rPr>
                <w:b w:val="0"/>
                <w:sz w:val="20"/>
              </w:rPr>
              <w:t>Proprietary Interface Lock-in</w:t>
            </w:r>
          </w:p>
        </w:tc>
        <w:tc>
          <w:tcPr>
            <w:tcW w:type="dxa" w:w="2592"/>
          </w:tcPr>
          <w:p>
            <w:r>
              <w:rPr>
                <w:b w:val="0"/>
                <w:sz w:val="20"/>
              </w:rPr>
              <w:t>Contractor delivers proprietary interface implementations that prevent competitive re-sourcing of modules at contract re-competition</w:t>
            </w:r>
          </w:p>
        </w:tc>
        <w:tc>
          <w:tcPr>
            <w:tcW w:type="dxa" w:w="720"/>
          </w:tcPr>
          <w:p>
            <w:pPr>
              <w:jc w:val="center"/>
            </w:pPr>
            <w:r>
              <w:rPr>
                <w:b w:val="0"/>
                <w:sz w:val="20"/>
              </w:rPr>
              <w:t>M</w:t>
            </w:r>
          </w:p>
        </w:tc>
        <w:tc>
          <w:tcPr>
            <w:tcW w:type="dxa" w:w="720"/>
          </w:tcPr>
          <w:p>
            <w:pPr>
              <w:jc w:val="center"/>
            </w:pPr>
            <w:r>
              <w:rPr>
                <w:b w:val="0"/>
                <w:sz w:val="20"/>
              </w:rPr>
              <w:t>H</w:t>
            </w:r>
          </w:p>
        </w:tc>
        <w:tc>
          <w:tcPr>
            <w:tcW w:type="dxa" w:w="2880"/>
          </w:tcPr>
          <w:p>
            <w:r>
              <w:rPr>
                <w:b w:val="0"/>
                <w:sz w:val="20"/>
              </w:rPr>
              <w:t>Require open-standard interfaces as contract requirement; Government review of ICD content at each milestone; enforce ICD delivery with unlimited rights</w:t>
            </w:r>
          </w:p>
        </w:tc>
      </w:tr>
      <w:tr>
        <w:tc>
          <w:tcPr>
            <w:tcW w:type="dxa" w:w="1728"/>
          </w:tcPr>
          <w:p>
            <w:r>
              <w:rPr>
                <w:b w:val="0"/>
                <w:sz w:val="20"/>
              </w:rPr>
              <w:t>Inadequate Data Rights Acquisition</w:t>
            </w:r>
          </w:p>
        </w:tc>
        <w:tc>
          <w:tcPr>
            <w:tcW w:type="dxa" w:w="2592"/>
          </w:tcPr>
          <w:p>
            <w:r>
              <w:rPr>
                <w:b w:val="0"/>
                <w:sz w:val="20"/>
              </w:rPr>
              <w:t>Government fails to acquire sufficient technical data rights to enable independent module sustainment or re-competition</w:t>
            </w:r>
          </w:p>
        </w:tc>
        <w:tc>
          <w:tcPr>
            <w:tcW w:type="dxa" w:w="720"/>
          </w:tcPr>
          <w:p>
            <w:pPr>
              <w:jc w:val="center"/>
            </w:pPr>
            <w:r>
              <w:rPr>
                <w:b w:val="0"/>
                <w:sz w:val="20"/>
              </w:rPr>
              <w:t>M</w:t>
            </w:r>
          </w:p>
        </w:tc>
        <w:tc>
          <w:tcPr>
            <w:tcW w:type="dxa" w:w="720"/>
          </w:tcPr>
          <w:p>
            <w:pPr>
              <w:jc w:val="center"/>
            </w:pPr>
            <w:r>
              <w:rPr>
                <w:b w:val="0"/>
                <w:sz w:val="20"/>
              </w:rPr>
              <w:t>H</w:t>
            </w:r>
          </w:p>
        </w:tc>
        <w:tc>
          <w:tcPr>
            <w:tcW w:type="dxa" w:w="2880"/>
          </w:tcPr>
          <w:p>
            <w:r>
              <w:rPr>
                <w:b w:val="0"/>
                <w:sz w:val="20"/>
              </w:rPr>
              <w:t>Data rights assertions reviewed by legal counsel at PDR; unlimited rights required for all ICDs; GPR minimum for all design data per DFARS 252.227-7013/7014</w:t>
            </w:r>
          </w:p>
        </w:tc>
      </w:tr>
      <w:tr>
        <w:tc>
          <w:tcPr>
            <w:tcW w:type="dxa" w:w="1728"/>
          </w:tcPr>
          <w:p>
            <w:r>
              <w:rPr>
                <w:b w:val="0"/>
                <w:sz w:val="20"/>
              </w:rPr>
              <w:t>Deviation from EAF/EPA Without Concurrence</w:t>
            </w:r>
          </w:p>
        </w:tc>
        <w:tc>
          <w:tcPr>
            <w:tcW w:type="dxa" w:w="2592"/>
          </w:tcPr>
          <w:p>
            <w:r>
              <w:rPr>
                <w:b w:val="0"/>
                <w:sz w:val="20"/>
              </w:rPr>
              <w:t>Contractor solution architecture diverges from PEO AVN EAF without APEO E&amp;A approval, undermining enterprise reuse and interoperability objectives</w:t>
            </w:r>
          </w:p>
        </w:tc>
        <w:tc>
          <w:tcPr>
            <w:tcW w:type="dxa" w:w="720"/>
          </w:tcPr>
          <w:p>
            <w:pPr>
              <w:jc w:val="center"/>
            </w:pPr>
            <w:r>
              <w:rPr>
                <w:b w:val="0"/>
                <w:sz w:val="20"/>
              </w:rPr>
              <w:t>M</w:t>
            </w:r>
          </w:p>
        </w:tc>
        <w:tc>
          <w:tcPr>
            <w:tcW w:type="dxa" w:w="720"/>
          </w:tcPr>
          <w:p>
            <w:pPr>
              <w:jc w:val="center"/>
            </w:pPr>
            <w:r>
              <w:rPr>
                <w:b w:val="0"/>
                <w:sz w:val="20"/>
              </w:rPr>
              <w:t>M</w:t>
            </w:r>
          </w:p>
        </w:tc>
        <w:tc>
          <w:tcPr>
            <w:tcW w:type="dxa" w:w="2880"/>
          </w:tcPr>
          <w:p>
            <w:r>
              <w:rPr>
                <w:b w:val="0"/>
                <w:sz w:val="20"/>
              </w:rPr>
              <w:t>Solution Architecture CSM delivered at PDR for Government review; deviations logged in MOSA Deviations List (DI-MISC-80508); no deviation implemented without PM approval</w:t>
            </w:r>
          </w:p>
        </w:tc>
      </w:tr>
      <w:tr>
        <w:tc>
          <w:tcPr>
            <w:tcW w:type="dxa" w:w="1728"/>
          </w:tcPr>
          <w:p>
            <w:r>
              <w:rPr>
                <w:b w:val="0"/>
                <w:sz w:val="20"/>
              </w:rPr>
              <w:t>FACE/CMOSS Conformance Schedule Risk</w:t>
            </w:r>
          </w:p>
        </w:tc>
        <w:tc>
          <w:tcPr>
            <w:tcW w:type="dxa" w:w="2592"/>
          </w:tcPr>
          <w:p>
            <w:r>
              <w:rPr>
                <w:b w:val="0"/>
                <w:sz w:val="20"/>
              </w:rPr>
              <w:t>Software or hardware components fail to achieve required FACE/CMOSS conformance by CDR, delaying competitive integration demonstration</w:t>
            </w:r>
          </w:p>
        </w:tc>
        <w:tc>
          <w:tcPr>
            <w:tcW w:type="dxa" w:w="720"/>
          </w:tcPr>
          <w:p>
            <w:pPr>
              <w:jc w:val="center"/>
            </w:pPr>
            <w:r>
              <w:rPr>
                <w:b w:val="0"/>
                <w:sz w:val="20"/>
              </w:rPr>
              <w:t>M</w:t>
            </w:r>
          </w:p>
        </w:tc>
        <w:tc>
          <w:tcPr>
            <w:tcW w:type="dxa" w:w="720"/>
          </w:tcPr>
          <w:p>
            <w:pPr>
              <w:jc w:val="center"/>
            </w:pPr>
            <w:r>
              <w:rPr>
                <w:b w:val="0"/>
                <w:sz w:val="20"/>
              </w:rPr>
              <w:t>H</w:t>
            </w:r>
          </w:p>
        </w:tc>
        <w:tc>
          <w:tcPr>
            <w:tcW w:type="dxa" w:w="2880"/>
          </w:tcPr>
          <w:p>
            <w:r>
              <w:rPr>
                <w:b w:val="0"/>
                <w:sz w:val="20"/>
              </w:rPr>
              <w:t>Early engagement with FACE Verification Agent (VA); FACE Conformance Verification Matrix (CVM) maintained starting at SRR; CTS testing milestones embedded in IMS</w:t>
            </w:r>
          </w:p>
        </w:tc>
      </w:tr>
      <w:tr>
        <w:tc>
          <w:tcPr>
            <w:tcW w:type="dxa" w:w="1728"/>
          </w:tcPr>
          <w:p>
            <w:r>
              <w:rPr>
                <w:b w:val="0"/>
                <w:sz w:val="20"/>
              </w:rPr>
              <w:t>Insufficient Module Severability</w:t>
            </w:r>
          </w:p>
        </w:tc>
        <w:tc>
          <w:tcPr>
            <w:tcW w:type="dxa" w:w="2592"/>
          </w:tcPr>
          <w:p>
            <w:r>
              <w:rPr>
                <w:b w:val="0"/>
                <w:sz w:val="20"/>
              </w:rPr>
              <w:t>As-built system does not support independent module replacement without original contractor support, violating 10 U.S.C. § 4401 architecture requirements</w:t>
            </w:r>
          </w:p>
        </w:tc>
        <w:tc>
          <w:tcPr>
            <w:tcW w:type="dxa" w:w="720"/>
          </w:tcPr>
          <w:p>
            <w:pPr>
              <w:jc w:val="center"/>
            </w:pPr>
            <w:r>
              <w:rPr>
                <w:b w:val="0"/>
                <w:sz w:val="20"/>
              </w:rPr>
              <w:t>L</w:t>
            </w:r>
          </w:p>
        </w:tc>
        <w:tc>
          <w:tcPr>
            <w:tcW w:type="dxa" w:w="720"/>
          </w:tcPr>
          <w:p>
            <w:pPr>
              <w:jc w:val="center"/>
            </w:pPr>
            <w:r>
              <w:rPr>
                <w:b w:val="0"/>
                <w:sz w:val="20"/>
              </w:rPr>
              <w:t>H</w:t>
            </w:r>
          </w:p>
        </w:tc>
        <w:tc>
          <w:tcPr>
            <w:tcW w:type="dxa" w:w="2880"/>
          </w:tcPr>
          <w:p>
            <w:r>
              <w:rPr>
                <w:b w:val="0"/>
                <w:sz w:val="20"/>
              </w:rPr>
              <w:t>Competitive demonstration at CDR: alternate-source module integrated using only Government-owned ICDs; Government witness required for demonstration acceptance</w:t>
            </w:r>
          </w:p>
        </w:tc>
      </w:tr>
      <w:tr>
        <w:tc>
          <w:tcPr>
            <w:tcW w:type="dxa" w:w="1728"/>
          </w:tcPr>
          <w:p>
            <w:r>
              <w:rPr>
                <w:b w:val="0"/>
                <w:sz w:val="20"/>
              </w:rPr>
              <w:t>Interface Creep / ICD Drift</w:t>
            </w:r>
          </w:p>
        </w:tc>
        <w:tc>
          <w:tcPr>
            <w:tcW w:type="dxa" w:w="2592"/>
          </w:tcPr>
          <w:p>
            <w:r>
              <w:rPr>
                <w:b w:val="0"/>
                <w:sz w:val="20"/>
              </w:rPr>
              <w:t>Undocumented interface changes accumulate, causing ICD to diverge from as-built system and reducing Government ability to independently specify replacement modules</w:t>
            </w:r>
          </w:p>
        </w:tc>
        <w:tc>
          <w:tcPr>
            <w:tcW w:type="dxa" w:w="720"/>
          </w:tcPr>
          <w:p>
            <w:pPr>
              <w:jc w:val="center"/>
            </w:pPr>
            <w:r>
              <w:rPr>
                <w:b w:val="0"/>
                <w:sz w:val="20"/>
              </w:rPr>
              <w:t>M</w:t>
            </w:r>
          </w:p>
        </w:tc>
        <w:tc>
          <w:tcPr>
            <w:tcW w:type="dxa" w:w="720"/>
          </w:tcPr>
          <w:p>
            <w:pPr>
              <w:jc w:val="center"/>
            </w:pPr>
            <w:r>
              <w:rPr>
                <w:b w:val="0"/>
                <w:sz w:val="20"/>
              </w:rPr>
              <w:t>M</w:t>
            </w:r>
          </w:p>
        </w:tc>
        <w:tc>
          <w:tcPr>
            <w:tcW w:type="dxa" w:w="2880"/>
          </w:tcPr>
          <w:p>
            <w:r>
              <w:rPr>
                <w:b w:val="0"/>
                <w:sz w:val="20"/>
              </w:rPr>
              <w:t>ICWG reviews all ECP / EO actions affecting interfaces; ICD change triggers Government notification; ICD configuration control enforced in contract CM plan</w:t>
            </w:r>
          </w:p>
        </w:tc>
      </w:tr>
      <w:tr>
        <w:tc>
          <w:tcPr>
            <w:tcW w:type="dxa" w:w="1728"/>
          </w:tcPr>
          <w:p>
            <w:r>
              <w:rPr>
                <w:b w:val="0"/>
                <w:sz w:val="20"/>
              </w:rPr>
              <w:t>Obsolescence: its functional</w:t>
            </w:r>
          </w:p>
        </w:tc>
        <w:tc>
          <w:tcPr>
            <w:tcW w:type="dxa" w:w="2592"/>
          </w:tcPr>
          <w:p>
            <w:r>
              <w:rPr>
                <w:b w:val="0"/>
                <w:sz w:val="20"/>
              </w:rPr>
              <w:t>its functional identified as an obsolescence risk. Component end-of-life may force unplanned redesign</w:t>
            </w:r>
          </w:p>
        </w:tc>
        <w:tc>
          <w:tcPr>
            <w:tcW w:type="dxa" w:w="720"/>
          </w:tcPr>
          <w:p>
            <w:pPr>
              <w:jc w:val="center"/>
            </w:pPr>
            <w:r>
              <w:rPr>
                <w:b w:val="0"/>
                <w:sz w:val="20"/>
              </w:rPr>
              <w:t>M</w:t>
            </w:r>
          </w:p>
        </w:tc>
        <w:tc>
          <w:tcPr>
            <w:tcW w:type="dxa" w:w="720"/>
          </w:tcPr>
          <w:p>
            <w:pPr>
              <w:jc w:val="center"/>
            </w:pPr>
            <w:r>
              <w:rPr>
                <w:b w:val="0"/>
                <w:sz w:val="20"/>
              </w:rPr>
              <w:t>M</w:t>
            </w:r>
          </w:p>
        </w:tc>
        <w:tc>
          <w:tcPr>
            <w:tcW w:type="dxa" w:w="2880"/>
          </w:tcPr>
          <w:p>
            <w:r>
              <w:rPr>
                <w:b w:val="0"/>
                <w:sz w:val="20"/>
              </w:rPr>
              <w:t>Modular replacement path defined in ICD; COTS insertion plan in LCMP; technology refresh milestone in IMS; Government rights for independent refresh</w:t>
            </w:r>
          </w:p>
        </w:tc>
      </w:tr>
      <w:tr>
        <w:tc>
          <w:tcPr>
            <w:tcW w:type="dxa" w:w="1728"/>
          </w:tcPr>
          <w:p>
            <w:r>
              <w:rPr>
                <w:b w:val="0"/>
                <w:sz w:val="20"/>
              </w:rPr>
              <w:t>Program Tech Risk Impact on MOSA</w:t>
            </w:r>
          </w:p>
        </w:tc>
        <w:tc>
          <w:tcPr>
            <w:tcW w:type="dxa" w:w="2592"/>
          </w:tcPr>
          <w:p>
            <w:r>
              <w:rPr>
                <w:b w:val="0"/>
                <w:sz w:val="20"/>
              </w:rPr>
              <w:t>Technical challenge – many risks – may limit ability to achieve required modular boundaries or open-standard compliance</w:t>
            </w:r>
          </w:p>
        </w:tc>
        <w:tc>
          <w:tcPr>
            <w:tcW w:type="dxa" w:w="720"/>
          </w:tcPr>
          <w:p>
            <w:pPr>
              <w:jc w:val="center"/>
            </w:pPr>
            <w:r>
              <w:rPr>
                <w:b w:val="0"/>
                <w:sz w:val="20"/>
              </w:rPr>
              <w:t>M</w:t>
            </w:r>
          </w:p>
        </w:tc>
        <w:tc>
          <w:tcPr>
            <w:tcW w:type="dxa" w:w="720"/>
          </w:tcPr>
          <w:p>
            <w:pPr>
              <w:jc w:val="center"/>
            </w:pPr>
            <w:r>
              <w:rPr>
                <w:b w:val="0"/>
                <w:sz w:val="20"/>
              </w:rPr>
              <w:t>M</w:t>
            </w:r>
          </w:p>
        </w:tc>
        <w:tc>
          <w:tcPr>
            <w:tcW w:type="dxa" w:w="2880"/>
          </w:tcPr>
          <w:p>
            <w:r>
              <w:rPr>
                <w:b w:val="0"/>
                <w:sz w:val="20"/>
              </w:rPr>
              <w:t>Modular architecture limits blast radius; MOSA enables competitive re-sourcing even if one module requires proprietary solution with PM-approved deviation</w:t>
            </w:r>
          </w:p>
        </w:tc>
      </w:tr>
    </w:tbl>
    <w:p>
      <w:r>
        <w:br w:type="page"/>
      </w:r>
    </w:p>
    <w:p>
      <w:pPr>
        <w:pStyle w:val="Heading1"/>
        <w:spacing w:before="0" w:after="160"/>
      </w:pPr>
      <w:r>
        <w:t>9. PEO AVN MOSA Self-Assessment</w:t>
      </w:r>
    </w:p>
    <w:p>
      <w:r>
        <w:t>Per PEO AVN MIG §7.4, the PMO is responsible for completing the PEO Aviation MOSA Assessment Matrix (Appendix E of the MIG). The matrix documents how the program intends to satisfy Title 10, ASA(ALT) Implementation Guidance, and PEO Aviation MOSA Implementation Guidance. This section captures the program’s self-assessment responses against the four matrix tabs: (1) Title 10 Checklist, (2) ASA(ALT) Guidance mapping, (3) ASA(ALT) MOSA Checklist, and (4) PEO Aviation MOSA Checklist. The completed MOSA Assessment Matrix (Excel workbook) accompanies this plan as an attachment.</w:t>
      </w:r>
    </w:p>
    <w:p>
      <w:pPr>
        <w:pStyle w:val="Heading2"/>
        <w:spacing w:before="240" w:after="120"/>
      </w:pPr>
      <w:r>
        <w:t>9.1 PEO Aviation MOSA Checklist Responses</w:t>
      </w:r>
    </w:p>
    <w:p>
      <w:r>
        <w:t>The following table provides self-assessment responses to PEO Aviation stakeholder concerns per MIG §7.5. Responses with robust rationale enable PEO E&amp;A architects to evaluate line-by-line conformance per MIG §7.4. Rationale should remove as much subjectivity from the measurement as practical.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sz w:val="20"/>
              </w:rPr>
              <w:t>PEO AVN Stakeholder Concern / Question</w:t>
            </w:r>
          </w:p>
        </w:tc>
        <w:tc>
          <w:tcPr>
            <w:tcW w:type="dxa" w:w="1152"/>
            <w:shd w:val="clear" w:color="auto" w:fill="D9E1F2"/>
          </w:tcPr>
          <w:p>
            <w:r>
              <w:rPr>
                <w:b/>
                <w:sz w:val="20"/>
              </w:rPr>
              <w:t>Response</w:t>
            </w:r>
          </w:p>
        </w:tc>
        <w:tc>
          <w:tcPr>
            <w:tcW w:type="dxa" w:w="4608"/>
            <w:shd w:val="clear" w:color="auto" w:fill="D9E1F2"/>
          </w:tcPr>
          <w:p>
            <w:r>
              <w:rPr>
                <w:b/>
                <w:sz w:val="20"/>
              </w:rPr>
              <w:t>Rationale</w:t>
            </w:r>
          </w:p>
        </w:tc>
      </w:tr>
      <w:tr>
        <w:tc>
          <w:tcPr>
            <w:tcW w:type="dxa" w:w="2880"/>
          </w:tcPr>
          <w:p>
            <w:r>
              <w:rPr>
                <w:b w:val="0"/>
                <w:sz w:val="20"/>
              </w:rPr>
              <w:t>Has the program established MOSA objectives aligned to PEO AVN enterprise goals?</w:t>
            </w:r>
          </w:p>
        </w:tc>
        <w:tc>
          <w:tcPr>
            <w:tcW w:type="dxa" w:w="1152"/>
          </w:tcPr>
          <w:p>
            <w:r>
              <w:rPr>
                <w:b w:val="0"/>
                <w:sz w:val="20"/>
              </w:rPr>
              <w:t>Yes – documented in Section 1 of this MCP</w:t>
            </w:r>
          </w:p>
        </w:tc>
        <w:tc>
          <w:tcPr>
            <w:tcW w:type="dxa" w:w="4608"/>
          </w:tcPr>
          <w:p>
            <w:r>
              <w:rPr>
                <w:b w:val="0"/>
                <w:sz w:val="20"/>
              </w:rPr>
              <w:t>MOSA objectives are derived from PEO AVN MIG enterprise goals and tailored to Test Program program needs</w:t>
            </w:r>
          </w:p>
        </w:tc>
      </w:tr>
      <w:tr>
        <w:tc>
          <w:tcPr>
            <w:tcW w:type="dxa" w:w="2880"/>
          </w:tcPr>
          <w:p>
            <w:r>
              <w:rPr>
                <w:b w:val="0"/>
                <w:sz w:val="20"/>
              </w:rPr>
              <w:t>Has the program defined MOSA scenarios and use cases driving modularity decisions?</w:t>
            </w:r>
          </w:p>
        </w:tc>
        <w:tc>
          <w:tcPr>
            <w:tcW w:type="dxa" w:w="1152"/>
          </w:tcPr>
          <w:p>
            <w:r>
              <w:rPr>
                <w:b w:val="0"/>
                <w:sz w:val="20"/>
              </w:rPr>
              <w:t>Yes</w:t>
            </w:r>
          </w:p>
        </w:tc>
        <w:tc>
          <w:tcPr>
            <w:tcW w:type="dxa" w:w="4608"/>
          </w:tcPr>
          <w:p>
            <w:r>
              <w:rPr>
                <w:b w:val="0"/>
                <w:sz w:val="20"/>
              </w:rPr>
              <w:t>they just do idk</w:t>
            </w:r>
          </w:p>
        </w:tc>
      </w:tr>
      <w:tr>
        <w:tc>
          <w:tcPr>
            <w:tcW w:type="dxa" w:w="2880"/>
          </w:tcPr>
          <w:p>
            <w:r>
              <w:rPr>
                <w:b w:val="0"/>
                <w:sz w:val="20"/>
              </w:rPr>
              <w:t>Is the Solution Architecture (SA) aligned with the EAF and mapped to MOSA objectives?</w:t>
            </w:r>
          </w:p>
        </w:tc>
        <w:tc>
          <w:tcPr>
            <w:tcW w:type="dxa" w:w="1152"/>
          </w:tcPr>
          <w:p>
            <w:r>
              <w:rPr>
                <w:b w:val="0"/>
                <w:sz w:val="20"/>
              </w:rPr>
              <w:t>In progress – SA to be derived from GFI CSM and delivered at PDR</w:t>
            </w:r>
          </w:p>
        </w:tc>
        <w:tc>
          <w:tcPr>
            <w:tcW w:type="dxa" w:w="4608"/>
          </w:tcPr>
          <w:p>
            <w:r>
              <w:rPr>
                <w:b w:val="0"/>
                <w:sz w:val="20"/>
              </w:rPr>
              <w:t>Program will work with APEO E&amp;A to generate SA from EAF; model delivered at PDR with deviations documented in MOSA Deviations List</w:t>
            </w:r>
          </w:p>
        </w:tc>
      </w:tr>
      <w:tr>
        <w:tc>
          <w:tcPr>
            <w:tcW w:type="dxa" w:w="2880"/>
          </w:tcPr>
          <w:p>
            <w:r>
              <w:rPr>
                <w:b w:val="0"/>
                <w:sz w:val="20"/>
              </w:rPr>
              <w:t>Are Major System Components (MSCs) and Modular System Interfaces (MSIs) defined?</w:t>
            </w:r>
          </w:p>
        </w:tc>
        <w:tc>
          <w:tcPr>
            <w:tcW w:type="dxa" w:w="1152"/>
          </w:tcPr>
          <w:p>
            <w:r>
              <w:rPr>
                <w:b w:val="0"/>
                <w:sz w:val="20"/>
              </w:rPr>
              <w:t>Partially – candidate modules identified; formal MSC/MSI boundaries at SRR</w:t>
            </w:r>
          </w:p>
        </w:tc>
        <w:tc>
          <w:tcPr>
            <w:tcW w:type="dxa" w:w="4608"/>
          </w:tcPr>
          <w:p>
            <w:r>
              <w:rPr>
                <w:b w:val="0"/>
                <w:sz w:val="20"/>
              </w:rPr>
              <w:t>Candidate modules: its functional. Formal MSC boundaries will be established at SRR in coordination with APEO E&amp;A</w:t>
            </w:r>
          </w:p>
        </w:tc>
      </w:tr>
      <w:tr>
        <w:tc>
          <w:tcPr>
            <w:tcW w:type="dxa" w:w="2880"/>
          </w:tcPr>
          <w:p>
            <w:r>
              <w:rPr>
                <w:b w:val="0"/>
                <w:sz w:val="20"/>
              </w:rPr>
              <w:t>Has the program searched the MOSA reuse repository for applicable components?</w:t>
            </w:r>
          </w:p>
        </w:tc>
        <w:tc>
          <w:tcPr>
            <w:tcW w:type="dxa" w:w="1152"/>
          </w:tcPr>
          <w:p>
            <w:r>
              <w:rPr>
                <w:b w:val="0"/>
                <w:sz w:val="20"/>
              </w:rPr>
              <w:t>Yes</w:t>
            </w:r>
          </w:p>
        </w:tc>
        <w:tc>
          <w:tcPr>
            <w:tcW w:type="dxa" w:w="4608"/>
          </w:tcPr>
          <w:p>
            <w:r>
              <w:rPr>
                <w:b w:val="0"/>
                <w:sz w:val="20"/>
              </w:rPr>
              <w:t>Repository search results will be incorporated into standards selection and statement of work; existing MOSA QMR library components will be considered</w:t>
            </w:r>
          </w:p>
        </w:tc>
      </w:tr>
      <w:tr>
        <w:tc>
          <w:tcPr>
            <w:tcW w:type="dxa" w:w="2880"/>
          </w:tcPr>
          <w:p>
            <w:r>
              <w:rPr>
                <w:b w:val="0"/>
                <w:sz w:val="20"/>
              </w:rPr>
              <w:t>Does the program leverage FACE Technical Standard for software components?</w:t>
            </w:r>
          </w:p>
        </w:tc>
        <w:tc>
          <w:tcPr>
            <w:tcW w:type="dxa" w:w="1152"/>
          </w:tcPr>
          <w:p>
            <w:r>
              <w:rPr>
                <w:b w:val="0"/>
                <w:sz w:val="20"/>
              </w:rPr>
              <w:t>Yes – required for all UoCs at key interfaces</w:t>
            </w:r>
          </w:p>
        </w:tc>
        <w:tc>
          <w:tcPr>
            <w:tcW w:type="dxa" w:w="4608"/>
          </w:tcPr>
          <w:p>
            <w:r>
              <w:rPr>
                <w:b w:val="0"/>
                <w:sz w:val="20"/>
              </w:rPr>
              <w:t>FACE applicability determined based on software reuse potential and interface criticality; FACE VA engagement planned</w:t>
            </w:r>
          </w:p>
        </w:tc>
      </w:tr>
      <w:tr>
        <w:tc>
          <w:tcPr>
            <w:tcW w:type="dxa" w:w="2880"/>
          </w:tcPr>
          <w:p>
            <w:r>
              <w:rPr>
                <w:b w:val="0"/>
                <w:sz w:val="20"/>
              </w:rPr>
              <w:t>Are component models developed with open interfaces or GPR for used interfaces?</w:t>
            </w:r>
          </w:p>
        </w:tc>
        <w:tc>
          <w:tcPr>
            <w:tcW w:type="dxa" w:w="1152"/>
          </w:tcPr>
          <w:p>
            <w:r>
              <w:rPr>
                <w:b w:val="0"/>
                <w:sz w:val="20"/>
              </w:rPr>
              <w:t>Yes – required by contract; ICD delivery with unlimited rights</w:t>
            </w:r>
          </w:p>
        </w:tc>
        <w:tc>
          <w:tcPr>
            <w:tcW w:type="dxa" w:w="4608"/>
          </w:tcPr>
          <w:p>
            <w:r>
              <w:rPr>
                <w:b w:val="0"/>
                <w:sz w:val="20"/>
              </w:rPr>
              <w:t>face</w:t>
            </w:r>
          </w:p>
        </w:tc>
      </w:tr>
      <w:tr>
        <w:tc>
          <w:tcPr>
            <w:tcW w:type="dxa" w:w="2880"/>
          </w:tcPr>
          <w:p>
            <w:r>
              <w:rPr>
                <w:b w:val="0"/>
                <w:sz w:val="20"/>
              </w:rPr>
              <w:t>Is the project CSM aligned with the EAF / FAF and GFI model?</w:t>
            </w:r>
          </w:p>
        </w:tc>
        <w:tc>
          <w:tcPr>
            <w:tcW w:type="dxa" w:w="1152"/>
          </w:tcPr>
          <w:p>
            <w:r>
              <w:rPr>
                <w:b w:val="0"/>
                <w:sz w:val="20"/>
              </w:rPr>
              <w:t>In progress – GFI CSM to be provided to contractor at contract award</w:t>
            </w:r>
          </w:p>
        </w:tc>
        <w:tc>
          <w:tcPr>
            <w:tcW w:type="dxa" w:w="4608"/>
          </w:tcPr>
          <w:p>
            <w:r>
              <w:rPr>
                <w:b w:val="0"/>
                <w:sz w:val="20"/>
              </w:rPr>
              <w:t>Government will provide GFI CSM derived from PEO AVN EAF; contractor shall deliver Solution Architecture model derived from GFI CSM at PDR</w:t>
            </w:r>
          </w:p>
        </w:tc>
      </w:tr>
      <w:tr>
        <w:tc>
          <w:tcPr>
            <w:tcW w:type="dxa" w:w="2880"/>
          </w:tcPr>
          <w:p>
            <w:r>
              <w:rPr>
                <w:b w:val="0"/>
                <w:sz w:val="20"/>
              </w:rPr>
              <w:t>Are data rights being acquired consistent with requirements and MOSA expectations?</w:t>
            </w:r>
          </w:p>
        </w:tc>
        <w:tc>
          <w:tcPr>
            <w:tcW w:type="dxa" w:w="1152"/>
          </w:tcPr>
          <w:p>
            <w:r>
              <w:rPr>
                <w:b w:val="0"/>
                <w:sz w:val="20"/>
              </w:rPr>
              <w:t>Yes – data rights strategy documented in Section 6</w:t>
            </w:r>
          </w:p>
        </w:tc>
        <w:tc>
          <w:tcPr>
            <w:tcW w:type="dxa" w:w="4608"/>
          </w:tcPr>
          <w:p>
            <w:r>
              <w:rPr>
                <w:b w:val="0"/>
                <w:sz w:val="20"/>
              </w:rPr>
              <w:t>Unlimited rights on ICDs; minimum GPR on design data; DFARS 252.227-7013/7014 clause included in all contracts; assertions reviewed at PDR</w:t>
            </w:r>
          </w:p>
        </w:tc>
      </w:tr>
      <w:tr>
        <w:tc>
          <w:tcPr>
            <w:tcW w:type="dxa" w:w="2880"/>
          </w:tcPr>
          <w:p>
            <w:r>
              <w:rPr>
                <w:b w:val="0"/>
                <w:sz w:val="20"/>
              </w:rPr>
              <w:t>Is the MOSA TPM defined and reported at each technical review?</w:t>
            </w:r>
          </w:p>
        </w:tc>
        <w:tc>
          <w:tcPr>
            <w:tcW w:type="dxa" w:w="1152"/>
          </w:tcPr>
          <w:p>
            <w:r>
              <w:rPr>
                <w:b w:val="0"/>
                <w:sz w:val="20"/>
              </w:rPr>
              <w:t>Planned – MOSA TPM to be defined at SRR and reported at each review thereafter</w:t>
            </w:r>
          </w:p>
        </w:tc>
        <w:tc>
          <w:tcPr>
            <w:tcW w:type="dxa" w:w="4608"/>
          </w:tcPr>
          <w:p>
            <w:r>
              <w:rPr>
                <w:b w:val="0"/>
                <w:sz w:val="20"/>
              </w:rPr>
              <w:t>MOSA TPM will track: % of MSIs with Government-owned ICDs; % of modules meeting open-standard conformance; severability demonstration status</w:t>
            </w:r>
          </w:p>
        </w:tc>
      </w:tr>
    </w:tbl>
    <w:p>
      <w:pPr>
        <w:pStyle w:val="Heading2"/>
        <w:spacing w:before="240" w:after="120"/>
      </w:pPr>
      <w:r>
        <w:t>9.2 Iterative Assessment Schedule</w:t>
      </w:r>
    </w:p>
    <w:p>
      <w:r>
        <w:t>Per MIG §7.5.1, MOSA assessments are iterative across the program lifecycle. The following schedule establishes when formal self-assessments and independent assessments will be conducted:</w:t>
      </w:r>
    </w:p>
    <w:tbl>
      <w:tblPr>
        <w:tblStyle w:val="TableGrid"/>
        <w:tblW w:type="auto" w:w="0"/>
        <w:tblLook w:firstColumn="1" w:firstRow="1" w:lastColumn="0" w:lastRow="0" w:noHBand="0" w:noVBand="1" w:val="04A0"/>
      </w:tblPr>
      <w:tblGrid>
        <w:gridCol w:w="2880"/>
        <w:gridCol w:w="2880"/>
        <w:gridCol w:w="2880"/>
      </w:tblGrid>
      <w:tr>
        <w:tc>
          <w:tcPr>
            <w:tcW w:type="dxa" w:w="1440"/>
            <w:shd w:val="clear" w:color="auto" w:fill="D9E1F2"/>
          </w:tcPr>
          <w:p>
            <w:r>
              <w:rPr>
                <w:b/>
                <w:sz w:val="20"/>
              </w:rPr>
              <w:t>Phase / Milestone</w:t>
            </w:r>
          </w:p>
        </w:tc>
        <w:tc>
          <w:tcPr>
            <w:tcW w:type="dxa" w:w="2304"/>
            <w:shd w:val="clear" w:color="auto" w:fill="D9E1F2"/>
          </w:tcPr>
          <w:p>
            <w:r>
              <w:rPr>
                <w:b/>
                <w:sz w:val="20"/>
              </w:rPr>
              <w:t>Assessment Type</w:t>
            </w:r>
          </w:p>
        </w:tc>
        <w:tc>
          <w:tcPr>
            <w:tcW w:type="dxa" w:w="4896"/>
            <w:shd w:val="clear" w:color="auto" w:fill="D9E1F2"/>
          </w:tcPr>
          <w:p>
            <w:r>
              <w:rPr>
                <w:b/>
                <w:sz w:val="20"/>
              </w:rPr>
              <w:t>Activities &amp; Evidence</w:t>
            </w:r>
          </w:p>
        </w:tc>
      </w:tr>
      <w:tr>
        <w:tc>
          <w:tcPr>
            <w:tcW w:type="dxa" w:w="1440"/>
          </w:tcPr>
          <w:p>
            <w:r>
              <w:rPr>
                <w:b w:val="0"/>
                <w:sz w:val="20"/>
              </w:rPr>
              <w:t>Pre-RFP</w:t>
            </w:r>
          </w:p>
        </w:tc>
        <w:tc>
          <w:tcPr>
            <w:tcW w:type="dxa" w:w="2304"/>
          </w:tcPr>
          <w:p>
            <w:r>
              <w:rPr>
                <w:b w:val="0"/>
                <w:sz w:val="20"/>
              </w:rPr>
              <w:t>PMO Self-Assessment (Step 1)</w:t>
            </w:r>
          </w:p>
        </w:tc>
        <w:tc>
          <w:tcPr>
            <w:tcW w:type="dxa" w:w="4896"/>
          </w:tcPr>
          <w:p>
            <w:r>
              <w:rPr>
                <w:b w:val="0"/>
                <w:sz w:val="20"/>
              </w:rPr>
              <w:t>Draft MCP; initial MOSA Assessment Matrix; GFI CSM issued</w:t>
            </w:r>
          </w:p>
        </w:tc>
      </w:tr>
      <w:tr>
        <w:tc>
          <w:tcPr>
            <w:tcW w:type="dxa" w:w="1440"/>
          </w:tcPr>
          <w:p>
            <w:r>
              <w:rPr>
                <w:b w:val="0"/>
                <w:sz w:val="20"/>
              </w:rPr>
              <w:t>Post-Contract Award</w:t>
            </w:r>
          </w:p>
        </w:tc>
        <w:tc>
          <w:tcPr>
            <w:tcW w:type="dxa" w:w="2304"/>
          </w:tcPr>
          <w:p>
            <w:r>
              <w:rPr>
                <w:b w:val="0"/>
                <w:sz w:val="20"/>
              </w:rPr>
              <w:t>PMO review of contractor OSMP</w:t>
            </w:r>
          </w:p>
        </w:tc>
        <w:tc>
          <w:tcPr>
            <w:tcW w:type="dxa" w:w="4896"/>
          </w:tcPr>
          <w:p>
            <w:r>
              <w:rPr>
                <w:b w:val="0"/>
                <w:sz w:val="20"/>
              </w:rPr>
              <w:t>Contractor OSMP reviewed against MCP; deviations documented</w:t>
            </w:r>
          </w:p>
        </w:tc>
      </w:tr>
      <w:tr>
        <w:tc>
          <w:tcPr>
            <w:tcW w:type="dxa" w:w="1440"/>
          </w:tcPr>
          <w:p>
            <w:r>
              <w:rPr>
                <w:b w:val="0"/>
                <w:sz w:val="20"/>
              </w:rPr>
              <w:t>Pre-SRR/SFR</w:t>
            </w:r>
          </w:p>
        </w:tc>
        <w:tc>
          <w:tcPr>
            <w:tcW w:type="dxa" w:w="2304"/>
          </w:tcPr>
          <w:p>
            <w:r>
              <w:rPr>
                <w:b w:val="0"/>
                <w:sz w:val="20"/>
              </w:rPr>
              <w:t>PMO Self-Assessment (Step 1)</w:t>
            </w:r>
          </w:p>
        </w:tc>
        <w:tc>
          <w:tcPr>
            <w:tcW w:type="dxa" w:w="4896"/>
          </w:tcPr>
          <w:p>
            <w:r>
              <w:rPr>
                <w:b w:val="0"/>
                <w:sz w:val="20"/>
              </w:rPr>
              <w:t>Updated Assessment Matrix; SRR entrance criteria include MOSA status</w:t>
            </w:r>
          </w:p>
        </w:tc>
      </w:tr>
      <w:tr>
        <w:tc>
          <w:tcPr>
            <w:tcW w:type="dxa" w:w="1440"/>
          </w:tcPr>
          <w:p>
            <w:r>
              <w:rPr>
                <w:b w:val="0"/>
                <w:sz w:val="20"/>
              </w:rPr>
              <w:t>PDR</w:t>
            </w:r>
          </w:p>
        </w:tc>
        <w:tc>
          <w:tcPr>
            <w:tcW w:type="dxa" w:w="2304"/>
          </w:tcPr>
          <w:p>
            <w:r>
              <w:rPr>
                <w:b w:val="0"/>
                <w:sz w:val="20"/>
              </w:rPr>
              <w:t>PMO + Independent Assessment (Steps 1–2)</w:t>
            </w:r>
          </w:p>
        </w:tc>
        <w:tc>
          <w:tcPr>
            <w:tcW w:type="dxa" w:w="4896"/>
          </w:tcPr>
          <w:p>
            <w:r>
              <w:rPr>
                <w:b w:val="0"/>
                <w:sz w:val="20"/>
              </w:rPr>
              <w:t>Solution Architecture CDM review; MOSA TPM status; ICD baseline review</w:t>
            </w:r>
          </w:p>
        </w:tc>
      </w:tr>
      <w:tr>
        <w:tc>
          <w:tcPr>
            <w:tcW w:type="dxa" w:w="1440"/>
          </w:tcPr>
          <w:p>
            <w:r>
              <w:rPr>
                <w:b w:val="0"/>
                <w:sz w:val="20"/>
              </w:rPr>
              <w:t>CDR</w:t>
            </w:r>
          </w:p>
        </w:tc>
        <w:tc>
          <w:tcPr>
            <w:tcW w:type="dxa" w:w="2304"/>
          </w:tcPr>
          <w:p>
            <w:r>
              <w:rPr>
                <w:b w:val="0"/>
                <w:sz w:val="20"/>
              </w:rPr>
              <w:t>Independent Assessment (Step 2) + AAE if MDAP</w:t>
            </w:r>
          </w:p>
        </w:tc>
        <w:tc>
          <w:tcPr>
            <w:tcW w:type="dxa" w:w="4896"/>
          </w:tcPr>
          <w:p>
            <w:r>
              <w:rPr>
                <w:b w:val="0"/>
                <w:sz w:val="20"/>
              </w:rPr>
              <w:t>Competitive module demonstration; final ICD review; data rights verification</w:t>
            </w:r>
          </w:p>
        </w:tc>
      </w:tr>
      <w:tr>
        <w:tc>
          <w:tcPr>
            <w:tcW w:type="dxa" w:w="1440"/>
          </w:tcPr>
          <w:p>
            <w:r>
              <w:rPr>
                <w:b w:val="0"/>
                <w:sz w:val="20"/>
              </w:rPr>
              <w:t>Pre-LRIP/FRP</w:t>
            </w:r>
          </w:p>
        </w:tc>
        <w:tc>
          <w:tcPr>
            <w:tcW w:type="dxa" w:w="2304"/>
          </w:tcPr>
          <w:p>
            <w:r>
              <w:rPr>
                <w:b w:val="0"/>
                <w:sz w:val="20"/>
              </w:rPr>
              <w:t>Third-party assessment via OpenITB or equivalent</w:t>
            </w:r>
          </w:p>
        </w:tc>
        <w:tc>
          <w:tcPr>
            <w:tcW w:type="dxa" w:w="4896"/>
          </w:tcPr>
          <w:p>
            <w:r>
              <w:rPr>
                <w:b w:val="0"/>
                <w:sz w:val="20"/>
              </w:rPr>
              <w:t>Independent integration demonstration; replaceability validation</w:t>
            </w:r>
          </w:p>
        </w:tc>
      </w:tr>
    </w:tbl>
    <w:p>
      <w:r>
        <w:br w:type="page"/>
      </w:r>
    </w:p>
    <w:p>
      <w:pPr>
        <w:pStyle w:val="Heading1"/>
        <w:spacing w:before="0" w:after="160"/>
      </w:pPr>
      <w:r>
        <w:t>10. MOSA Scenario Mapping</w:t>
      </w:r>
    </w:p>
    <w:p>
      <w:r>
        <w:t>The following table maps MOSA scenarios to the affected modules and the implementation strategy for each. MOSA scenarios represent anticipated lifecycle events — such as competitive re-sourcing, technology refresh, or capability upgrade — that the modular architecture must be designed to accommodate. Program-specific scenarios are listed first, followed by standard MOSA lifecycle scenarios.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D9E1F2"/>
          </w:tcPr>
          <w:p>
            <w:r>
              <w:rPr>
                <w:b/>
                <w:sz w:val="20"/>
              </w:rPr>
              <w:t>MOSA Scenario</w:t>
            </w:r>
          </w:p>
        </w:tc>
        <w:tc>
          <w:tcPr>
            <w:tcW w:type="dxa" w:w="2016"/>
            <w:shd w:val="clear" w:color="auto" w:fill="D9E1F2"/>
          </w:tcPr>
          <w:p>
            <w:r>
              <w:rPr>
                <w:b/>
                <w:sz w:val="20"/>
              </w:rPr>
              <w:t>Affected Modules</w:t>
            </w:r>
          </w:p>
        </w:tc>
        <w:tc>
          <w:tcPr>
            <w:tcW w:type="dxa" w:w="4320"/>
            <w:shd w:val="clear" w:color="auto" w:fill="D9E1F2"/>
          </w:tcPr>
          <w:p>
            <w:r>
              <w:rPr>
                <w:b/>
                <w:sz w:val="20"/>
              </w:rPr>
              <w:t>Implementation Strategy</w:t>
            </w:r>
          </w:p>
        </w:tc>
      </w:tr>
      <w:tr>
        <w:tc>
          <w:tcPr>
            <w:tcW w:type="dxa" w:w="2304"/>
          </w:tcPr>
          <w:p>
            <w:r>
              <w:rPr>
                <w:b w:val="0"/>
                <w:sz w:val="20"/>
              </w:rPr>
              <w:t>they just do idk</w:t>
            </w:r>
          </w:p>
        </w:tc>
        <w:tc>
          <w:tcPr>
            <w:tcW w:type="dxa" w:w="2016"/>
          </w:tcPr>
          <w:p>
            <w:r>
              <w:rPr>
                <w:b w:val="0"/>
                <w:sz w:val="20"/>
              </w:rPr>
              <w:t>its functional</w:t>
            </w:r>
          </w:p>
        </w:tc>
        <w:tc>
          <w:tcPr>
            <w:tcW w:type="dxa" w:w="4320"/>
          </w:tcPr>
          <w:p>
            <w:r>
              <w:rPr>
                <w:b w:val="0"/>
                <w:sz w:val="20"/>
              </w:rPr>
              <w:t>Enforce open standards at module interfaces; ensure ICD data rights; validate replaceability at CDR</w:t>
            </w:r>
          </w:p>
        </w:tc>
      </w:tr>
      <w:tr>
        <w:tc>
          <w:tcPr>
            <w:tcW w:type="dxa" w:w="2304"/>
          </w:tcPr>
          <w:p>
            <w:r>
              <w:rPr>
                <w:b w:val="0"/>
                <w:sz w:val="20"/>
              </w:rPr>
              <w:t>Competitive re-sourcing of a module at contract re-competition</w:t>
            </w:r>
          </w:p>
        </w:tc>
        <w:tc>
          <w:tcPr>
            <w:tcW w:type="dxa" w:w="2016"/>
          </w:tcPr>
          <w:p>
            <w:r>
              <w:rPr>
                <w:b w:val="0"/>
                <w:sz w:val="20"/>
              </w:rPr>
              <w:t>its functional</w:t>
            </w:r>
          </w:p>
        </w:tc>
        <w:tc>
          <w:tcPr>
            <w:tcW w:type="dxa" w:w="4320"/>
          </w:tcPr>
          <w:p>
            <w:r>
              <w:rPr>
                <w:b w:val="0"/>
                <w:sz w:val="20"/>
              </w:rPr>
              <w:t>Maintain Government-owned ICDs with unlimited rights; conduct open competition using published interface specifications; validate alternate-source module at CDR</w:t>
            </w:r>
          </w:p>
        </w:tc>
      </w:tr>
      <w:tr>
        <w:tc>
          <w:tcPr>
            <w:tcW w:type="dxa" w:w="2304"/>
          </w:tcPr>
          <w:p>
            <w:r>
              <w:rPr>
                <w:b w:val="0"/>
                <w:sz w:val="20"/>
              </w:rPr>
              <w:t>Technology refresh of an obsolete module without system redesign</w:t>
            </w:r>
          </w:p>
        </w:tc>
        <w:tc>
          <w:tcPr>
            <w:tcW w:type="dxa" w:w="2016"/>
          </w:tcPr>
          <w:p>
            <w:r>
              <w:rPr>
                <w:b w:val="0"/>
                <w:sz w:val="20"/>
              </w:rPr>
              <w:t>its functional</w:t>
            </w:r>
          </w:p>
        </w:tc>
        <w:tc>
          <w:tcPr>
            <w:tcW w:type="dxa" w:w="4320"/>
          </w:tcPr>
          <w:p>
            <w:r>
              <w:rPr>
                <w:b w:val="0"/>
                <w:sz w:val="20"/>
              </w:rPr>
              <w:t>Preserve interface standards across refresh boundary; update ICD and TDP; conduct module-level acceptance test using published ICDs</w:t>
            </w:r>
          </w:p>
        </w:tc>
      </w:tr>
      <w:tr>
        <w:tc>
          <w:tcPr>
            <w:tcW w:type="dxa" w:w="2304"/>
          </w:tcPr>
          <w:p>
            <w:r>
              <w:rPr>
                <w:b w:val="0"/>
                <w:sz w:val="20"/>
              </w:rPr>
              <w:t>Integration of a COTS/MOTS replacement module</w:t>
            </w:r>
          </w:p>
        </w:tc>
        <w:tc>
          <w:tcPr>
            <w:tcW w:type="dxa" w:w="2016"/>
          </w:tcPr>
          <w:p>
            <w:r>
              <w:rPr>
                <w:b w:val="0"/>
                <w:sz w:val="20"/>
              </w:rPr>
              <w:t>its functional</w:t>
            </w:r>
          </w:p>
        </w:tc>
        <w:tc>
          <w:tcPr>
            <w:tcW w:type="dxa" w:w="4320"/>
          </w:tcPr>
          <w:p>
            <w:r>
              <w:rPr>
                <w:b w:val="0"/>
                <w:sz w:val="20"/>
              </w:rPr>
              <w:t>Validate COTS module against published ICDs; acquire perpetual, transferable licenses; document deviations from open standards with PM approval</w:t>
            </w:r>
          </w:p>
        </w:tc>
      </w:tr>
      <w:tr>
        <w:tc>
          <w:tcPr>
            <w:tcW w:type="dxa" w:w="2304"/>
          </w:tcPr>
          <w:p>
            <w:r>
              <w:rPr>
                <w:b w:val="0"/>
                <w:sz w:val="20"/>
              </w:rPr>
              <w:t>Independent Government sustainment without original contractor support</w:t>
            </w:r>
          </w:p>
        </w:tc>
        <w:tc>
          <w:tcPr>
            <w:tcW w:type="dxa" w:w="2016"/>
          </w:tcPr>
          <w:p>
            <w:r>
              <w:rPr>
                <w:b w:val="0"/>
                <w:sz w:val="20"/>
              </w:rPr>
              <w:t>its functional</w:t>
            </w:r>
          </w:p>
        </w:tc>
        <w:tc>
          <w:tcPr>
            <w:tcW w:type="dxa" w:w="4320"/>
          </w:tcPr>
          <w:p>
            <w:r>
              <w:rPr>
                <w:b w:val="0"/>
                <w:sz w:val="20"/>
              </w:rPr>
              <w:t>Acquire TDP and source code with sufficient rights; maintain validated Government integration test environment; train Government engineers on interface standards</w:t>
            </w:r>
          </w:p>
        </w:tc>
      </w:tr>
      <w:tr>
        <w:tc>
          <w:tcPr>
            <w:tcW w:type="dxa" w:w="2304"/>
          </w:tcPr>
          <w:p>
            <w:r>
              <w:rPr>
                <w:b w:val="0"/>
                <w:sz w:val="20"/>
              </w:rPr>
              <w:t>Rapid capability upgrade via plug-in module replacement</w:t>
            </w:r>
          </w:p>
        </w:tc>
        <w:tc>
          <w:tcPr>
            <w:tcW w:type="dxa" w:w="2016"/>
          </w:tcPr>
          <w:p>
            <w:r>
              <w:rPr>
                <w:b w:val="0"/>
                <w:sz w:val="20"/>
              </w:rPr>
              <w:t>its functional</w:t>
            </w:r>
          </w:p>
        </w:tc>
        <w:tc>
          <w:tcPr>
            <w:tcW w:type="dxa" w:w="4320"/>
          </w:tcPr>
          <w:p>
            <w:r>
              <w:rPr>
                <w:b w:val="0"/>
                <w:sz w:val="20"/>
              </w:rPr>
              <w:t>Enforce slot-based architecture with published slot definitions; require plug-in compliance demonstration at integration test; maintain ICD currency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