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sz w:val="48"/>
        </w:rPr>
        <w:t>Test Program</w:t>
      </w:r>
    </w:p>
    <w:p>
      <w:pPr>
        <w:spacing w:before="240"/>
        <w:jc w:val="center"/>
      </w:pPr>
      <w:r>
        <w:rPr>
          <w:color w:val="444444"/>
          <w:sz w:val="32"/>
        </w:rPr>
        <w:t>Request for Information (RFI)</w:t>
      </w:r>
    </w:p>
    <w:p>
      <w:pPr>
        <w:spacing w:before="160"/>
        <w:jc w:val="center"/>
      </w:pPr>
      <w:r>
        <w:rPr>
          <w:sz w:val="22"/>
        </w:rPr>
        <w:t>February 28, 2026</w:t>
      </w:r>
    </w:p>
    <w:p>
      <w:r>
        <w:br w:type="page"/>
      </w:r>
    </w:p>
    <w:p>
      <w:pPr>
        <w:pStyle w:val="Heading1"/>
        <w:spacing w:before="0" w:after="160"/>
      </w:pPr>
      <w:r>
        <w:t>1. Program Overview</w:t>
      </w:r>
    </w:p>
    <w:p>
      <w:r>
        <w:t>This is a Class 1 small UAS program. It is an ISR platform that will have secondary missions of lethal payload and communications node. this is a very rapid program (likley under 18 months to production).</w:t>
      </w:r>
    </w:p>
    <w:p>
      <w:pPr>
        <w:pStyle w:val="ListBullet"/>
      </w:pPr>
      <w:r>
        <w:t>Estimated development cost: $150,000</w:t>
      </w:r>
    </w:p>
    <w:p>
      <w:pPr>
        <w:pStyle w:val="ListBullet"/>
      </w:pPr>
      <w:r>
        <w:t>Estimated production unit cost: $4,500</w:t>
      </w:r>
    </w:p>
    <w:p>
      <w:pPr>
        <w:pStyle w:val="ListBullet"/>
      </w:pPr>
      <w:r>
        <w:t>Attritable system</w:t>
      </w:r>
    </w:p>
    <w:p>
      <w:pPr>
        <w:pStyle w:val="ListBullet"/>
      </w:pPr>
      <w:r>
        <w:t>Has sustainment tail</w:t>
      </w:r>
    </w:p>
    <w:p>
      <w:pPr>
        <w:pStyle w:val="ListBullet"/>
      </w:pPr>
      <w:r>
        <w:t>Software is a large part of the program</w:t>
      </w:r>
    </w:p>
    <w:p>
      <w:pPr>
        <w:pStyle w:val="ListBullet"/>
      </w:pPr>
      <w:r>
        <w:t>Mission-critical</w:t>
      </w:r>
    </w:p>
    <w:p>
      <w:pPr>
        <w:pStyle w:val="ListBullet"/>
      </w:pPr>
      <w:r>
        <w:t>Safety-critical</w:t>
      </w:r>
    </w:p>
    <w:p/>
    <w:p>
      <w:r>
        <w:t>this suas will be deployed with forward deployed units and will have a recon function. Additionally, it may be used to carry a lethal payload or it may be used to become a communications node for contested comms environments. key stakeholders are the user, contracting, budget folks, engineers, and program managers.</w:t>
      </w:r>
    </w:p>
    <w:p>
      <w:r>
        <w:br w:type="page"/>
      </w:r>
    </w:p>
    <w:p>
      <w:pPr>
        <w:pStyle w:val="Heading1"/>
        <w:spacing w:before="0" w:after="160"/>
      </w:pPr>
      <w:r>
        <w:t>2. Constraints</w:t>
      </w:r>
    </w:p>
    <w:p>
      <w:r>
        <w:t>Technical challenges and risk areas identified during program planning:</w:t>
      </w:r>
    </w:p>
    <w:p>
      <w:pPr>
        <w:pStyle w:val="ListBullet"/>
      </w:pPr>
      <w:r>
        <w:t>the sensor for the ISR payload and the communications processor are low trl.</w:t>
      </w:r>
    </w:p>
    <w:p/>
    <w:p>
      <w:r>
        <w:t>The following reference documents have been uploaded as program constraints and background material:</w:t>
      </w:r>
    </w:p>
    <w:p>
      <w:pPr>
        <w:pStyle w:val="ListBullet"/>
      </w:pPr>
      <w:r>
        <w:t>constraints.txt</w:t>
      </w:r>
    </w:p>
    <w:p>
      <w:pPr>
        <w:pStyle w:val="ListBullet"/>
      </w:pPr>
      <w:r>
        <w:t>description.txt</w:t>
      </w:r>
    </w:p>
    <w:p>
      <w:pPr>
        <w:pStyle w:val="ListBullet"/>
      </w:pPr>
      <w:r>
        <w:t>EXAEMPLAR_Acquisition Strategy .docx</w:t>
      </w:r>
    </w:p>
    <w:p>
      <w:pPr>
        <w:pStyle w:val="ListBullet"/>
      </w:pPr>
      <w:r>
        <w:t>EXAMPLE for MOSA_RFI.docx</w:t>
      </w:r>
    </w:p>
    <w:p>
      <w:r>
        <w:br w:type="page"/>
      </w:r>
    </w:p>
    <w:p>
      <w:pPr>
        <w:pStyle w:val="Heading1"/>
        <w:spacing w:before="0" w:after="160"/>
      </w:pPr>
      <w:r>
        <w:t>3. Desired Modular Decomposition</w:t>
      </w:r>
    </w:p>
    <w:p>
      <w:r>
        <w:t>The Government has identified the following candidate modules as a starting point for the modular architecture. Respondents are encouraged to propose alternative decompositions.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96"/>
            <w:shd w:val="clear" w:color="auto" w:fill="D9E1F2"/>
          </w:tcPr>
          <w:p>
            <w:r>
              <w:rPr>
                <w:b/>
                <w:sz w:val="20"/>
              </w:rPr>
              <w:t>Module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b/>
                <w:sz w:val="20"/>
              </w:rPr>
              <w:t>Rationale</w:t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b/>
                <w:sz w:val="20"/>
              </w:rPr>
              <w:t>Key Interfaces</w:t>
            </w:r>
          </w:p>
        </w:tc>
        <w:tc>
          <w:tcPr>
            <w:tcW w:type="dxa" w:w="1296"/>
            <w:shd w:val="clear" w:color="auto" w:fill="D9E1F2"/>
          </w:tcPr>
          <w:p>
            <w:r>
              <w:rPr>
                <w:b/>
                <w:sz w:val="20"/>
              </w:rPr>
              <w:t>Standards</w:t>
            </w:r>
          </w:p>
        </w:tc>
        <w:tc>
          <w:tcPr>
            <w:tcW w:type="dxa" w:w="864"/>
            <w:shd w:val="clear" w:color="auto" w:fill="D9E1F2"/>
          </w:tcPr>
          <w:p>
            <w:r>
              <w:rPr>
                <w:b/>
                <w:sz w:val="20"/>
              </w:rPr>
              <w:t>Tech Risk</w:t>
            </w:r>
          </w:p>
        </w:tc>
        <w:tc>
          <w:tcPr>
            <w:tcW w:type="dxa" w:w="1152"/>
            <w:shd w:val="clear" w:color="auto" w:fill="D9E1F2"/>
          </w:tcPr>
          <w:p>
            <w:r>
              <w:rPr>
                <w:b/>
                <w:sz w:val="20"/>
              </w:rPr>
              <w:t>Obsolescence Risk</w:t>
            </w:r>
          </w:p>
        </w:tc>
        <w:tc>
          <w:tcPr>
            <w:tcW w:type="dxa" w:w="864"/>
            <w:shd w:val="clear" w:color="auto" w:fill="D9E1F2"/>
          </w:tcPr>
          <w:p>
            <w:r>
              <w:rPr>
                <w:b/>
                <w:sz w:val="20"/>
              </w:rPr>
              <w:t>COTS Candidate</w:t>
            </w:r>
          </w:p>
        </w:tc>
      </w:tr>
      <w:tr>
        <w:tc>
          <w:tcPr>
            <w:tcW w:type="dxa" w:w="1296"/>
          </w:tcPr>
          <w:p>
            <w:r>
              <w:rPr>
                <w:b w:val="0"/>
                <w:sz w:val="20"/>
              </w:rPr>
              <w:t>airframe, propulsion unit, battery, flight control computer, lethal payload, communications payload, ISR sensor payload.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Identified for: This is a Class 1 small UAS program. It is an ISR platform that will have secondary missions of lethal payload and commu</w:t>
            </w:r>
          </w:p>
        </w:tc>
        <w:tc>
          <w:tcPr>
            <w:tcW w:type="dxa" w:w="1440"/>
          </w:tcPr>
          <w:p>
            <w:r>
              <w:rPr>
                <w:b w:val="0"/>
                <w:sz w:val="20"/>
              </w:rPr>
              <w:t>Not provided</w:t>
            </w:r>
          </w:p>
        </w:tc>
        <w:tc>
          <w:tcPr>
            <w:tcW w:type="dxa" w:w="1296"/>
          </w:tcPr>
          <w:p>
            <w:r>
              <w:rPr>
                <w:b w:val="0"/>
                <w:sz w:val="20"/>
              </w:rPr>
              <w:t>OCI and FACE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 w:val="0"/>
                <w:sz w:val="20"/>
              </w:rPr>
              <w:t>No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20"/>
              </w:rPr>
              <w:t>No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 w:val="0"/>
                <w:sz w:val="20"/>
              </w:rPr>
              <w:t>No</w:t>
            </w:r>
          </w:p>
        </w:tc>
      </w:tr>
    </w:tbl>
    <w:p>
      <w:r>
        <w:br w:type="page"/>
      </w:r>
    </w:p>
    <w:p>
      <w:pPr>
        <w:pStyle w:val="Heading1"/>
        <w:spacing w:before="0" w:after="160"/>
      </w:pPr>
      <w:r>
        <w:t>4. MOSA Approach</w:t>
      </w:r>
    </w:p>
    <w:p>
      <w:r>
        <w:t>This acquisition will be structured in accordance with a Modular Open Systems Approach (MOSA) as required by 10 U.S.C. § 4401. At minimum, the delivered system must satisfy the following criteria:</w:t>
      </w:r>
    </w:p>
    <w:p>
      <w:pPr>
        <w:pStyle w:val="ListBullet"/>
      </w:pPr>
      <w:r>
        <w:rPr>
          <w:b/>
        </w:rPr>
        <w:t xml:space="preserve">Adoption of Open Standards: </w:t>
      </w:r>
      <w:r>
        <w:t>Design the system using open, consensus-based interface standards to prevent proprietary lock-in and enable competitive sourcing of components throughout the program lifecycle.</w:t>
      </w:r>
    </w:p>
    <w:p>
      <w:pPr>
        <w:pStyle w:val="ListBullet"/>
      </w:pPr>
      <w:r>
        <w:rPr>
          <w:b/>
        </w:rPr>
        <w:t xml:space="preserve">Competitive Upgrade Path: </w:t>
      </w:r>
      <w:r>
        <w:t>Architect the system so that individual modules or subsystems can be upgraded or replaced by competing suppliers, reducing total ownership cost and stimulating innovation.</w:t>
      </w:r>
    </w:p>
    <w:p>
      <w:pPr>
        <w:pStyle w:val="ListBullet"/>
      </w:pPr>
      <w:r>
        <w:rPr>
          <w:b/>
        </w:rPr>
        <w:t xml:space="preserve">Government Technical Data Rights: </w:t>
      </w:r>
      <w:r>
        <w:t>Acquire sufficient technical data rights — including interface control documents and design data — to allow the Government to re-compete, support, or modify components independently of the original developer.</w:t>
      </w:r>
    </w:p>
    <w:p>
      <w:pPr>
        <w:pStyle w:val="ListBullet"/>
      </w:pPr>
      <w:r>
        <w:rPr>
          <w:b/>
        </w:rPr>
        <w:t xml:space="preserve">Well-Defined Modular Boundaries: </w:t>
      </w:r>
      <w:r>
        <w:t>Implement clearly defined functional boundaries and standardized interfaces between modules so that changes to one module do not cascade to others, enabling incremental modernization.</w:t>
      </w:r>
    </w:p>
    <w:p/>
    <w:p>
      <w:r>
        <w:t>Program-specific MOSA scenarios and considerations:</w:t>
      </w:r>
    </w:p>
    <w:p>
      <w:pPr>
        <w:pStyle w:val="ListBullet"/>
      </w:pPr>
      <w:r>
        <w:t>i want to be able to buy a platform and then integrate any company's sensors, lethal payloads, and/or communication equipment.</w:t>
      </w:r>
    </w:p>
    <w:p/>
    <w:p>
      <w:r>
        <w:t>Known applicable standards and architectures by module:</w:t>
      </w:r>
    </w:p>
    <w:p>
      <w:r>
        <w:t>MOD Payload</w:t>
      </w:r>
    </w:p>
    <w:p>
      <w:r>
        <w:br w:type="page"/>
      </w:r>
    </w:p>
    <w:p>
      <w:pPr>
        <w:pStyle w:val="Heading1"/>
        <w:spacing w:before="0" w:after="160"/>
      </w:pPr>
      <w:r>
        <w:t>5. Requested Responses</w:t>
      </w:r>
    </w:p>
    <w:p>
      <w:r>
        <w:t>Industry respondents are requested to provide the following information. Responses are for market research purposes only and do not constitute a commitment to procure.</w:t>
      </w:r>
    </w:p>
    <w:p>
      <w:pPr>
        <w:pStyle w:val="ListBullet"/>
      </w:pPr>
      <w:r>
        <w:t>Company name, point of contact, and relevant experience with similar programs or systems.</w:t>
      </w:r>
    </w:p>
    <w:p>
      <w:pPr>
        <w:pStyle w:val="ListBullet"/>
      </w:pPr>
      <w:r>
        <w:t>Proposed modular architecture concept, including identification of modules, interfaces, and applicable open standards.</w:t>
      </w:r>
    </w:p>
    <w:p>
      <w:pPr>
        <w:pStyle w:val="ListBullet"/>
      </w:pPr>
      <w:r>
        <w:t>Assessment of the feasibility of the desired modular decomposition described in Section 3, with recommended modifications.</w:t>
      </w:r>
    </w:p>
    <w:p>
      <w:pPr>
        <w:pStyle w:val="ListBullet"/>
      </w:pPr>
      <w:r>
        <w:t>List of relevant commercial-off-the-shelf (COTS) or modified-off-the-shelf (MOTS) solutions applicable to each candidate module.</w:t>
      </w:r>
    </w:p>
    <w:p>
      <w:pPr>
        <w:pStyle w:val="ListBullet"/>
      </w:pPr>
      <w:r>
        <w:t>Identification of open interface standards and reference architectures (e.g., FACE, SOSA, VICTORY, CMOSS) applicable to this program.</w:t>
      </w:r>
    </w:p>
    <w:p>
      <w:pPr>
        <w:pStyle w:val="ListBullet"/>
      </w:pPr>
      <w:r>
        <w:t>Technical risks and obsolescence concerns associated with the proposed approach and suggested mitigation strategies.</w:t>
      </w:r>
    </w:p>
    <w:p>
      <w:pPr>
        <w:pStyle w:val="ListBullet"/>
      </w:pPr>
      <w:r>
        <w:t>Estimated development cost range and schedule for the proposed architecture.</w:t>
      </w:r>
    </w:p>
    <w:p>
      <w:pPr>
        <w:pStyle w:val="ListBullet"/>
      </w:pPr>
      <w:r>
        <w:t>Any additional information relevant to the Government's modular open systems strategy for this program.</w:t>
      </w:r>
    </w:p>
    <w:p/>
    <w:p>
      <w:r>
        <w:t>Responses should be submitted in accordance with the instructions provided in the accompanying synopsis. Questions regarding this RFI may be directed to the contracting office.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66666"/>
        <w:sz w:val="18"/>
      </w:rPr>
      <w:t>Test Program</w:t>
    </w:r>
  </w:p>
  <w:p>
    <w:pPr>
      <w:jc w:val="center"/>
    </w:pPr>
    <w:r>
      <w:rPr>
        <w:color w:val="666666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