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8"/>
        </w:rPr>
        <w:t>Test Program</w:t>
      </w:r>
    </w:p>
    <w:p>
      <w:pPr>
        <w:spacing w:before="240"/>
        <w:jc w:val="center"/>
      </w:pPr>
      <w:r>
        <w:rPr>
          <w:color w:val="444444"/>
          <w:sz w:val="32"/>
        </w:rPr>
        <w:t>Request for Information (AI-Assisted)</w:t>
      </w:r>
    </w:p>
    <w:p>
      <w:pPr>
        <w:spacing w:before="160"/>
        <w:jc w:val="center"/>
      </w:pPr>
      <w:r>
        <w:rPr>
          <w:sz w:val="22"/>
        </w:rPr>
        <w:t>February 28, 2026</w:t>
      </w:r>
    </w:p>
    <w:p>
      <w:r>
        <w:br w:type="page"/>
      </w:r>
    </w:p>
    <w:p>
      <w:pPr>
        <w:pStyle w:val="Heading1"/>
        <w:spacing w:before="0" w:after="160"/>
      </w:pPr>
      <w:r>
        <w:t>1. Document Overview</w:t>
      </w:r>
    </w:p>
    <w:p>
      <w:r>
        <w:t>This RFI solicits industry input to refine requirements and implementation approaches for the Test Program — a Class 1 small UAS (sUAS) ISR platform with secondary missions as a lethal-payload carrier and contested-environment communications node. The RFI focuses on Modular Open Systems Approach (MOSA) implementation: draft module definitions and interfaces, data rights expectations, standards conformance (OCI and FACE), risk areas (notably ISR sensor and comms processor low TRL), and industry capability/timelines to reach production within ~18 months.</w:t>
      </w:r>
    </w:p>
    <w:p>
      <w:r>
        <w:br w:type="page"/>
      </w:r>
    </w:p>
    <w:p>
      <w:pPr>
        <w:pStyle w:val="Heading1"/>
        <w:spacing w:before="0" w:after="160"/>
      </w:pPr>
      <w:r>
        <w:t>2. RFI Purpose</w:t>
      </w:r>
    </w:p>
    <w:p>
      <w:r>
        <w:t>This RFI is issued to support acquisition planning and requirements maturation consistent with Title 10 U.S.C. obligations and DoD MOSA implementation expectations (MOSA MVP guidance used across recent UAS efforts). The program will pursue a minimum Government Purpose Rights (GPR) baseline for module interfaces and request industry feedback on data rights and technical approaches to enable competition, rapid fielding, and cross-service reuse.</w:t>
      </w:r>
    </w:p>
    <w:p>
      <w:r>
        <w:br w:type="page"/>
      </w:r>
    </w:p>
    <w:p>
      <w:pPr>
        <w:pStyle w:val="Heading1"/>
        <w:spacing w:before="0" w:after="160"/>
      </w:pPr>
      <w:r>
        <w:t>3. Program Context</w:t>
      </w:r>
    </w:p>
    <w:p>
      <w:r>
        <w:t>The Test Program is a Class 1, attritable small UAS primarily tasked for intelligence, surveillance, and reconnaissance (ISR) for forward-deployed units. It must also be capable of carrying a lethal payload and functioning as a communications node in contested environments. The acquisition timeline is compressed — the Program Office expects an aggressive path to initial production in roughly 18 months, prioritizing rapid integration and fielding over long development cycles.</w:t>
      </w:r>
    </w:p>
    <w:p>
      <w:r>
        <w:t>Estimated development funding is $150,000M with an estimated production unit cost of $4,500M. Key program flags are: Attritable, Sustainment Tail, Software-Intensive, Mission-Critical, and Safety-Critical. Key stakeholders include end users (forward units), contracting officers, budget authorities, systems engineers, and program managers. Heritage/analogous systems include the Raven and Puma families; the Program Office intends to leverage elements of the vetted UAS Family of Systems Architecture where compatible.</w:t>
      </w:r>
    </w:p>
    <w:p>
      <w:r>
        <w:t>The Program Office has defined seven candidate modules for MOSA partitioning: airframe, propulsion unit, battery, flight control computer (FCC), lethal payload, communications payload, and ISR sensor payload. Software standards called out by the program are OCI and FACE for component and application interoperability; the program has performed a MOSA repository search and expects suppliers to propose adherence paths to those standards. Notable technical risk: the ISR sensor and the communications processor are low TRL and are primary technical and obsolescence risk drivers for this rapid program. The lethal payload is identified as a commercial off-the-shelf (COTS) candidate in current market scans.</w:t>
      </w:r>
    </w:p>
    <w:p>
      <w:r>
        <w:br w:type="page"/>
      </w:r>
    </w:p>
    <w:p>
      <w:pPr>
        <w:pStyle w:val="Heading1"/>
        <w:spacing w:before="0" w:after="160"/>
      </w:pPr>
      <w:r>
        <w:t>4. MOSA Requirements</w:t>
      </w:r>
    </w:p>
    <w:p>
      <w:r>
        <w:t>This acquisition will be structured in accordance with a Modular Open Systems Approach (MOSA) as required by 10 U.S.C. § 4401. The following requirements apply to this specific program:</w:t>
      </w:r>
    </w:p>
    <w:p>
      <w:pPr>
        <w:pStyle w:val="ListBullet"/>
      </w:pPr>
      <w:r>
        <w:t>Module partitioning consistent with the seven defined modules (airframe, propulsion unit, battery, flight control computer, lethal payload, communications payload, ISR sensor payload) with well-defined mechanical, electrical, power, data, and safety interfaces.</w:t>
      </w:r>
    </w:p>
    <w:p>
      <w:pPr>
        <w:pStyle w:val="ListBullet"/>
      </w:pPr>
      <w:r>
        <w:t>Minimum data rights for all module-to-platform interfaces: Government Purpose Rights (GPR) baseline; where vendor claims of additional rights are made, provide justification and propose a Specific Negotiated License Rights (SNLR) approach consistent with rapid, attritable operations.</w:t>
      </w:r>
    </w:p>
    <w:p>
      <w:pPr>
        <w:pStyle w:val="ListBullet"/>
      </w:pPr>
      <w:r>
        <w:t>Software interface conformance: FACE and OCI compliance where software modules or applications interact with the FCC or payload processors; provide conformance evidence or plan and timeline to achieve conformance before production.</w:t>
      </w:r>
    </w:p>
    <w:p>
      <w:pPr>
        <w:pStyle w:val="ListBullet"/>
      </w:pPr>
      <w:r>
        <w:t>Physical and electrical interface standards: define or map to a MOD Payload mechanical/power interface standard for rapid sensor/payload swap in forward-deployed conditions.</w:t>
      </w:r>
    </w:p>
    <w:p>
      <w:pPr>
        <w:pStyle w:val="ListBullet"/>
      </w:pPr>
      <w:r>
        <w:t>Safety and arming interfaces: lethal payload integration must implement fail-safe mechanical and software-safe arming/arming-prohibition interfaces, with traceable safety cases and certification path.</w:t>
      </w:r>
    </w:p>
    <w:p>
      <w:pPr>
        <w:pStyle w:val="ListBullet"/>
      </w:pPr>
      <w:r>
        <w:t>Cyber and contested-comm resilience: communications payload must provide modular security boundary, documented crypto/keys handling, and graceful degraded mode for contested-spectrum operations.</w:t>
      </w:r>
    </w:p>
    <w:p>
      <w:pPr>
        <w:pStyle w:val="ListBullet"/>
      </w:pPr>
      <w:r>
        <w:t>Field-serviceable replaceability: modules intended to be attritable must be swappable in-field with minimal special tooling and documented troubleshooting/repair data.</w:t>
      </w:r>
    </w:p>
    <w:p>
      <w:pPr>
        <w:pStyle w:val="ListBullet"/>
      </w:pPr>
      <w:r>
        <w:t>Sustainment and obsolescence management: vendors must provide obsolescence mitigation plans, long-lead component alternatives, and a recommended refresh cadence for the sensor and comms processor modules.</w:t>
      </w:r>
    </w:p>
    <w:p>
      <w:pPr>
        <w:pStyle w:val="ListBullet"/>
      </w:pPr>
      <w:r>
        <w:t>Open, versioned Interface Control Documents (ICDs) for all module interfaces and a disposition plan for updates during production ramp.</w:t>
      </w:r>
    </w:p>
    <w:p>
      <w:pPr>
        <w:pStyle w:val="ListBullet"/>
      </w:pPr>
      <w:r>
        <w:t>Conformance to environmental and airworthiness constraints for forward-deployed operation (temperature, dust/ingress, transportability, and safe release/launch profiles).</w:t>
      </w:r>
    </w:p>
    <w:p>
      <w:r>
        <w:br w:type="page"/>
      </w:r>
    </w:p>
    <w:p>
      <w:pPr>
        <w:pStyle w:val="Heading1"/>
        <w:spacing w:before="0" w:after="160"/>
      </w:pPr>
      <w:r>
        <w:t>5. Candidate Module Summary</w:t>
      </w:r>
    </w:p>
    <w:p>
      <w:r>
        <w:t>The Government has identified the following candidate modules as a starting point for the modular architecture. Respondents are encouraged to propose alternative decompositions.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shd w:val="clear" w:color="auto" w:fill="D9E1F2"/>
          </w:tcPr>
          <w:p>
            <w:r>
              <w:rPr>
                <w:b/>
                <w:sz w:val="20"/>
              </w:rPr>
              <w:t>Module</w:t>
            </w:r>
          </w:p>
        </w:tc>
        <w:tc>
          <w:tcPr>
            <w:tcW w:type="dxa" w:w="1728"/>
            <w:shd w:val="clear" w:color="auto" w:fill="D9E1F2"/>
          </w:tcPr>
          <w:p>
            <w:r>
              <w:rPr>
                <w:b/>
                <w:sz w:val="20"/>
              </w:rPr>
              <w:t>Rationale</w:t>
            </w:r>
          </w:p>
        </w:tc>
        <w:tc>
          <w:tcPr>
            <w:tcW w:type="dxa" w:w="1440"/>
            <w:shd w:val="clear" w:color="auto" w:fill="D9E1F2"/>
          </w:tcPr>
          <w:p>
            <w:r>
              <w:rPr>
                <w:b/>
                <w:sz w:val="20"/>
              </w:rPr>
              <w:t>Key Interfaces</w:t>
            </w:r>
          </w:p>
        </w:tc>
        <w:tc>
          <w:tcPr>
            <w:tcW w:type="dxa" w:w="1296"/>
            <w:shd w:val="clear" w:color="auto" w:fill="D9E1F2"/>
          </w:tcPr>
          <w:p>
            <w:r>
              <w:rPr>
                <w:b/>
                <w:sz w:val="20"/>
              </w:rPr>
              <w:t>Standards</w:t>
            </w:r>
          </w:p>
        </w:tc>
        <w:tc>
          <w:tcPr>
            <w:tcW w:type="dxa" w:w="864"/>
            <w:shd w:val="clear" w:color="auto" w:fill="D9E1F2"/>
          </w:tcPr>
          <w:p>
            <w:r>
              <w:rPr>
                <w:b/>
                <w:sz w:val="20"/>
              </w:rPr>
              <w:t>Tech Risk</w:t>
            </w:r>
          </w:p>
        </w:tc>
        <w:tc>
          <w:tcPr>
            <w:tcW w:type="dxa" w:w="1152"/>
            <w:shd w:val="clear" w:color="auto" w:fill="D9E1F2"/>
          </w:tcPr>
          <w:p>
            <w:r>
              <w:rPr>
                <w:b/>
                <w:sz w:val="20"/>
              </w:rPr>
              <w:t>Obsolescence Risk</w:t>
            </w:r>
          </w:p>
        </w:tc>
        <w:tc>
          <w:tcPr>
            <w:tcW w:type="dxa" w:w="864"/>
            <w:shd w:val="clear" w:color="auto" w:fill="D9E1F2"/>
          </w:tcPr>
          <w:p>
            <w:r>
              <w:rPr>
                <w:b/>
                <w:sz w:val="20"/>
              </w:rPr>
              <w:t>COTS Candidate</w:t>
            </w:r>
          </w:p>
        </w:tc>
      </w:tr>
      <w:tr>
        <w:tc>
          <w:tcPr>
            <w:tcW w:type="dxa" w:w="1296"/>
          </w:tcPr>
          <w:p>
            <w:r>
              <w:rPr>
                <w:b w:val="0"/>
                <w:sz w:val="20"/>
              </w:rPr>
              <w:t>airframe</w:t>
            </w:r>
          </w:p>
        </w:tc>
        <w:tc>
          <w:tcPr>
            <w:tcW w:type="dxa" w:w="1728"/>
          </w:tcPr>
          <w:p>
            <w:r>
              <w:rPr>
                <w:b w:val="0"/>
                <w:sz w:val="20"/>
              </w:rPr>
              <w:t>Primary structural platform to host ISR, lethal and comms payloads; must support rapid payload swap, rugged forward-deployed operations, and attritable employment profile consistent with Raven/Puma class heritage.</w:t>
            </w:r>
          </w:p>
        </w:tc>
        <w:tc>
          <w:tcPr>
            <w:tcW w:type="dxa" w:w="1440"/>
          </w:tcPr>
          <w:p>
            <w:r>
              <w:rPr>
                <w:b w:val="0"/>
                <w:sz w:val="20"/>
              </w:rPr>
              <w:t>Payload mechanical mounting points, power distribution bus, data bus to FCC, GPS/antenna mounting, environmental sealing and transport restraints.</w:t>
            </w:r>
          </w:p>
        </w:tc>
        <w:tc>
          <w:tcPr>
            <w:tcW w:type="dxa" w:w="1296"/>
          </w:tcPr>
          <w:p>
            <w:r>
              <w:rPr>
                <w:b w:val="0"/>
                <w:sz w:val="20"/>
              </w:rPr>
              <w:t>MOD Payload mechanical expectations; UAS Family of Systems architecture alignment; FACE/OCI for data interfaces to payloads via FCC.</w:t>
            </w:r>
          </w:p>
        </w:tc>
        <w:tc>
          <w:tcPr>
            <w:tcW w:type="dxa" w:w="864"/>
          </w:tcPr>
          <w:p>
            <w:pPr>
              <w:jc w:val="center"/>
            </w:pPr>
            <w:r>
              <w:rPr>
                <w:b w:val="0"/>
                <w:sz w:val="20"/>
              </w:rPr>
              <w:t>No</w:t>
            </w:r>
          </w:p>
        </w:tc>
        <w:tc>
          <w:tcPr>
            <w:tcW w:type="dxa" w:w="1152"/>
          </w:tcPr>
          <w:p>
            <w:pPr>
              <w:jc w:val="center"/>
            </w:pPr>
            <w:r>
              <w:rPr>
                <w:b w:val="0"/>
                <w:sz w:val="20"/>
              </w:rPr>
              <w:t>No</w:t>
            </w:r>
          </w:p>
        </w:tc>
        <w:tc>
          <w:tcPr>
            <w:tcW w:type="dxa" w:w="864"/>
          </w:tcPr>
          <w:p>
            <w:pPr>
              <w:jc w:val="center"/>
            </w:pPr>
            <w:r>
              <w:rPr>
                <w:b w:val="0"/>
                <w:sz w:val="20"/>
              </w:rPr>
              <w:t>No</w:t>
            </w:r>
          </w:p>
        </w:tc>
      </w:tr>
      <w:tr>
        <w:tc>
          <w:tcPr>
            <w:tcW w:type="dxa" w:w="1296"/>
          </w:tcPr>
          <w:p>
            <w:r>
              <w:rPr>
                <w:b w:val="0"/>
                <w:sz w:val="20"/>
              </w:rPr>
              <w:t>propulsion unit</w:t>
            </w:r>
          </w:p>
        </w:tc>
        <w:tc>
          <w:tcPr>
            <w:tcW w:type="dxa" w:w="1728"/>
          </w:tcPr>
          <w:p>
            <w:r>
              <w:rPr>
                <w:b w:val="0"/>
                <w:sz w:val="20"/>
              </w:rPr>
              <w:t>Provides required thrust and endurance margins for mission sets (ISR loiter, short lethal-delivery runs, comms node station-keeping); must be field-replaceable and compatible with multiple payload configurations.</w:t>
            </w:r>
          </w:p>
        </w:tc>
        <w:tc>
          <w:tcPr>
            <w:tcW w:type="dxa" w:w="1440"/>
          </w:tcPr>
          <w:p>
            <w:r>
              <w:rPr>
                <w:b w:val="0"/>
                <w:sz w:val="20"/>
              </w:rPr>
              <w:t>Mounting lugs, drivetrain coupling, vibration isolation to airframe, electrical power/ignition interfaces (if applicable), fuel or electrical connections.</w:t>
            </w:r>
          </w:p>
        </w:tc>
        <w:tc>
          <w:tcPr>
            <w:tcW w:type="dxa" w:w="1296"/>
          </w:tcPr>
          <w:p>
            <w:r>
              <w:rPr>
                <w:b w:val="0"/>
                <w:sz w:val="20"/>
              </w:rPr>
              <w:t>Mechanical mounting and vibration isolation practices, power coupling standards; FAA/light UAS airworthiness guidance where applicable.</w:t>
            </w:r>
          </w:p>
        </w:tc>
        <w:tc>
          <w:tcPr>
            <w:tcW w:type="dxa" w:w="864"/>
          </w:tcPr>
          <w:p>
            <w:pPr>
              <w:jc w:val="center"/>
            </w:pPr>
            <w:r>
              <w:rPr>
                <w:b w:val="0"/>
                <w:sz w:val="20"/>
              </w:rPr>
              <w:t>No</w:t>
            </w:r>
          </w:p>
        </w:tc>
        <w:tc>
          <w:tcPr>
            <w:tcW w:type="dxa" w:w="1152"/>
          </w:tcPr>
          <w:p>
            <w:pPr>
              <w:jc w:val="center"/>
            </w:pPr>
            <w:r>
              <w:rPr>
                <w:b w:val="0"/>
                <w:sz w:val="20"/>
              </w:rPr>
              <w:t>No</w:t>
            </w:r>
          </w:p>
        </w:tc>
        <w:tc>
          <w:tcPr>
            <w:tcW w:type="dxa" w:w="864"/>
          </w:tcPr>
          <w:p>
            <w:pPr>
              <w:jc w:val="center"/>
            </w:pPr>
            <w:r>
              <w:rPr>
                <w:b w:val="0"/>
                <w:sz w:val="20"/>
              </w:rPr>
              <w:t>No</w:t>
            </w:r>
          </w:p>
        </w:tc>
      </w:tr>
      <w:tr>
        <w:tc>
          <w:tcPr>
            <w:tcW w:type="dxa" w:w="1296"/>
          </w:tcPr>
          <w:p>
            <w:r>
              <w:rPr>
                <w:b w:val="0"/>
                <w:sz w:val="20"/>
              </w:rPr>
              <w:t>battery</w:t>
            </w:r>
          </w:p>
        </w:tc>
        <w:tc>
          <w:tcPr>
            <w:tcW w:type="dxa" w:w="1728"/>
          </w:tcPr>
          <w:p>
            <w:r>
              <w:rPr>
                <w:b w:val="0"/>
                <w:sz w:val="20"/>
              </w:rPr>
              <w:t>Primary energy storage driving endurance and sortie length; must meet safety and rapid-replacement needs for attritable use and support power demands of sensors and comms payloads.</w:t>
            </w:r>
          </w:p>
        </w:tc>
        <w:tc>
          <w:tcPr>
            <w:tcW w:type="dxa" w:w="1440"/>
          </w:tcPr>
          <w:p>
            <w:r>
              <w:rPr>
                <w:b w:val="0"/>
                <w:sz w:val="20"/>
              </w:rPr>
              <w:t>Power connector/rails, battery-management telemetry (SOC/health), charging/discharge safety interlocks, thermal monitoring.</w:t>
            </w:r>
          </w:p>
        </w:tc>
        <w:tc>
          <w:tcPr>
            <w:tcW w:type="dxa" w:w="1296"/>
          </w:tcPr>
          <w:p>
            <w:r>
              <w:rPr>
                <w:b w:val="0"/>
                <w:sz w:val="20"/>
              </w:rPr>
              <w:t>Battery management telemetry interfaces, MIL/industry safety norms for lithium systems, power rail voltage/current specs aligned in ICD.</w:t>
            </w:r>
          </w:p>
        </w:tc>
        <w:tc>
          <w:tcPr>
            <w:tcW w:type="dxa" w:w="864"/>
          </w:tcPr>
          <w:p>
            <w:pPr>
              <w:jc w:val="center"/>
            </w:pPr>
            <w:r>
              <w:rPr>
                <w:b w:val="0"/>
                <w:sz w:val="20"/>
              </w:rPr>
              <w:t>No</w:t>
            </w:r>
          </w:p>
        </w:tc>
        <w:tc>
          <w:tcPr>
            <w:tcW w:type="dxa" w:w="1152"/>
          </w:tcPr>
          <w:p>
            <w:pPr>
              <w:jc w:val="center"/>
            </w:pPr>
            <w:r>
              <w:rPr>
                <w:b w:val="0"/>
                <w:sz w:val="20"/>
              </w:rPr>
              <w:t>Yes</w:t>
            </w:r>
          </w:p>
        </w:tc>
        <w:tc>
          <w:tcPr>
            <w:tcW w:type="dxa" w:w="864"/>
          </w:tcPr>
          <w:p>
            <w:pPr>
              <w:jc w:val="center"/>
            </w:pPr>
            <w:r>
              <w:rPr>
                <w:b w:val="0"/>
                <w:sz w:val="20"/>
              </w:rPr>
              <w:t>Yes</w:t>
            </w:r>
          </w:p>
        </w:tc>
      </w:tr>
      <w:tr>
        <w:tc>
          <w:tcPr>
            <w:tcW w:type="dxa" w:w="1296"/>
          </w:tcPr>
          <w:p>
            <w:r>
              <w:rPr>
                <w:b w:val="0"/>
                <w:sz w:val="20"/>
              </w:rPr>
              <w:t>flight control computer</w:t>
            </w:r>
          </w:p>
        </w:tc>
        <w:tc>
          <w:tcPr>
            <w:tcW w:type="dxa" w:w="1728"/>
          </w:tcPr>
          <w:p>
            <w:r>
              <w:rPr>
                <w:b w:val="0"/>
                <w:sz w:val="20"/>
              </w:rPr>
              <w:t>Software-intensive, safety-critical module responsible for flight control, mission management, and hosting FACE/OCI applications to bridge payloads to platform services.</w:t>
            </w:r>
          </w:p>
        </w:tc>
        <w:tc>
          <w:tcPr>
            <w:tcW w:type="dxa" w:w="1440"/>
          </w:tcPr>
          <w:p>
            <w:r>
              <w:rPr>
                <w:b w:val="0"/>
                <w:sz w:val="20"/>
              </w:rPr>
              <w:t>Avionics data bus (FACE/OCI endpoints), sensor and actuator I/O, secure update channel, ground-control data link, power and health monitoring.</w:t>
            </w:r>
          </w:p>
        </w:tc>
        <w:tc>
          <w:tcPr>
            <w:tcW w:type="dxa" w:w="1296"/>
          </w:tcPr>
          <w:p>
            <w:r>
              <w:rPr>
                <w:b w:val="0"/>
                <w:sz w:val="20"/>
              </w:rPr>
              <w:t>FACE conformance for application portability; OCI for containerized components; UAS Family of Systems architecture for system-level integration.</w:t>
            </w:r>
          </w:p>
        </w:tc>
        <w:tc>
          <w:tcPr>
            <w:tcW w:type="dxa" w:w="864"/>
          </w:tcPr>
          <w:p>
            <w:pPr>
              <w:jc w:val="center"/>
            </w:pPr>
            <w:r>
              <w:rPr>
                <w:b w:val="0"/>
                <w:sz w:val="20"/>
              </w:rPr>
              <w:t>No</w:t>
            </w:r>
          </w:p>
        </w:tc>
        <w:tc>
          <w:tcPr>
            <w:tcW w:type="dxa" w:w="1152"/>
          </w:tcPr>
          <w:p>
            <w:pPr>
              <w:jc w:val="center"/>
            </w:pPr>
            <w:r>
              <w:rPr>
                <w:b w:val="0"/>
                <w:sz w:val="20"/>
              </w:rPr>
              <w:t>Yes</w:t>
            </w:r>
          </w:p>
        </w:tc>
        <w:tc>
          <w:tcPr>
            <w:tcW w:type="dxa" w:w="864"/>
          </w:tcPr>
          <w:p>
            <w:pPr>
              <w:jc w:val="center"/>
            </w:pPr>
            <w:r>
              <w:rPr>
                <w:b w:val="0"/>
                <w:sz w:val="20"/>
              </w:rPr>
              <w:t>No</w:t>
            </w:r>
          </w:p>
        </w:tc>
      </w:tr>
      <w:tr>
        <w:tc>
          <w:tcPr>
            <w:tcW w:type="dxa" w:w="1296"/>
          </w:tcPr>
          <w:p>
            <w:r>
              <w:rPr>
                <w:b w:val="0"/>
                <w:sz w:val="20"/>
              </w:rPr>
              <w:t>lethal payload</w:t>
            </w:r>
          </w:p>
        </w:tc>
        <w:tc>
          <w:tcPr>
            <w:tcW w:type="dxa" w:w="1728"/>
          </w:tcPr>
          <w:p>
            <w:r>
              <w:rPr>
                <w:b w:val="0"/>
                <w:sz w:val="20"/>
              </w:rPr>
              <w:t>Secondary mission set; must be modular to enable safe integration and rapid field interchange. Market assessment indicates available COTS solutions for small UAS lethal effects.</w:t>
            </w:r>
          </w:p>
        </w:tc>
        <w:tc>
          <w:tcPr>
            <w:tcW w:type="dxa" w:w="1440"/>
          </w:tcPr>
          <w:p>
            <w:r>
              <w:rPr>
                <w:b w:val="0"/>
                <w:sz w:val="20"/>
              </w:rPr>
              <w:t>Mechanical mounting and release interfaces, arming/arming-prohibition discrete lines, data/control over FACE/OCI endpoint, weapon-safe power line, and status telemetry.</w:t>
            </w:r>
          </w:p>
        </w:tc>
        <w:tc>
          <w:tcPr>
            <w:tcW w:type="dxa" w:w="1296"/>
          </w:tcPr>
          <w:p>
            <w:r>
              <w:rPr>
                <w:b w:val="0"/>
                <w:sz w:val="20"/>
              </w:rPr>
              <w:t>Safety and arming interlock standards required by DoD policy; FACE/OCI for command-and-control; official weapons integration safety protocols.</w:t>
            </w:r>
          </w:p>
        </w:tc>
        <w:tc>
          <w:tcPr>
            <w:tcW w:type="dxa" w:w="864"/>
          </w:tcPr>
          <w:p>
            <w:pPr>
              <w:jc w:val="center"/>
            </w:pPr>
            <w:r>
              <w:rPr>
                <w:b w:val="0"/>
                <w:sz w:val="20"/>
              </w:rPr>
              <w:t>No</w:t>
            </w:r>
          </w:p>
        </w:tc>
        <w:tc>
          <w:tcPr>
            <w:tcW w:type="dxa" w:w="1152"/>
          </w:tcPr>
          <w:p>
            <w:pPr>
              <w:jc w:val="center"/>
            </w:pPr>
            <w:r>
              <w:rPr>
                <w:b w:val="0"/>
                <w:sz w:val="20"/>
              </w:rPr>
              <w:t>No</w:t>
            </w:r>
          </w:p>
        </w:tc>
        <w:tc>
          <w:tcPr>
            <w:tcW w:type="dxa" w:w="864"/>
          </w:tcPr>
          <w:p>
            <w:pPr>
              <w:jc w:val="center"/>
            </w:pPr>
            <w:r>
              <w:rPr>
                <w:b w:val="0"/>
                <w:sz w:val="20"/>
              </w:rPr>
              <w:t>Yes</w:t>
            </w:r>
          </w:p>
        </w:tc>
      </w:tr>
      <w:tr>
        <w:tc>
          <w:tcPr>
            <w:tcW w:type="dxa" w:w="1296"/>
          </w:tcPr>
          <w:p>
            <w:r>
              <w:rPr>
                <w:b w:val="0"/>
                <w:sz w:val="20"/>
              </w:rPr>
              <w:t>communications payload</w:t>
            </w:r>
          </w:p>
        </w:tc>
        <w:tc>
          <w:tcPr>
            <w:tcW w:type="dxa" w:w="1728"/>
          </w:tcPr>
          <w:p>
            <w:r>
              <w:rPr>
                <w:b w:val="0"/>
                <w:sz w:val="20"/>
              </w:rPr>
              <w:t>Enables contested-environment node capability — must provide modular radios/processors, crypto boundary, and graceful degraded comms modes for contested-spectrum operations.</w:t>
            </w:r>
          </w:p>
        </w:tc>
        <w:tc>
          <w:tcPr>
            <w:tcW w:type="dxa" w:w="1440"/>
          </w:tcPr>
          <w:p>
            <w:r>
              <w:rPr>
                <w:b w:val="0"/>
                <w:sz w:val="20"/>
              </w:rPr>
              <w:t>Antenna ports and placement, power and thermal interfaces, data interface to FCC (secure FACE/OCI endpoint), key management/exchange interfaces.</w:t>
            </w:r>
          </w:p>
        </w:tc>
        <w:tc>
          <w:tcPr>
            <w:tcW w:type="dxa" w:w="1296"/>
          </w:tcPr>
          <w:p>
            <w:r>
              <w:rPr>
                <w:b w:val="0"/>
                <w:sz w:val="20"/>
              </w:rPr>
              <w:t>FACE/OCI for software components; program-ICD for physical connectors; crypto/key management consistent with DoD guidance.</w:t>
            </w:r>
          </w:p>
        </w:tc>
        <w:tc>
          <w:tcPr>
            <w:tcW w:type="dxa" w:w="864"/>
          </w:tcPr>
          <w:p>
            <w:pPr>
              <w:jc w:val="center"/>
            </w:pPr>
            <w:r>
              <w:rPr>
                <w:b w:val="0"/>
                <w:sz w:val="20"/>
              </w:rPr>
              <w:t>Yes</w:t>
            </w:r>
          </w:p>
        </w:tc>
        <w:tc>
          <w:tcPr>
            <w:tcW w:type="dxa" w:w="1152"/>
          </w:tcPr>
          <w:p>
            <w:pPr>
              <w:jc w:val="center"/>
            </w:pPr>
            <w:r>
              <w:rPr>
                <w:b w:val="0"/>
                <w:sz w:val="20"/>
              </w:rPr>
              <w:t>Yes</w:t>
            </w:r>
          </w:p>
        </w:tc>
        <w:tc>
          <w:tcPr>
            <w:tcW w:type="dxa" w:w="864"/>
          </w:tcPr>
          <w:p>
            <w:pPr>
              <w:jc w:val="center"/>
            </w:pPr>
            <w:r>
              <w:rPr>
                <w:b w:val="0"/>
                <w:sz w:val="20"/>
              </w:rPr>
              <w:t>Partial—COTS radio hardware possible, processor/algorithms currently low TRL</w:t>
            </w:r>
          </w:p>
        </w:tc>
      </w:tr>
      <w:tr>
        <w:tc>
          <w:tcPr>
            <w:tcW w:type="dxa" w:w="1296"/>
          </w:tcPr>
          <w:p>
            <w:r>
              <w:rPr>
                <w:b w:val="0"/>
                <w:sz w:val="20"/>
              </w:rPr>
              <w:t>ISR sensor payload</w:t>
            </w:r>
          </w:p>
        </w:tc>
        <w:tc>
          <w:tcPr>
            <w:tcW w:type="dxa" w:w="1728"/>
          </w:tcPr>
          <w:p>
            <w:r>
              <w:rPr>
                <w:b w:val="0"/>
                <w:sz w:val="20"/>
              </w:rPr>
              <w:t>Primary mission capability; provides imaging and sensor data for reconnaissance. Identified as a key technical risk and likely obsolescence candidate due to low TRL sensors.</w:t>
            </w:r>
          </w:p>
        </w:tc>
        <w:tc>
          <w:tcPr>
            <w:tcW w:type="dxa" w:w="1440"/>
          </w:tcPr>
          <w:p>
            <w:r>
              <w:rPr>
                <w:b w:val="0"/>
                <w:sz w:val="20"/>
              </w:rPr>
              <w:t>Mechanical mount and boom/pointing interface, stabilized gimbal power and control, high-speed data link to FCC (FACE/OCI compatible), sensor health and calibration ports.</w:t>
            </w:r>
          </w:p>
        </w:tc>
        <w:tc>
          <w:tcPr>
            <w:tcW w:type="dxa" w:w="1296"/>
          </w:tcPr>
          <w:p>
            <w:r>
              <w:rPr>
                <w:b w:val="0"/>
                <w:sz w:val="20"/>
              </w:rPr>
              <w:t>MOD Payload baseline for physical/power mounts; FACE/OCI for mission data exchange; environmental and EMI standards for sensor performance.</w:t>
            </w:r>
          </w:p>
        </w:tc>
        <w:tc>
          <w:tcPr>
            <w:tcW w:type="dxa" w:w="864"/>
          </w:tcPr>
          <w:p>
            <w:pPr>
              <w:jc w:val="center"/>
            </w:pPr>
            <w:r>
              <w:rPr>
                <w:b w:val="0"/>
                <w:sz w:val="20"/>
              </w:rPr>
              <w:t>Yes</w:t>
            </w:r>
          </w:p>
        </w:tc>
        <w:tc>
          <w:tcPr>
            <w:tcW w:type="dxa" w:w="1152"/>
          </w:tcPr>
          <w:p>
            <w:pPr>
              <w:jc w:val="center"/>
            </w:pPr>
            <w:r>
              <w:rPr>
                <w:b w:val="0"/>
                <w:sz w:val="20"/>
              </w:rPr>
              <w:t>Yes</w:t>
            </w:r>
          </w:p>
        </w:tc>
        <w:tc>
          <w:tcPr>
            <w:tcW w:type="dxa" w:w="864"/>
          </w:tcPr>
          <w:p>
            <w:pPr>
              <w:jc w:val="center"/>
            </w:pPr>
            <w:r>
              <w:rPr>
                <w:b w:val="0"/>
                <w:sz w:val="20"/>
              </w:rPr>
              <w:t>No</w:t>
            </w:r>
          </w:p>
        </w:tc>
      </w:tr>
    </w:tbl>
    <w:p>
      <w:r>
        <w:br w:type="page"/>
      </w:r>
    </w:p>
    <w:p>
      <w:pPr>
        <w:pStyle w:val="Heading1"/>
        <w:spacing w:before="0" w:after="160"/>
      </w:pPr>
      <w:r>
        <w:t>6. Questions to Industry</w:t>
      </w:r>
    </w:p>
    <w:p>
      <w:r>
        <w:t>Industry respondents are requested to address the following questions. Responses are for market research purposes only and do not constitute a commitment to procure.</w:t>
      </w:r>
    </w:p>
    <w:p>
      <w:pPr>
        <w:pStyle w:val="ListBullet"/>
      </w:pPr>
      <w:r>
        <w:t>Can your company supply one or more of the defined modules (identify which) and meet a production-capable delivery schedule within ~18 months from contract award? Provide realistic lead times and single-unit through-production rates.</w:t>
      </w:r>
    </w:p>
    <w:p>
      <w:pPr>
        <w:pStyle w:val="ListBullet"/>
      </w:pPr>
      <w:r>
        <w:t>For each module proposed, identify which interfaces (mechanical mounting, power, data bus, mission-data semantics) conform to OCI or FACE and which require program-specific ICD extensions.</w:t>
      </w:r>
    </w:p>
    <w:p>
      <w:pPr>
        <w:pStyle w:val="ListBullet"/>
      </w:pPr>
      <w:r>
        <w:t>What level of data rights (GPR, limited or unlimited) are you willing to grant for the module interface documentation, toolchains, and test artifacts? If less than GPR, provide justification and propose SNLR boundaries.</w:t>
      </w:r>
    </w:p>
    <w:p>
      <w:pPr>
        <w:pStyle w:val="ListBullet"/>
      </w:pPr>
      <w:r>
        <w:t>For the ISR sensor payload and communications payload: provide TRL assessment, major technology risks, planned maturity activities (including timelines), and what demonstration hardware and test events you can support within 120 days and 12 months.</w:t>
      </w:r>
    </w:p>
    <w:p>
      <w:pPr>
        <w:pStyle w:val="ListBullet"/>
      </w:pPr>
      <w:r>
        <w:t>Provide an obsolescence management plan for sensor and processor components, including recommended pin-compatible or form-fit-function alternatives and expected lifecycle for key components.</w:t>
      </w:r>
    </w:p>
    <w:p>
      <w:pPr>
        <w:pStyle w:val="ListBullet"/>
      </w:pPr>
      <w:r>
        <w:t>For the lethal payload: confirm COTS status, statement of compliance with safety and legal regimes, required platform-level safety interlocks, and provide evidence of fielded use or qualification data.</w:t>
      </w:r>
    </w:p>
    <w:p>
      <w:pPr>
        <w:pStyle w:val="ListBullet"/>
      </w:pPr>
      <w:r>
        <w:t>Detail the FCC software architecture: how will FACE/OCI be implemented, how are updates/patches delivered securely in austere conditions, and how will software integrity and provenance be maintained?</w:t>
      </w:r>
    </w:p>
    <w:p>
      <w:pPr>
        <w:pStyle w:val="ListBullet"/>
      </w:pPr>
      <w:r>
        <w:t>Describe field-repair and attrition strategies, replacement unit costs, consumable lists, and expected Mean Time Between Failures (MTBF) for modules intended for attritable employment.</w:t>
      </w:r>
    </w:p>
    <w:p>
      <w:pPr>
        <w:pStyle w:val="ListBullet"/>
      </w:pPr>
      <w:r>
        <w:t>Provide cybersecurity posture: STIG/Security Technical Implementation guidance conformance, encryption approaches for the comms payload, and how keys are provisioned in contested environments.</w:t>
      </w:r>
    </w:p>
    <w:p>
      <w:pPr>
        <w:pStyle w:val="ListBullet"/>
      </w:pPr>
      <w:r>
        <w:t>What are the SW and HW interfaces (pinout, connector types, power rail specs, canonical data schemas) you expect for mechanical/payload integration, and can you provide preliminary ICDs or interface sketches with your response?</w:t>
      </w:r>
    </w:p>
    <w:p>
      <w:r>
        <w:br w:type="page"/>
      </w:r>
    </w:p>
    <w:p>
      <w:pPr>
        <w:pStyle w:val="Heading1"/>
        <w:spacing w:before="0" w:after="160"/>
      </w:pPr>
      <w:r>
        <w:t>7. Requested Deliverables</w:t>
      </w:r>
    </w:p>
    <w:p>
      <w:r>
        <w:t>Please provide the following items in your response:</w:t>
      </w:r>
    </w:p>
    <w:p>
      <w:pPr>
        <w:pStyle w:val="ListBullet"/>
      </w:pPr>
      <w:r>
        <w:t>Capability statement (2-page max) identifying modules offered, CAGE, point of contact, and relevant past performance (Raven/Puma lineage or similar).</w:t>
      </w:r>
    </w:p>
    <w:p>
      <w:pPr>
        <w:pStyle w:val="ListBullet"/>
      </w:pPr>
      <w:r>
        <w:t>Module-specific technical white papers (5–10 pages each) covering architecture, interfaces (mechanical, electrical, data), FACE/OCI conformance plan, TRL profile and maturation plan, and environmental qualification approach.</w:t>
      </w:r>
    </w:p>
    <w:p>
      <w:pPr>
        <w:pStyle w:val="ListBullet"/>
      </w:pPr>
      <w:r>
        <w:t>Interface compliance matrix mapping your module to the program ICD expectations (mechanical mounting, power, data protocols, security boundaries), including proposed connector types and pinouts where available.</w:t>
      </w:r>
    </w:p>
    <w:p>
      <w:pPr>
        <w:pStyle w:val="ListBullet"/>
      </w:pPr>
      <w:r>
        <w:t>Data rights and IP assertions: provide draft Rights Assertion Table (RAT) identifying proposed rights for delivered artifacts (ICDs, TDP, source code, models) and indicate willingness to provide GPR for interfaces.</w:t>
      </w:r>
    </w:p>
    <w:p>
      <w:pPr>
        <w:pStyle w:val="ListBullet"/>
      </w:pPr>
      <w:r>
        <w:t>Preliminary schedule and cost estimate to deliver prototype modules to a government-directed test event (including milestones to initial production within ~18 months).</w:t>
      </w:r>
    </w:p>
    <w:p>
      <w:pPr>
        <w:pStyle w:val="ListBullet"/>
      </w:pPr>
      <w:r>
        <w:t>Obsolescence management plan for modules identified as at-risk (ISR sensor, comms processor) including alternate suppliers and lead times.</w:t>
      </w:r>
    </w:p>
    <w:p>
      <w:pPr>
        <w:pStyle w:val="ListBullet"/>
      </w:pPr>
      <w:r>
        <w:t>Safety case summary for any lethal-payload interface (including proposed arming safeties, software interlocks, and required platform modifications).</w:t>
      </w:r>
    </w:p>
    <w:p>
      <w:pPr>
        <w:pStyle w:val="ListBullet"/>
      </w:pPr>
      <w:r>
        <w:t>Cybersecurity summary demonstrating planned compliance to DoD-relevant STIGs/requirements, key management approach for comms node, and known vulnerabilities or mitigations.</w:t>
      </w:r>
    </w:p>
    <w:p>
      <w:pPr>
        <w:pStyle w:val="ListBullet"/>
      </w:pPr>
      <w:r>
        <w:t>Demonstration availability statement: list of locations, dates, and capability to demonstrate modular swap, data exchange via FACE/OCI, or live ISR/comms events within 120 days.</w:t>
      </w:r>
    </w:p>
    <w:p>
      <w:pPr>
        <w:pStyle w:val="ListBullet"/>
      </w:pPr>
      <w:r>
        <w:t>Bill of Materials (high level), unit recurring production cost targets, and Sustainment/repair cost drivers for attritable employment.</w:t>
      </w:r>
    </w:p>
    <w:p>
      <w:r>
        <w:br w:type="page"/>
      </w:r>
    </w:p>
    <w:p>
      <w:pPr>
        <w:pStyle w:val="Heading1"/>
        <w:spacing w:before="0" w:after="160"/>
      </w:pPr>
      <w:r>
        <w:t>8. Submission Instructions</w:t>
      </w:r>
    </w:p>
    <w:p>
      <w:pPr>
        <w:pStyle w:val="ListBullet"/>
      </w:pPr>
      <w:r>
        <w:t>Responses are due 30 calendar days after RFI release. Electronic submissions only: one consolidated PDF (not to exceed 25 pages for the core response, plus up to 5 module-specific appendices at 10 pages each).</w:t>
      </w:r>
    </w:p>
    <w:p>
      <w:pPr>
        <w:pStyle w:val="ListBullet"/>
      </w:pPr>
      <w:r>
        <w:t>Include a cover page with company name, CAGE, point of contact (phone/email), and a statement on data rights and markings. If proprietary or classified annexes are included, label and submit them separately with appropriate handling instructions.</w:t>
      </w:r>
    </w:p>
    <w:p>
      <w:pPr>
        <w:pStyle w:val="ListBullet"/>
      </w:pPr>
      <w:r>
        <w:t>Provide machine-readable interface artifacts where available (e.g., ICDs in XML or JSON, FACE conformant descriptors) as separate attachments. Clearly identify any export-controlled content.</w:t>
      </w:r>
    </w:p>
    <w:p>
      <w:pPr>
        <w:pStyle w:val="ListBullet"/>
      </w:pPr>
      <w:r>
        <w:t>Submit to the Program Office email inbox (TestProgram_MOSA@releasable.mil) and copy the contracting lead. Questions will be accepted up to 10 calendar days before the response due date; a government-led industry day/webinar will be scheduled within two weeks of RFI release for clarifying questions.</w:t>
      </w:r>
    </w:p>
    <w:p>
      <w:pPr>
        <w:pStyle w:val="ListBullet"/>
      </w:pPr>
      <w:r>
        <w:t>Do not submit formal proposals or cost/price proposals intended for award. This RFI is for information and planning only; submission is voluntary and will not constitute a bid or commitment by the government.</w:t>
      </w:r>
    </w:p>
    <w:p>
      <w:r>
        <w:br w:type="page"/>
      </w:r>
    </w:p>
    <w:p>
      <w:pPr>
        <w:pStyle w:val="Heading1"/>
        <w:spacing w:before="0" w:after="160"/>
      </w:pPr>
      <w:r>
        <w:t>Appendix A: Sources Used</w:t>
      </w:r>
    </w:p>
    <w:p>
      <w:r>
        <w:t>The following uploaded program documents were consulted in preparing this AI-assisted RFI:</w:t>
      </w:r>
    </w:p>
    <w:p>
      <w:pPr>
        <w:pStyle w:val="ListBullet"/>
      </w:pPr>
      <w:r>
        <w:rPr>
          <w:b/>
        </w:rPr>
        <w:t>EXAMPLE for MOSA_RFI.docx</w:t>
      </w:r>
      <w:r>
        <w:t xml:space="preserve"> — MVP for MOSA (for all programs): Must define draft Modules and expected interfaces; Must define high level MOSA scenarios; Must define data rights strategy with a min requirement of GPR for all interfaces.</w:t>
      </w:r>
    </w:p>
    <w:p>
      <w:pPr>
        <w:pStyle w:val="ListBullet"/>
      </w:pPr>
      <w:r>
        <w:rPr>
          <w:b/>
        </w:rPr>
        <w:t>EXAEMPLAR_Acquisition Strategy .docx</w:t>
      </w:r>
      <w:r>
        <w:t xml:space="preserve"> — Due to the MOSA intended for this program, the technical approach will leverage the existing UAS Family of Systems Architecture that has been robustly vetted with industry; the program notes that USC 10 requires interfaces to be GPR and limits procurement of data rights inside modules.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8"/>
      </w:rPr>
      <w:t>Test Program</w:t>
    </w:r>
  </w:p>
  <w:p>
    <w:pPr>
      <w:jc w:val="center"/>
    </w:pP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