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8"/>
        </w:rPr>
        <w:t>Test Program</w:t>
      </w:r>
    </w:p>
    <w:p>
      <w:pPr>
        <w:spacing w:before="240"/>
        <w:jc w:val="center"/>
      </w:pPr>
      <w:r>
        <w:rPr>
          <w:color w:val="444444"/>
          <w:sz w:val="32"/>
        </w:rPr>
        <w:t>MOSA Conformance Plan (AI-Assisted)</w:t>
      </w:r>
    </w:p>
    <w:p>
      <w:pPr>
        <w:spacing w:before="160"/>
        <w:jc w:val="center"/>
      </w:pPr>
      <w:r>
        <w:rPr>
          <w:sz w:val="22"/>
        </w:rPr>
        <w:t>February 28, 2026</w:t>
      </w:r>
    </w:p>
    <w:p>
      <w:r>
        <w:br w:type="page"/>
      </w:r>
    </w:p>
    <w:p>
      <w:pPr>
        <w:pStyle w:val="Heading1"/>
        <w:spacing w:before="0" w:after="160"/>
      </w:pPr>
      <w:r>
        <w:t>1. Executive Summary</w:t>
      </w:r>
    </w:p>
    <w:p>
      <w:r>
        <w:t>This MOSA Conformance Plan documents how the Test Program — a Class 1 attritable small UAS ISR platform with secondary lethal-payload and communications-node missions — will adopt modular open systems practices to enable rapid, competitive integration of third-party sensors, payloads, and communications equipment. The plan focuses on a narrow set of required open standards (OCI, FACE, and MOD Payload), government-owned interface specifications, and a pragmatic, schedule-aware approach to data rights and verification to meet the program's sub-18-month production objective.</w:t>
      </w:r>
    </w:p>
    <w:p>
      <w:r>
        <w:br w:type="page"/>
      </w:r>
    </w:p>
    <w:p>
      <w:pPr>
        <w:pStyle w:val="Heading1"/>
        <w:spacing w:before="0" w:after="160"/>
      </w:pPr>
      <w:r>
        <w:t>2. MOSA Objectives</w:t>
      </w:r>
    </w:p>
    <w:p>
      <w:r>
        <w:t>This MOSA Conformance Plan documents how the program will satisfy the requirements of 10 U.S.C. § 4401 and DoD Directive 5000.01. The following objectives apply:</w:t>
      </w:r>
    </w:p>
    <w:p>
      <w:pPr>
        <w:pStyle w:val="ListBullet"/>
      </w:pPr>
      <w:r>
        <w:t>Establish government-owned physical and logical interfaces (mechanical mounts, power, and data buses) to enable plug-and-play replacement of sensors, communications payloads, and lethal payloads.</w:t>
      </w:r>
    </w:p>
    <w:p>
      <w:pPr>
        <w:pStyle w:val="ListBullet"/>
      </w:pPr>
      <w:r>
        <w:t>Adopt a minimal set of open standards (OCI for containerized software, FACE for avionics interfaces, MOD Payload for payload mounting/data) across applicable modules to enable competitive upgrades within 18 months.</w:t>
      </w:r>
    </w:p>
    <w:p>
      <w:pPr>
        <w:pStyle w:val="ListBullet"/>
      </w:pPr>
      <w:r>
        <w:t>Secure a data rights posture that preserves government ability to re-host, upgrade, and sustain mission payloads and flight software (interfaces as Unlimited Rights, flight software and key payload drivers at least Government Purpose Rights).</w:t>
      </w:r>
    </w:p>
    <w:p>
      <w:pPr>
        <w:pStyle w:val="ListBullet"/>
      </w:pPr>
      <w:r>
        <w:t>Demonstrate modular conformance early (by PDR and CDR) through prototype integration events and conformance test artifacts to de-risk IOT&amp;E and production decisions.</w:t>
      </w:r>
    </w:p>
    <w:p>
      <w:r>
        <w:br w:type="page"/>
      </w:r>
    </w:p>
    <w:p>
      <w:pPr>
        <w:pStyle w:val="Heading1"/>
        <w:spacing w:before="0" w:after="160"/>
      </w:pPr>
      <w:r>
        <w:t>3. Tailoring Rationale</w:t>
      </w:r>
    </w:p>
    <w:p>
      <w:r>
        <w:t>Given Test Program's Class 1 small UAS form factor, attritable use-case, and very compressed schedule, MOSA requirements are tailored to a minimal but effective subset: prioritize open standards only where they materially enable competitive upgrades (OCI and FACE for software; MOD Payload for payload carriage and data) rather than imposing full-suite DoD enterprise standards. Deliverables are scaled to essential artifacts (ICDs for mechanical/power/data interfaces, a lightweight FACE/OCI conformance checklist, and baseline software containers) rather than large formal certification packages to meet the 18-month production objective. Data rights negotiation is targeted: government retains Unlimited Rights for interface ICDs and reference implementations, Government Purpose Rights for flight control and comms/ISR driver code to preserve sustainment and re-hosting options, while accepting Limited Rights for vendor-provided lethal-payload COTS elements where appropriate to keep cadence and cost achievable. The plan emphasizes early integration demonstrations to validate MOSA assumptions and to limit scope creep given budget limits.</w:t>
      </w:r>
    </w:p>
    <w:p>
      <w:r>
        <w:br w:type="page"/>
      </w:r>
    </w:p>
    <w:p>
      <w:pPr>
        <w:pStyle w:val="Heading1"/>
        <w:spacing w:before="0" w:after="160"/>
      </w:pPr>
      <w:r>
        <w:t>4. Program Context</w:t>
      </w:r>
    </w:p>
    <w:p>
      <w:r>
        <w:t>Test Program is an attritable Class 1 small UAS intended primarily for forward-deployed ISR with secondary missions for delivering a lethal payload and serving as a contested-environment communications node. The program is constrained by a small development budget (~$150k) and a rapid timeline (likely under 18 months to production). The system will be fielded to tactical units with limited sustainment infrastructure and must therefore allow fast replacement and upgrade of mission modules in-theater.</w:t>
      </w:r>
    </w:p>
    <w:p>
      <w:r>
        <w:t>Key stakeholders include the end user (forward deployed units), contracting and budget authorities, government engineers, and program managers. The program flag set (Attritable, Sustainment Tail, Software Large Part, Mission Critical, Safety Critical) drives specific MOSA emphases: interfaces must support rapid change-out of COTS and government-provided modules, software must be modular to reduce integration risk, and safety-critical functions (especially lethal-payload integration and flight control) must be clearly segregated with documented interfaces and data rights enabling government verification and sustainment.</w:t>
      </w:r>
    </w:p>
    <w:p>
      <w:r>
        <w:t>Technical risk drivers are concentrated in two payload processors: the ISR sensor (low TRL / obsolescence candidate) and the communications processor (low TRL). The program requirement to be able to 'buy a platform and then integrate any company's sensors, lethal payloads, and/or communication equipment' is the primary MOSA driver: mechanical, electrical, and information interfaces must be documented and government-owned to permit competitive upgrades and rapid vendor swaps. Given the rapid schedule and constrained budget, MOSA implementation is prioritized on a minimal set of interface and software standards (OCI, FACE, MOD Payload) and on ensuring critical modules have an upgrade path and appropriate technical data rights.</w:t>
      </w:r>
    </w:p>
    <w:p>
      <w:r>
        <w:br w:type="page"/>
      </w:r>
    </w:p>
    <w:p>
      <w:pPr>
        <w:pStyle w:val="Heading1"/>
        <w:spacing w:before="0" w:after="160"/>
      </w:pPr>
      <w:r>
        <w:t>5. Module Inventory and Conformance Status</w:t>
      </w:r>
    </w:p>
    <w:p>
      <w:r>
        <w:t>The following table summarizes the program's modular decomposition and the MOSA conformance status of each module.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96"/>
            <w:shd w:val="clear" w:color="auto" w:fill="D9E1F2"/>
          </w:tcPr>
          <w:p>
            <w:r>
              <w:rPr>
                <w:b/>
                <w:sz w:val="18"/>
              </w:rPr>
              <w:t>Module</w:t>
            </w:r>
          </w:p>
        </w:tc>
        <w:tc>
          <w:tcPr>
            <w:tcW w:type="dxa" w:w="1584"/>
            <w:shd w:val="clear" w:color="auto" w:fill="D9E1F2"/>
          </w:tcPr>
          <w:p>
            <w:r>
              <w:rPr>
                <w:b/>
                <w:sz w:val="18"/>
              </w:rPr>
              <w:t>Open Standards</w:t>
            </w:r>
          </w:p>
        </w:tc>
        <w:tc>
          <w:tcPr>
            <w:tcW w:type="dxa" w:w="1008"/>
            <w:shd w:val="clear" w:color="auto" w:fill="D9E1F2"/>
          </w:tcPr>
          <w:p>
            <w:r>
              <w:rPr>
                <w:b/>
                <w:sz w:val="18"/>
              </w:rPr>
              <w:t>Interface Type</w:t>
            </w:r>
          </w:p>
        </w:tc>
        <w:tc>
          <w:tcPr>
            <w:tcW w:type="dxa" w:w="1440"/>
            <w:shd w:val="clear" w:color="auto" w:fill="D9E1F2"/>
          </w:tcPr>
          <w:p>
            <w:r>
              <w:rPr>
                <w:b/>
                <w:sz w:val="18"/>
              </w:rPr>
              <w:t>Data Rights</w:t>
            </w:r>
          </w:p>
        </w:tc>
        <w:tc>
          <w:tcPr>
            <w:tcW w:type="dxa" w:w="1152"/>
            <w:shd w:val="clear" w:color="auto" w:fill="D9E1F2"/>
          </w:tcPr>
          <w:p>
            <w:r>
              <w:rPr>
                <w:b/>
                <w:sz w:val="18"/>
              </w:rPr>
              <w:t>Conformance</w:t>
            </w:r>
          </w:p>
        </w:tc>
        <w:tc>
          <w:tcPr>
            <w:tcW w:type="dxa" w:w="1440"/>
            <w:shd w:val="clear" w:color="auto" w:fill="D9E1F2"/>
          </w:tcPr>
          <w:p>
            <w:r>
              <w:rPr>
                <w:b/>
                <w:sz w:val="18"/>
              </w:rPr>
              <w:t>Verification Method</w:t>
            </w:r>
          </w:p>
        </w:tc>
        <w:tc>
          <w:tcPr>
            <w:tcW w:type="dxa" w:w="720"/>
            <w:shd w:val="clear" w:color="auto" w:fill="D9E1F2"/>
          </w:tcPr>
          <w:p>
            <w:r>
              <w:rPr>
                <w:b/>
                <w:sz w:val="18"/>
              </w:rPr>
              <w:t>Notes</w:t>
            </w:r>
          </w:p>
        </w:tc>
      </w:tr>
      <w:tr>
        <w:tc>
          <w:tcPr>
            <w:tcW w:type="dxa" w:w="1296"/>
          </w:tcPr>
          <w:p>
            <w:r>
              <w:rPr>
                <w:b w:val="0"/>
                <w:sz w:val="18"/>
              </w:rPr>
              <w:t>airframe</w:t>
            </w:r>
          </w:p>
        </w:tc>
        <w:tc>
          <w:tcPr>
            <w:tcW w:type="dxa" w:w="1584"/>
          </w:tcPr>
          <w:p>
            <w:r>
              <w:rPr>
                <w:b w:val="0"/>
                <w:sz w:val="18"/>
              </w:rPr>
              <w:t>MOD Payload (mechanical/payload mounting), standard micro-UAS power pinouts (program-specific ICD)</w:t>
            </w:r>
          </w:p>
        </w:tc>
        <w:tc>
          <w:tcPr>
            <w:tcW w:type="dxa" w:w="1008"/>
          </w:tcPr>
          <w:p>
            <w:pPr>
              <w:jc w:val="center"/>
            </w:pPr>
            <w:r>
              <w:rPr>
                <w:b w:val="0"/>
                <w:sz w:val="18"/>
              </w:rPr>
              <w:t>HW</w:t>
            </w:r>
          </w:p>
        </w:tc>
        <w:tc>
          <w:tcPr>
            <w:tcW w:type="dxa" w:w="1440"/>
          </w:tcPr>
          <w:p>
            <w:r>
              <w:rPr>
                <w:b w:val="0"/>
                <w:sz w:val="18"/>
              </w:rPr>
              <w:t>Government Purpose Rights</w:t>
            </w:r>
          </w:p>
        </w:tc>
        <w:tc>
          <w:tcPr>
            <w:tcW w:type="dxa" w:w="1152"/>
          </w:tcPr>
          <w:p>
            <w:pPr>
              <w:jc w:val="center"/>
            </w:pPr>
            <w:r>
              <w:rPr>
                <w:b w:val="0"/>
                <w:sz w:val="18"/>
              </w:rPr>
              <w:t>Partial</w:t>
            </w:r>
          </w:p>
        </w:tc>
        <w:tc>
          <w:tcPr>
            <w:tcW w:type="dxa" w:w="1440"/>
          </w:tcPr>
          <w:p>
            <w:r>
              <w:rPr>
                <w:b w:val="0"/>
                <w:sz w:val="18"/>
              </w:rPr>
              <w:t>Review and approve Airframe-to-Payload Mechanical ICD; mechanical fit-checks during PDR; physical interchangeability demonstration at CDR</w:t>
            </w:r>
          </w:p>
        </w:tc>
        <w:tc>
          <w:tcPr>
            <w:tcW w:type="dxa" w:w="720"/>
          </w:tcPr>
          <w:p>
            <w:r>
              <w:rPr>
                <w:b w:val="0"/>
                <w:sz w:val="18"/>
              </w:rPr>
              <w:t>Airframe structural design will adopt MOD Payload mounting datum and will be delivered with government-owned ICD for mount and coarse mechanical tolerances.</w:t>
            </w:r>
          </w:p>
        </w:tc>
      </w:tr>
      <w:tr>
        <w:tc>
          <w:tcPr>
            <w:tcW w:type="dxa" w:w="1296"/>
          </w:tcPr>
          <w:p>
            <w:r>
              <w:rPr>
                <w:b w:val="0"/>
                <w:sz w:val="18"/>
              </w:rPr>
              <w:t>propulsion unit</w:t>
            </w:r>
          </w:p>
        </w:tc>
        <w:tc>
          <w:tcPr>
            <w:tcW w:type="dxa" w:w="1584"/>
          </w:tcPr>
          <w:p>
            <w:r>
              <w:rPr>
                <w:b w:val="0"/>
                <w:sz w:val="18"/>
              </w:rPr>
              <w:t>Program power interface ICD; electrical connector standards per ICD</w:t>
            </w:r>
          </w:p>
        </w:tc>
        <w:tc>
          <w:tcPr>
            <w:tcW w:type="dxa" w:w="1008"/>
          </w:tcPr>
          <w:p>
            <w:pPr>
              <w:jc w:val="center"/>
            </w:pPr>
            <w:r>
              <w:rPr>
                <w:b w:val="0"/>
                <w:sz w:val="18"/>
              </w:rPr>
              <w:t>HW</w:t>
            </w:r>
          </w:p>
        </w:tc>
        <w:tc>
          <w:tcPr>
            <w:tcW w:type="dxa" w:w="1440"/>
          </w:tcPr>
          <w:p>
            <w:r>
              <w:rPr>
                <w:b w:val="0"/>
                <w:sz w:val="18"/>
              </w:rPr>
              <w:t>Government Purpose Rights</w:t>
            </w:r>
          </w:p>
        </w:tc>
        <w:tc>
          <w:tcPr>
            <w:tcW w:type="dxa" w:w="1152"/>
          </w:tcPr>
          <w:p>
            <w:pPr>
              <w:jc w:val="center"/>
            </w:pPr>
            <w:r>
              <w:rPr>
                <w:b w:val="0"/>
                <w:sz w:val="18"/>
              </w:rPr>
              <w:t>Partial</w:t>
            </w:r>
          </w:p>
        </w:tc>
        <w:tc>
          <w:tcPr>
            <w:tcW w:type="dxa" w:w="1440"/>
          </w:tcPr>
          <w:p>
            <w:r>
              <w:rPr>
                <w:b w:val="0"/>
                <w:sz w:val="18"/>
              </w:rPr>
              <w:t>Electrical and mechanical interface verification in laboratory; bench tests demonstrating plug-and-play replacement of propulsion units</w:t>
            </w:r>
          </w:p>
        </w:tc>
        <w:tc>
          <w:tcPr>
            <w:tcW w:type="dxa" w:w="720"/>
          </w:tcPr>
          <w:p>
            <w:r>
              <w:rPr>
                <w:b w:val="0"/>
                <w:sz w:val="18"/>
              </w:rPr>
              <w:t>Propulsion unit vendors must meet defined power and mechanical interfaces; propulsion control interfaces to flight control computer handled via defined electrical signals.</w:t>
            </w:r>
          </w:p>
        </w:tc>
      </w:tr>
      <w:tr>
        <w:tc>
          <w:tcPr>
            <w:tcW w:type="dxa" w:w="1296"/>
          </w:tcPr>
          <w:p>
            <w:r>
              <w:rPr>
                <w:b w:val="0"/>
                <w:sz w:val="18"/>
              </w:rPr>
              <w:t>battery</w:t>
            </w:r>
          </w:p>
        </w:tc>
        <w:tc>
          <w:tcPr>
            <w:tcW w:type="dxa" w:w="1584"/>
          </w:tcPr>
          <w:p>
            <w:r>
              <w:rPr>
                <w:b w:val="0"/>
                <w:sz w:val="18"/>
              </w:rPr>
              <w:t>Program battery power/interface ICD (voltage, connectors, battery management telemetry spec)</w:t>
            </w:r>
          </w:p>
        </w:tc>
        <w:tc>
          <w:tcPr>
            <w:tcW w:type="dxa" w:w="1008"/>
          </w:tcPr>
          <w:p>
            <w:pPr>
              <w:jc w:val="center"/>
            </w:pPr>
            <w:r>
              <w:rPr>
                <w:b w:val="0"/>
                <w:sz w:val="18"/>
              </w:rPr>
              <w:t>HW</w:t>
            </w:r>
          </w:p>
        </w:tc>
        <w:tc>
          <w:tcPr>
            <w:tcW w:type="dxa" w:w="1440"/>
          </w:tcPr>
          <w:p>
            <w:r>
              <w:rPr>
                <w:b w:val="0"/>
                <w:sz w:val="18"/>
              </w:rPr>
              <w:t>Government Purpose Rights</w:t>
            </w:r>
          </w:p>
        </w:tc>
        <w:tc>
          <w:tcPr>
            <w:tcW w:type="dxa" w:w="1152"/>
          </w:tcPr>
          <w:p>
            <w:pPr>
              <w:jc w:val="center"/>
            </w:pPr>
            <w:r>
              <w:rPr>
                <w:b w:val="0"/>
                <w:sz w:val="18"/>
              </w:rPr>
              <w:t>Partial</w:t>
            </w:r>
          </w:p>
        </w:tc>
        <w:tc>
          <w:tcPr>
            <w:tcW w:type="dxa" w:w="1440"/>
          </w:tcPr>
          <w:p>
            <w:r>
              <w:rPr>
                <w:b w:val="0"/>
                <w:sz w:val="18"/>
              </w:rPr>
              <w:t>Battery pack compliance testing, BMS telemetry verification, forced-swap physical endurance test</w:t>
            </w:r>
          </w:p>
        </w:tc>
        <w:tc>
          <w:tcPr>
            <w:tcW w:type="dxa" w:w="720"/>
          </w:tcPr>
          <w:p>
            <w:r>
              <w:rPr>
                <w:b w:val="0"/>
                <w:sz w:val="18"/>
              </w:rPr>
              <w:t>To enable attritable operations, battery replacement and safe-disconnect are required; ICD will be government-owned and included in solicitations.</w:t>
            </w:r>
          </w:p>
        </w:tc>
      </w:tr>
      <w:tr>
        <w:tc>
          <w:tcPr>
            <w:tcW w:type="dxa" w:w="1296"/>
          </w:tcPr>
          <w:p>
            <w:r>
              <w:rPr>
                <w:b w:val="0"/>
                <w:sz w:val="18"/>
              </w:rPr>
              <w:t>flight control computer</w:t>
            </w:r>
          </w:p>
        </w:tc>
        <w:tc>
          <w:tcPr>
            <w:tcW w:type="dxa" w:w="1584"/>
          </w:tcPr>
          <w:p>
            <w:r>
              <w:rPr>
                <w:b w:val="0"/>
                <w:sz w:val="18"/>
              </w:rPr>
              <w:t>FACE (avionics interfaces), OCI (containerized mission apps), program ICD for control/data bus</w:t>
            </w:r>
          </w:p>
        </w:tc>
        <w:tc>
          <w:tcPr>
            <w:tcW w:type="dxa" w:w="1008"/>
          </w:tcPr>
          <w:p>
            <w:pPr>
              <w:jc w:val="center"/>
            </w:pPr>
            <w:r>
              <w:rPr>
                <w:b w:val="0"/>
                <w:sz w:val="18"/>
              </w:rPr>
              <w:t>HW/SW</w:t>
            </w:r>
          </w:p>
        </w:tc>
        <w:tc>
          <w:tcPr>
            <w:tcW w:type="dxa" w:w="1440"/>
          </w:tcPr>
          <w:p>
            <w:r>
              <w:rPr>
                <w:b w:val="0"/>
                <w:sz w:val="18"/>
              </w:rPr>
              <w:t>Government Purpose Rights</w:t>
            </w:r>
          </w:p>
        </w:tc>
        <w:tc>
          <w:tcPr>
            <w:tcW w:type="dxa" w:w="1152"/>
          </w:tcPr>
          <w:p>
            <w:pPr>
              <w:jc w:val="center"/>
            </w:pPr>
            <w:r>
              <w:rPr>
                <w:b w:val="0"/>
                <w:sz w:val="18"/>
              </w:rPr>
              <w:t>Partial</w:t>
            </w:r>
          </w:p>
        </w:tc>
        <w:tc>
          <w:tcPr>
            <w:tcW w:type="dxa" w:w="1440"/>
          </w:tcPr>
          <w:p>
            <w:r>
              <w:rPr>
                <w:b w:val="0"/>
                <w:sz w:val="18"/>
              </w:rPr>
              <w:t>FACE conformance checklist, OCI containerized app demo, software baseline delivery to government repository, lab integration with representative payloads</w:t>
            </w:r>
          </w:p>
        </w:tc>
        <w:tc>
          <w:tcPr>
            <w:tcW w:type="dxa" w:w="720"/>
          </w:tcPr>
          <w:p>
            <w:r>
              <w:rPr>
                <w:b w:val="0"/>
                <w:sz w:val="18"/>
              </w:rPr>
              <w:t>Flight control is mission- and safety-critical; government will require source or GPR to enable re-hosting and sustainment. Full FACE 3.x compliance targeted for core interfaces; vendor-specific drivers to be GPR where feasible.</w:t>
            </w:r>
          </w:p>
        </w:tc>
      </w:tr>
      <w:tr>
        <w:tc>
          <w:tcPr>
            <w:tcW w:type="dxa" w:w="1296"/>
          </w:tcPr>
          <w:p>
            <w:r>
              <w:rPr>
                <w:b w:val="0"/>
                <w:sz w:val="18"/>
              </w:rPr>
              <w:t>lethal payload</w:t>
            </w:r>
          </w:p>
        </w:tc>
        <w:tc>
          <w:tcPr>
            <w:tcW w:type="dxa" w:w="1584"/>
          </w:tcPr>
          <w:p>
            <w:r>
              <w:rPr>
                <w:b w:val="0"/>
                <w:sz w:val="18"/>
              </w:rPr>
              <w:t>MOD Payload mechanical mount and power ICD for weapon carriage; weapon control API to be defined (safety-critical)</w:t>
            </w:r>
          </w:p>
        </w:tc>
        <w:tc>
          <w:tcPr>
            <w:tcW w:type="dxa" w:w="1008"/>
          </w:tcPr>
          <w:p>
            <w:pPr>
              <w:jc w:val="center"/>
            </w:pPr>
            <w:r>
              <w:rPr>
                <w:b w:val="0"/>
                <w:sz w:val="18"/>
              </w:rPr>
              <w:t>HW</w:t>
            </w:r>
          </w:p>
        </w:tc>
        <w:tc>
          <w:tcPr>
            <w:tcW w:type="dxa" w:w="1440"/>
          </w:tcPr>
          <w:p>
            <w:r>
              <w:rPr>
                <w:b w:val="0"/>
                <w:sz w:val="18"/>
              </w:rPr>
              <w:t>Limited Rights</w:t>
            </w:r>
          </w:p>
        </w:tc>
        <w:tc>
          <w:tcPr>
            <w:tcW w:type="dxa" w:w="1152"/>
          </w:tcPr>
          <w:p>
            <w:pPr>
              <w:jc w:val="center"/>
            </w:pPr>
            <w:r>
              <w:rPr>
                <w:b w:val="0"/>
                <w:sz w:val="18"/>
              </w:rPr>
              <w:t>Partial</w:t>
            </w:r>
          </w:p>
        </w:tc>
        <w:tc>
          <w:tcPr>
            <w:tcW w:type="dxa" w:w="1440"/>
          </w:tcPr>
          <w:p>
            <w:r>
              <w:rPr>
                <w:b w:val="0"/>
                <w:sz w:val="18"/>
              </w:rPr>
              <w:t>Safety case review, mechanical and electrical ICD conformance, live-fire or simulated release verification in controlled test, safety interlock verification</w:t>
            </w:r>
          </w:p>
        </w:tc>
        <w:tc>
          <w:tcPr>
            <w:tcW w:type="dxa" w:w="720"/>
          </w:tcPr>
          <w:p>
            <w:r>
              <w:rPr>
                <w:b w:val="0"/>
                <w:sz w:val="18"/>
              </w:rPr>
              <w:t>Primary lethal-payload sources are COTS; program accepts Limited Rights on vendor technology but requires Unlimited Rights for the mechanical/electrical ICD and defined safety interlocks and external APIs.</w:t>
            </w:r>
          </w:p>
        </w:tc>
      </w:tr>
      <w:tr>
        <w:tc>
          <w:tcPr>
            <w:tcW w:type="dxa" w:w="1296"/>
          </w:tcPr>
          <w:p>
            <w:r>
              <w:rPr>
                <w:b w:val="0"/>
                <w:sz w:val="18"/>
              </w:rPr>
              <w:t>communications payload</w:t>
            </w:r>
          </w:p>
        </w:tc>
        <w:tc>
          <w:tcPr>
            <w:tcW w:type="dxa" w:w="1584"/>
          </w:tcPr>
          <w:p>
            <w:r>
              <w:rPr>
                <w:b w:val="0"/>
                <w:sz w:val="18"/>
              </w:rPr>
              <w:t>OCI for containerized comms apps, program-defined RF/data bus ICD, MOD Payload for mechanical mount</w:t>
            </w:r>
          </w:p>
        </w:tc>
        <w:tc>
          <w:tcPr>
            <w:tcW w:type="dxa" w:w="1008"/>
          </w:tcPr>
          <w:p>
            <w:pPr>
              <w:jc w:val="center"/>
            </w:pPr>
            <w:r>
              <w:rPr>
                <w:b w:val="0"/>
                <w:sz w:val="18"/>
              </w:rPr>
              <w:t>HW/SW</w:t>
            </w:r>
          </w:p>
        </w:tc>
        <w:tc>
          <w:tcPr>
            <w:tcW w:type="dxa" w:w="1440"/>
          </w:tcPr>
          <w:p>
            <w:r>
              <w:rPr>
                <w:b w:val="0"/>
                <w:sz w:val="18"/>
              </w:rPr>
              <w:t>Government Purpose Rights</w:t>
            </w:r>
          </w:p>
        </w:tc>
        <w:tc>
          <w:tcPr>
            <w:tcW w:type="dxa" w:w="1152"/>
          </w:tcPr>
          <w:p>
            <w:pPr>
              <w:jc w:val="center"/>
            </w:pPr>
            <w:r>
              <w:rPr>
                <w:b w:val="0"/>
                <w:sz w:val="18"/>
              </w:rPr>
              <w:t>Partial</w:t>
            </w:r>
          </w:p>
        </w:tc>
        <w:tc>
          <w:tcPr>
            <w:tcW w:type="dxa" w:w="1440"/>
          </w:tcPr>
          <w:p>
            <w:r>
              <w:rPr>
                <w:b w:val="0"/>
                <w:sz w:val="18"/>
              </w:rPr>
              <w:t>Containerized comms application integration test (OCI), RF functional test, interoperability test with representative ground nodes</w:t>
            </w:r>
          </w:p>
        </w:tc>
        <w:tc>
          <w:tcPr>
            <w:tcW w:type="dxa" w:w="720"/>
          </w:tcPr>
          <w:p>
            <w:r>
              <w:rPr>
                <w:b w:val="0"/>
                <w:sz w:val="18"/>
              </w:rPr>
              <w:t>Communications processor has low TRL; GPR is required to enable government-led sustainment and re-hosting if vendor fails to mature in schedule.</w:t>
            </w:r>
          </w:p>
        </w:tc>
      </w:tr>
      <w:tr>
        <w:tc>
          <w:tcPr>
            <w:tcW w:type="dxa" w:w="1296"/>
          </w:tcPr>
          <w:p>
            <w:r>
              <w:rPr>
                <w:b w:val="0"/>
                <w:sz w:val="18"/>
              </w:rPr>
              <w:t>ISR sensor payload</w:t>
            </w:r>
          </w:p>
        </w:tc>
        <w:tc>
          <w:tcPr>
            <w:tcW w:type="dxa" w:w="1584"/>
          </w:tcPr>
          <w:p>
            <w:r>
              <w:rPr>
                <w:b w:val="0"/>
                <w:sz w:val="18"/>
              </w:rPr>
              <w:t>MOD Payload mounting/data ICD, OCI for on-board processing containers, application of program image/metadata schema</w:t>
            </w:r>
          </w:p>
        </w:tc>
        <w:tc>
          <w:tcPr>
            <w:tcW w:type="dxa" w:w="1008"/>
          </w:tcPr>
          <w:p>
            <w:pPr>
              <w:jc w:val="center"/>
            </w:pPr>
            <w:r>
              <w:rPr>
                <w:b w:val="0"/>
                <w:sz w:val="18"/>
              </w:rPr>
              <w:t>HW/SW</w:t>
            </w:r>
          </w:p>
        </w:tc>
        <w:tc>
          <w:tcPr>
            <w:tcW w:type="dxa" w:w="1440"/>
          </w:tcPr>
          <w:p>
            <w:r>
              <w:rPr>
                <w:b w:val="0"/>
                <w:sz w:val="18"/>
              </w:rPr>
              <w:t>Government Purpose Rights</w:t>
            </w:r>
          </w:p>
        </w:tc>
        <w:tc>
          <w:tcPr>
            <w:tcW w:type="dxa" w:w="1152"/>
          </w:tcPr>
          <w:p>
            <w:pPr>
              <w:jc w:val="center"/>
            </w:pPr>
            <w:r>
              <w:rPr>
                <w:b w:val="0"/>
                <w:sz w:val="18"/>
              </w:rPr>
              <w:t>Partial</w:t>
            </w:r>
          </w:p>
        </w:tc>
        <w:tc>
          <w:tcPr>
            <w:tcW w:type="dxa" w:w="1440"/>
          </w:tcPr>
          <w:p>
            <w:r>
              <w:rPr>
                <w:b w:val="0"/>
                <w:sz w:val="18"/>
              </w:rPr>
              <w:t>Sensor mechanical and data ICD conformance test, sensor data stream conformance test to program image metadata schema, field ISR demonstration</w:t>
            </w:r>
          </w:p>
        </w:tc>
        <w:tc>
          <w:tcPr>
            <w:tcW w:type="dxa" w:w="720"/>
          </w:tcPr>
          <w:p>
            <w:r>
              <w:rPr>
                <w:b w:val="0"/>
                <w:sz w:val="18"/>
              </w:rPr>
              <w:t>ISR sensor is low-TRL and obsolescence candidate; requirement to standardize electrical, mechanical, and data metadata interfaces so sensors can be swapped with minimal integration effort.</w:t>
            </w:r>
          </w:p>
        </w:tc>
      </w:tr>
    </w:tbl>
    <w:p>
      <w:r>
        <w:br w:type="page"/>
      </w:r>
    </w:p>
    <w:p>
      <w:pPr>
        <w:pStyle w:val="Heading1"/>
        <w:spacing w:before="0" w:after="160"/>
      </w:pPr>
      <w:r>
        <w:t>6. Interface Registry</w:t>
      </w:r>
    </w:p>
    <w:p>
      <w:r>
        <w:t>The following interfaces have been identified. All Government-owned interfaces will be documented in Interface Control Documents (ICDs) using open, consensus-based standards.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016"/>
            <w:shd w:val="clear" w:color="auto" w:fill="D9E1F2"/>
          </w:tcPr>
          <w:p>
            <w:r>
              <w:rPr>
                <w:b/>
                <w:sz w:val="20"/>
              </w:rPr>
              <w:t>Interface</w:t>
            </w:r>
          </w:p>
        </w:tc>
        <w:tc>
          <w:tcPr>
            <w:tcW w:type="dxa" w:w="1008"/>
            <w:shd w:val="clear" w:color="auto" w:fill="D9E1F2"/>
          </w:tcPr>
          <w:p>
            <w:r>
              <w:rPr>
                <w:b/>
                <w:sz w:val="20"/>
              </w:rPr>
              <w:t>Type</w:t>
            </w:r>
          </w:p>
        </w:tc>
        <w:tc>
          <w:tcPr>
            <w:tcW w:type="dxa" w:w="2160"/>
            <w:shd w:val="clear" w:color="auto" w:fill="D9E1F2"/>
          </w:tcPr>
          <w:p>
            <w:r>
              <w:rPr>
                <w:b/>
                <w:sz w:val="20"/>
              </w:rPr>
              <w:t>Standard</w:t>
            </w:r>
          </w:p>
        </w:tc>
        <w:tc>
          <w:tcPr>
            <w:tcW w:type="dxa" w:w="1440"/>
            <w:shd w:val="clear" w:color="auto" w:fill="D9E1F2"/>
          </w:tcPr>
          <w:p>
            <w:r>
              <w:rPr>
                <w:b/>
                <w:sz w:val="20"/>
              </w:rPr>
              <w:t>Owner</w:t>
            </w:r>
          </w:p>
        </w:tc>
        <w:tc>
          <w:tcPr>
            <w:tcW w:type="dxa" w:w="1152"/>
            <w:shd w:val="clear" w:color="auto" w:fill="D9E1F2"/>
          </w:tcPr>
          <w:p>
            <w:r>
              <w:rPr>
                <w:b/>
                <w:sz w:val="20"/>
              </w:rPr>
              <w:t>Status</w:t>
            </w:r>
          </w:p>
        </w:tc>
      </w:tr>
      <w:tr>
        <w:tc>
          <w:tcPr>
            <w:tcW w:type="dxa" w:w="2016"/>
          </w:tcPr>
          <w:p>
            <w:r>
              <w:rPr>
                <w:b w:val="0"/>
                <w:sz w:val="20"/>
              </w:rPr>
              <w:t>Payload Mechanical Mount (MOD Payload datum)</w:t>
            </w:r>
          </w:p>
        </w:tc>
        <w:tc>
          <w:tcPr>
            <w:tcW w:type="dxa" w:w="1008"/>
          </w:tcPr>
          <w:p>
            <w:pPr>
              <w:jc w:val="center"/>
            </w:pPr>
            <w:r>
              <w:rPr>
                <w:b w:val="0"/>
                <w:sz w:val="20"/>
              </w:rPr>
              <w:t>HW</w:t>
            </w:r>
          </w:p>
        </w:tc>
        <w:tc>
          <w:tcPr>
            <w:tcW w:type="dxa" w:w="2160"/>
          </w:tcPr>
          <w:p>
            <w:r>
              <w:rPr>
                <w:b w:val="0"/>
                <w:sz w:val="20"/>
              </w:rPr>
              <w:t>MOD Payload (program adaptation)</w:t>
            </w:r>
          </w:p>
        </w:tc>
        <w:tc>
          <w:tcPr>
            <w:tcW w:type="dxa" w:w="1440"/>
          </w:tcPr>
          <w:p>
            <w:pPr>
              <w:jc w:val="center"/>
            </w:pPr>
            <w:r>
              <w:rPr>
                <w:b w:val="0"/>
                <w:sz w:val="20"/>
              </w:rPr>
              <w:t>Government</w:t>
            </w:r>
          </w:p>
        </w:tc>
        <w:tc>
          <w:tcPr>
            <w:tcW w:type="dxa" w:w="1152"/>
          </w:tcPr>
          <w:p>
            <w:pPr>
              <w:jc w:val="center"/>
            </w:pPr>
            <w:r>
              <w:rPr>
                <w:b w:val="0"/>
                <w:sz w:val="20"/>
              </w:rPr>
              <w:t>Defined</w:t>
            </w:r>
          </w:p>
        </w:tc>
      </w:tr>
      <w:tr>
        <w:tc>
          <w:tcPr>
            <w:tcW w:type="dxa" w:w="2016"/>
          </w:tcPr>
          <w:p>
            <w:r>
              <w:rPr>
                <w:b w:val="0"/>
                <w:sz w:val="20"/>
              </w:rPr>
              <w:t>Power Bus and Battery Connector</w:t>
            </w:r>
          </w:p>
        </w:tc>
        <w:tc>
          <w:tcPr>
            <w:tcW w:type="dxa" w:w="1008"/>
          </w:tcPr>
          <w:p>
            <w:pPr>
              <w:jc w:val="center"/>
            </w:pPr>
            <w:r>
              <w:rPr>
                <w:b w:val="0"/>
                <w:sz w:val="20"/>
              </w:rPr>
              <w:t>HW</w:t>
            </w:r>
          </w:p>
        </w:tc>
        <w:tc>
          <w:tcPr>
            <w:tcW w:type="dxa" w:w="2160"/>
          </w:tcPr>
          <w:p>
            <w:r>
              <w:rPr>
                <w:b w:val="0"/>
                <w:sz w:val="20"/>
              </w:rPr>
              <w:t>Program Power ICD (voltage, pinout, BMS telemetry schema)</w:t>
            </w:r>
          </w:p>
        </w:tc>
        <w:tc>
          <w:tcPr>
            <w:tcW w:type="dxa" w:w="1440"/>
          </w:tcPr>
          <w:p>
            <w:pPr>
              <w:jc w:val="center"/>
            </w:pPr>
            <w:r>
              <w:rPr>
                <w:b w:val="0"/>
                <w:sz w:val="20"/>
              </w:rPr>
              <w:t>Government</w:t>
            </w:r>
          </w:p>
        </w:tc>
        <w:tc>
          <w:tcPr>
            <w:tcW w:type="dxa" w:w="1152"/>
          </w:tcPr>
          <w:p>
            <w:pPr>
              <w:jc w:val="center"/>
            </w:pPr>
            <w:r>
              <w:rPr>
                <w:b w:val="0"/>
                <w:sz w:val="20"/>
              </w:rPr>
              <w:t>Defined</w:t>
            </w:r>
          </w:p>
        </w:tc>
      </w:tr>
      <w:tr>
        <w:tc>
          <w:tcPr>
            <w:tcW w:type="dxa" w:w="2016"/>
          </w:tcPr>
          <w:p>
            <w:r>
              <w:rPr>
                <w:b w:val="0"/>
                <w:sz w:val="20"/>
              </w:rPr>
              <w:t>Avionics Data Bus / Command &amp; Telemetry</w:t>
            </w:r>
          </w:p>
        </w:tc>
        <w:tc>
          <w:tcPr>
            <w:tcW w:type="dxa" w:w="1008"/>
          </w:tcPr>
          <w:p>
            <w:pPr>
              <w:jc w:val="center"/>
            </w:pPr>
            <w:r>
              <w:rPr>
                <w:b w:val="0"/>
                <w:sz w:val="20"/>
              </w:rPr>
              <w:t>Data</w:t>
            </w:r>
          </w:p>
        </w:tc>
        <w:tc>
          <w:tcPr>
            <w:tcW w:type="dxa" w:w="2160"/>
          </w:tcPr>
          <w:p>
            <w:r>
              <w:rPr>
                <w:b w:val="0"/>
                <w:sz w:val="20"/>
              </w:rPr>
              <w:t>FACE (message and transport bindings), program-specific wireline/data ICD</w:t>
            </w:r>
          </w:p>
        </w:tc>
        <w:tc>
          <w:tcPr>
            <w:tcW w:type="dxa" w:w="1440"/>
          </w:tcPr>
          <w:p>
            <w:pPr>
              <w:jc w:val="center"/>
            </w:pPr>
            <w:r>
              <w:rPr>
                <w:b w:val="0"/>
                <w:sz w:val="20"/>
              </w:rPr>
              <w:t>Government</w:t>
            </w:r>
          </w:p>
        </w:tc>
        <w:tc>
          <w:tcPr>
            <w:tcW w:type="dxa" w:w="1152"/>
          </w:tcPr>
          <w:p>
            <w:pPr>
              <w:jc w:val="center"/>
            </w:pPr>
            <w:r>
              <w:rPr>
                <w:b w:val="0"/>
                <w:sz w:val="20"/>
              </w:rPr>
              <w:t>Partial</w:t>
            </w:r>
          </w:p>
        </w:tc>
      </w:tr>
      <w:tr>
        <w:tc>
          <w:tcPr>
            <w:tcW w:type="dxa" w:w="2016"/>
          </w:tcPr>
          <w:p>
            <w:r>
              <w:rPr>
                <w:b w:val="0"/>
                <w:sz w:val="20"/>
              </w:rPr>
              <w:t>Flight Control to Payload Driver API</w:t>
            </w:r>
          </w:p>
        </w:tc>
        <w:tc>
          <w:tcPr>
            <w:tcW w:type="dxa" w:w="1008"/>
          </w:tcPr>
          <w:p>
            <w:pPr>
              <w:jc w:val="center"/>
            </w:pPr>
            <w:r>
              <w:rPr>
                <w:b w:val="0"/>
                <w:sz w:val="20"/>
              </w:rPr>
              <w:t>Data</w:t>
            </w:r>
          </w:p>
        </w:tc>
        <w:tc>
          <w:tcPr>
            <w:tcW w:type="dxa" w:w="2160"/>
          </w:tcPr>
          <w:p>
            <w:r>
              <w:rPr>
                <w:b w:val="0"/>
                <w:sz w:val="20"/>
              </w:rPr>
              <w:t>OCI container interface + program-defined API spec (C2 and payload-control messages)</w:t>
            </w:r>
          </w:p>
        </w:tc>
        <w:tc>
          <w:tcPr>
            <w:tcW w:type="dxa" w:w="1440"/>
          </w:tcPr>
          <w:p>
            <w:pPr>
              <w:jc w:val="center"/>
            </w:pPr>
            <w:r>
              <w:rPr>
                <w:b w:val="0"/>
                <w:sz w:val="20"/>
              </w:rPr>
              <w:t>Government</w:t>
            </w:r>
          </w:p>
        </w:tc>
        <w:tc>
          <w:tcPr>
            <w:tcW w:type="dxa" w:w="1152"/>
          </w:tcPr>
          <w:p>
            <w:pPr>
              <w:jc w:val="center"/>
            </w:pPr>
            <w:r>
              <w:rPr>
                <w:b w:val="0"/>
                <w:sz w:val="20"/>
              </w:rPr>
              <w:t>Partial</w:t>
            </w:r>
          </w:p>
        </w:tc>
      </w:tr>
      <w:tr>
        <w:tc>
          <w:tcPr>
            <w:tcW w:type="dxa" w:w="2016"/>
          </w:tcPr>
          <w:p>
            <w:r>
              <w:rPr>
                <w:b w:val="0"/>
                <w:sz w:val="20"/>
              </w:rPr>
              <w:t>Communications RF Interface (ant., RF guard)</w:t>
            </w:r>
          </w:p>
        </w:tc>
        <w:tc>
          <w:tcPr>
            <w:tcW w:type="dxa" w:w="1008"/>
          </w:tcPr>
          <w:p>
            <w:pPr>
              <w:jc w:val="center"/>
            </w:pPr>
            <w:r>
              <w:rPr>
                <w:b w:val="0"/>
                <w:sz w:val="20"/>
              </w:rPr>
              <w:t>HW</w:t>
            </w:r>
          </w:p>
        </w:tc>
        <w:tc>
          <w:tcPr>
            <w:tcW w:type="dxa" w:w="2160"/>
          </w:tcPr>
          <w:p>
            <w:r>
              <w:rPr>
                <w:b w:val="0"/>
                <w:sz w:val="20"/>
              </w:rPr>
              <w:t>Program RF ICD (spectrum and physical constraints)</w:t>
            </w:r>
          </w:p>
        </w:tc>
        <w:tc>
          <w:tcPr>
            <w:tcW w:type="dxa" w:w="1440"/>
          </w:tcPr>
          <w:p>
            <w:pPr>
              <w:jc w:val="center"/>
            </w:pPr>
            <w:r>
              <w:rPr>
                <w:b w:val="0"/>
                <w:sz w:val="20"/>
              </w:rPr>
              <w:t>TBD</w:t>
            </w:r>
          </w:p>
        </w:tc>
        <w:tc>
          <w:tcPr>
            <w:tcW w:type="dxa" w:w="1152"/>
          </w:tcPr>
          <w:p>
            <w:pPr>
              <w:jc w:val="center"/>
            </w:pPr>
            <w:r>
              <w:rPr>
                <w:b w:val="0"/>
                <w:sz w:val="20"/>
              </w:rPr>
              <w:t>TBD</w:t>
            </w:r>
          </w:p>
        </w:tc>
      </w:tr>
    </w:tbl>
    <w:p>
      <w:r>
        <w:br w:type="page"/>
      </w:r>
    </w:p>
    <w:p>
      <w:pPr>
        <w:pStyle w:val="Heading1"/>
        <w:spacing w:before="0" w:after="160"/>
      </w:pPr>
      <w:r>
        <w:t>7. Standards and Architecture Mapping</w:t>
      </w:r>
    </w:p>
    <w:p>
      <w:r>
        <w:t>The program will adopt the following open, consensus-based standards and reference architectures:</w:t>
      </w:r>
    </w:p>
    <w:p>
      <w:pPr>
        <w:pStyle w:val="ListBullet"/>
      </w:pPr>
      <w:r>
        <w:t>Flight Control Computer → FACE (avionics interfaces) + OCI for mission apps</w:t>
      </w:r>
    </w:p>
    <w:p>
      <w:pPr>
        <w:pStyle w:val="ListBullet"/>
      </w:pPr>
      <w:r>
        <w:t>ISR Sensor Payload → MOD Payload (mechanical/data mount) + OCI for on-board processing</w:t>
      </w:r>
    </w:p>
    <w:p>
      <w:pPr>
        <w:pStyle w:val="ListBullet"/>
      </w:pPr>
      <w:r>
        <w:t>Communications Payload → OCI for containerized comms stack; program RF ICD for spectrum/interface</w:t>
      </w:r>
    </w:p>
    <w:p>
      <w:pPr>
        <w:pStyle w:val="ListBullet"/>
      </w:pPr>
      <w:r>
        <w:t>Payload Mechanical Mount → MOD Payload (adopted datum and interface constraints)</w:t>
      </w:r>
    </w:p>
    <w:p>
      <w:pPr>
        <w:pStyle w:val="ListBullet"/>
      </w:pPr>
      <w:r>
        <w:t>Software Containers and Applications → OCI (container runtime, image packaging)</w:t>
      </w:r>
    </w:p>
    <w:p>
      <w:pPr>
        <w:pStyle w:val="ListBullet"/>
      </w:pPr>
      <w:r>
        <w:t>Avionics Messaging → FACE (message format and transport where applicable)</w:t>
      </w:r>
    </w:p>
    <w:p>
      <w:r>
        <w:br w:type="page"/>
      </w:r>
    </w:p>
    <w:p>
      <w:pPr>
        <w:pStyle w:val="Heading1"/>
        <w:spacing w:before="0" w:after="160"/>
      </w:pPr>
      <w:r>
        <w:t>8. Technical Data and Data Rights</w:t>
      </w:r>
    </w:p>
    <w:p>
      <w:r>
        <w:t>The program's data rights posture is pragmatic and focused: government ownership of interface artifacts (ICDs for mechanical mounts, power connectors, and data APIs) will be required with Unlimited Rights so future vendors can integrate without encumbrance. This ensures that the program can competitively procure or integrate third-party sensors, comms, and lethal payloads over the platform lifecycle. Interface ICDs and reference implementations (example OCI container images and FACE bindings) will be delivered to the government repository with Unlimited Rights.</w:t>
      </w:r>
    </w:p>
    <w:p>
      <w:r>
        <w:t>For software and module-specific technical data, the program will seek Government Purpose Rights (GPR) for the flight control computer software baseline, core avionics drivers, communications payload driver code, and ISR sensor processing elements that are safety- or mission-critical or likely to require re-hosting. The lethal payload (COTS) is accepted on a Limited Rights basis for vendor proprietary elements; however, the program will require the weapon's external control API and safety-interlock definitions to be delivered with Unlimited Rights so the government can verify safe integration and future replacement. Negotiation strategy: solicitations will include data rights clauses tailored to module type (Unlimited Rights for ICDs and interface artifacts; GPR for core mission and safety-critical software; Limited Rights acceptable for COTS lethal effects) and will prioritize early delivery of ICDs and software reference containers as contract deliverables.</w:t>
      </w:r>
    </w:p>
    <w:p>
      <w:r>
        <w:br w:type="page"/>
      </w:r>
    </w:p>
    <w:p>
      <w:pPr>
        <w:pStyle w:val="Heading1"/>
        <w:spacing w:before="0" w:after="160"/>
      </w:pPr>
      <w:r>
        <w:t>9. Conformance Verification Plan</w:t>
      </w:r>
    </w:p>
    <w:p>
      <w:r>
        <w:t>MOSA conformance will be verified at each major program milestone through the following activities:</w:t>
      </w:r>
    </w:p>
    <w:tbl>
      <w:tblPr>
        <w:tblStyle w:val="TableGrid"/>
        <w:tblW w:type="auto" w:w="0"/>
        <w:tblLook w:firstColumn="1" w:firstRow="1" w:lastColumn="0" w:lastRow="0" w:noHBand="0" w:noVBand="1" w:val="04A0"/>
      </w:tblPr>
      <w:tblGrid>
        <w:gridCol w:w="2160"/>
        <w:gridCol w:w="2160"/>
        <w:gridCol w:w="2160"/>
        <w:gridCol w:w="2160"/>
      </w:tblGrid>
      <w:tr>
        <w:tc>
          <w:tcPr>
            <w:tcW w:type="dxa" w:w="1296"/>
            <w:shd w:val="clear" w:color="auto" w:fill="D9E1F2"/>
          </w:tcPr>
          <w:p>
            <w:r>
              <w:rPr>
                <w:b/>
                <w:sz w:val="20"/>
              </w:rPr>
              <w:t>Milestone</w:t>
            </w:r>
          </w:p>
        </w:tc>
        <w:tc>
          <w:tcPr>
            <w:tcW w:type="dxa" w:w="2592"/>
            <w:shd w:val="clear" w:color="auto" w:fill="D9E1F2"/>
          </w:tcPr>
          <w:p>
            <w:r>
              <w:rPr>
                <w:b/>
                <w:sz w:val="20"/>
              </w:rPr>
              <w:t>Evidence Required</w:t>
            </w:r>
          </w:p>
        </w:tc>
        <w:tc>
          <w:tcPr>
            <w:tcW w:type="dxa" w:w="1584"/>
            <w:shd w:val="clear" w:color="auto" w:fill="D9E1F2"/>
          </w:tcPr>
          <w:p>
            <w:r>
              <w:rPr>
                <w:b/>
                <w:sz w:val="20"/>
              </w:rPr>
              <w:t>Responsible Party</w:t>
            </w:r>
          </w:p>
        </w:tc>
        <w:tc>
          <w:tcPr>
            <w:tcW w:type="dxa" w:w="2448"/>
            <w:shd w:val="clear" w:color="auto" w:fill="D9E1F2"/>
          </w:tcPr>
          <w:p>
            <w:r>
              <w:rPr>
                <w:b/>
                <w:sz w:val="20"/>
              </w:rPr>
              <w:t>Completion Criteria</w:t>
            </w:r>
          </w:p>
        </w:tc>
      </w:tr>
      <w:tr>
        <w:tc>
          <w:tcPr>
            <w:tcW w:type="dxa" w:w="1296"/>
          </w:tcPr>
          <w:p>
            <w:pPr>
              <w:jc w:val="center"/>
            </w:pPr>
            <w:r>
              <w:rPr>
                <w:b w:val="0"/>
                <w:sz w:val="20"/>
              </w:rPr>
              <w:t>Preliminary Design Review (PDR)</w:t>
            </w:r>
          </w:p>
        </w:tc>
        <w:tc>
          <w:tcPr>
            <w:tcW w:type="dxa" w:w="2592"/>
          </w:tcPr>
          <w:p>
            <w:r>
              <w:rPr>
                <w:b w:val="0"/>
                <w:sz w:val="20"/>
              </w:rPr>
              <w:t>Draft ICDs for mechanical, power, and data interfaces; architecture trace showing OCI and FACE adoption for flight control and payloads; demonstration prototype showing physical fit and basic data exchange between flight control and one payload</w:t>
            </w:r>
          </w:p>
        </w:tc>
        <w:tc>
          <w:tcPr>
            <w:tcW w:type="dxa" w:w="1584"/>
          </w:tcPr>
          <w:p>
            <w:r>
              <w:rPr>
                <w:b w:val="0"/>
                <w:sz w:val="20"/>
              </w:rPr>
              <w:t>Prime contractor with government engineering oversight</w:t>
            </w:r>
          </w:p>
        </w:tc>
        <w:tc>
          <w:tcPr>
            <w:tcW w:type="dxa" w:w="2448"/>
          </w:tcPr>
          <w:p>
            <w:r>
              <w:rPr>
                <w:b w:val="0"/>
                <w:sz w:val="20"/>
              </w:rPr>
              <w:t>ICDs accepted in draft form by government; prototype demonstrates mechanical fit and bi-directional telemetry exchange; schedule for completing conformance artifacts to CDR agreed and baselined.</w:t>
            </w:r>
          </w:p>
        </w:tc>
      </w:tr>
      <w:tr>
        <w:tc>
          <w:tcPr>
            <w:tcW w:type="dxa" w:w="1296"/>
          </w:tcPr>
          <w:p>
            <w:pPr>
              <w:jc w:val="center"/>
            </w:pPr>
            <w:r>
              <w:rPr>
                <w:b w:val="0"/>
                <w:sz w:val="20"/>
              </w:rPr>
              <w:t>Critical Design Review (CDR)</w:t>
            </w:r>
          </w:p>
        </w:tc>
        <w:tc>
          <w:tcPr>
            <w:tcW w:type="dxa" w:w="2592"/>
          </w:tcPr>
          <w:p>
            <w:r>
              <w:rPr>
                <w:b w:val="0"/>
                <w:sz w:val="20"/>
              </w:rPr>
              <w:t>Finalized ICDs (mechanical, power, data) with test cases, FACE conformance checklist completed for flight control interfaces, OCI container images submitted to government repository, lab integration test report showing plug-and-play swapping of a sensor and a comms payload</w:t>
            </w:r>
          </w:p>
        </w:tc>
        <w:tc>
          <w:tcPr>
            <w:tcW w:type="dxa" w:w="1584"/>
          </w:tcPr>
          <w:p>
            <w:r>
              <w:rPr>
                <w:b w:val="0"/>
                <w:sz w:val="20"/>
              </w:rPr>
              <w:t>Prime contractor; payload vendors provide module-specific verification; government performs witness testing</w:t>
            </w:r>
          </w:p>
        </w:tc>
        <w:tc>
          <w:tcPr>
            <w:tcW w:type="dxa" w:w="2448"/>
          </w:tcPr>
          <w:p>
            <w:r>
              <w:rPr>
                <w:b w:val="0"/>
                <w:sz w:val="20"/>
              </w:rPr>
              <w:t>All critical ICDs status=Defined; FACE/OCI conformance evidence accepted; at least one sensor and the communications payload successfully integrated and exercised per test plan.</w:t>
            </w:r>
          </w:p>
        </w:tc>
      </w:tr>
      <w:tr>
        <w:tc>
          <w:tcPr>
            <w:tcW w:type="dxa" w:w="1296"/>
          </w:tcPr>
          <w:p>
            <w:pPr>
              <w:jc w:val="center"/>
            </w:pPr>
            <w:r>
              <w:rPr>
                <w:b w:val="0"/>
                <w:sz w:val="20"/>
              </w:rPr>
              <w:t>Initial Operational Test &amp; Evaluation (IOT&amp;E)</w:t>
            </w:r>
          </w:p>
        </w:tc>
        <w:tc>
          <w:tcPr>
            <w:tcW w:type="dxa" w:w="2592"/>
          </w:tcPr>
          <w:p>
            <w:r>
              <w:rPr>
                <w:b w:val="0"/>
                <w:sz w:val="20"/>
              </w:rPr>
              <w:t>End-to-end operational demonstrations including ISR mission, communications-node mission, and weapon-release safety demonstration (simulated or live per safety constraints); conformance test suite results for modular swap operations (timed swap, functional verification), and instructions/maintenance procedures for module replacement</w:t>
            </w:r>
          </w:p>
        </w:tc>
        <w:tc>
          <w:tcPr>
            <w:tcW w:type="dxa" w:w="1584"/>
          </w:tcPr>
          <w:p>
            <w:r>
              <w:rPr>
                <w:b w:val="0"/>
                <w:sz w:val="20"/>
              </w:rPr>
              <w:t>Government-led test team with contractor support; operational user observers</w:t>
            </w:r>
          </w:p>
        </w:tc>
        <w:tc>
          <w:tcPr>
            <w:tcW w:type="dxa" w:w="2448"/>
          </w:tcPr>
          <w:p>
            <w:r>
              <w:rPr>
                <w:b w:val="0"/>
                <w:sz w:val="20"/>
              </w:rPr>
              <w:t>Successful demonstration of required mission threads with at least one vendor-supplied sensor and one communications payload; documented procedures and repository artifacts sufficient to support production decision; safety approvals for lethal-payload mode verified or properly constrained for initial production if permitted.</w:t>
            </w:r>
          </w:p>
        </w:tc>
      </w:tr>
      <w:tr>
        <w:tc>
          <w:tcPr>
            <w:tcW w:type="dxa" w:w="1296"/>
          </w:tcPr>
          <w:p>
            <w:pPr>
              <w:jc w:val="center"/>
            </w:pPr>
            <w:r>
              <w:rPr>
                <w:b w:val="0"/>
                <w:sz w:val="20"/>
              </w:rPr>
              <w:t>Production Readiness / Low-Rate Initial Production Decision</w:t>
            </w:r>
          </w:p>
        </w:tc>
        <w:tc>
          <w:tcPr>
            <w:tcW w:type="dxa" w:w="2592"/>
          </w:tcPr>
          <w:p>
            <w:r>
              <w:rPr>
                <w:b w:val="0"/>
                <w:sz w:val="20"/>
              </w:rPr>
              <w:t>Production-level ICDs and configuration management plan, verified supplier list for modular components, first-article acceptance test reports including MOSA conformance metrics</w:t>
            </w:r>
          </w:p>
        </w:tc>
        <w:tc>
          <w:tcPr>
            <w:tcW w:type="dxa" w:w="1584"/>
          </w:tcPr>
          <w:p>
            <w:r>
              <w:rPr>
                <w:b w:val="0"/>
                <w:sz w:val="20"/>
              </w:rPr>
              <w:t>Program office with contracting and quality assurance support</w:t>
            </w:r>
          </w:p>
        </w:tc>
        <w:tc>
          <w:tcPr>
            <w:tcW w:type="dxa" w:w="2448"/>
          </w:tcPr>
          <w:p>
            <w:r>
              <w:rPr>
                <w:b w:val="0"/>
                <w:sz w:val="20"/>
              </w:rPr>
              <w:t>Production release of device with verified MOSA conformance artifacts and supplier commitments for modular components.</w:t>
            </w:r>
          </w:p>
        </w:tc>
      </w:tr>
    </w:tbl>
    <w:p>
      <w:r>
        <w:br w:type="page"/>
      </w:r>
    </w:p>
    <w:p>
      <w:pPr>
        <w:pStyle w:val="Heading1"/>
        <w:spacing w:before="0" w:after="160"/>
      </w:pPr>
      <w:r>
        <w:t>10. MOSA Risk Register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shd w:val="clear" w:color="auto" w:fill="D9E1F2"/>
          </w:tcPr>
          <w:p>
            <w:r>
              <w:rPr>
                <w:b/>
                <w:sz w:val="20"/>
              </w:rPr>
              <w:t>Risk Area</w:t>
            </w:r>
          </w:p>
        </w:tc>
        <w:tc>
          <w:tcPr>
            <w:tcW w:type="dxa" w:w="2448"/>
            <w:shd w:val="clear" w:color="auto" w:fill="D9E1F2"/>
          </w:tcPr>
          <w:p>
            <w:r>
              <w:rPr>
                <w:b/>
                <w:sz w:val="20"/>
              </w:rPr>
              <w:t>Description</w:t>
            </w:r>
          </w:p>
        </w:tc>
        <w:tc>
          <w:tcPr>
            <w:tcW w:type="dxa" w:w="1152"/>
            <w:shd w:val="clear" w:color="auto" w:fill="D9E1F2"/>
          </w:tcPr>
          <w:p>
            <w:r>
              <w:rPr>
                <w:b/>
                <w:sz w:val="20"/>
              </w:rPr>
              <w:t>Likelihood</w:t>
            </w:r>
          </w:p>
        </w:tc>
        <w:tc>
          <w:tcPr>
            <w:tcW w:type="dxa" w:w="1008"/>
            <w:shd w:val="clear" w:color="auto" w:fill="D9E1F2"/>
          </w:tcPr>
          <w:p>
            <w:r>
              <w:rPr>
                <w:b/>
                <w:sz w:val="20"/>
              </w:rPr>
              <w:t>Impact</w:t>
            </w:r>
          </w:p>
        </w:tc>
        <w:tc>
          <w:tcPr>
            <w:tcW w:type="dxa" w:w="2592"/>
            <w:shd w:val="clear" w:color="auto" w:fill="D9E1F2"/>
          </w:tcPr>
          <w:p>
            <w:r>
              <w:rPr>
                <w:b/>
                <w:sz w:val="20"/>
              </w:rPr>
              <w:t>Mitigation</w:t>
            </w:r>
          </w:p>
        </w:tc>
      </w:tr>
      <w:tr>
        <w:tc>
          <w:tcPr>
            <w:tcW w:type="dxa" w:w="1440"/>
          </w:tcPr>
          <w:p>
            <w:r>
              <w:rPr>
                <w:b w:val="0"/>
                <w:sz w:val="20"/>
              </w:rPr>
              <w:t>ISR sensor low TRL / obsolescence</w:t>
            </w:r>
          </w:p>
        </w:tc>
        <w:tc>
          <w:tcPr>
            <w:tcW w:type="dxa" w:w="2448"/>
          </w:tcPr>
          <w:p>
            <w:r>
              <w:rPr>
                <w:b w:val="0"/>
                <w:sz w:val="20"/>
              </w:rPr>
              <w:t>Primary ISR sensor processor is low TRL and identified as an obsolescence candidate; may not be integration-ready within program schedule.</w:t>
            </w:r>
          </w:p>
        </w:tc>
        <w:tc>
          <w:tcPr>
            <w:tcW w:type="dxa" w:w="1152"/>
          </w:tcPr>
          <w:p>
            <w:pPr>
              <w:jc w:val="center"/>
            </w:pPr>
            <w:r>
              <w:rPr>
                <w:b w:val="0"/>
                <w:sz w:val="20"/>
              </w:rPr>
              <w:t>High</w:t>
            </w:r>
          </w:p>
        </w:tc>
        <w:tc>
          <w:tcPr>
            <w:tcW w:type="dxa" w:w="1008"/>
          </w:tcPr>
          <w:p>
            <w:pPr>
              <w:jc w:val="center"/>
            </w:pPr>
            <w:r>
              <w:rPr>
                <w:b w:val="0"/>
                <w:sz w:val="20"/>
              </w:rPr>
              <w:t>High</w:t>
            </w:r>
          </w:p>
        </w:tc>
        <w:tc>
          <w:tcPr>
            <w:tcW w:type="dxa" w:w="2592"/>
          </w:tcPr>
          <w:p>
            <w:r>
              <w:rPr>
                <w:b w:val="0"/>
                <w:sz w:val="20"/>
              </w:rPr>
              <w:t>Prioritize interface ICD definition and supply a reference sensor adapter (government-funded reference implementation) to demonstrate integration; invest early in vendor maturation or acquire interim COTS sensor with known interfaces to meet production timeline.</w:t>
            </w:r>
          </w:p>
        </w:tc>
      </w:tr>
      <w:tr>
        <w:tc>
          <w:tcPr>
            <w:tcW w:type="dxa" w:w="1440"/>
          </w:tcPr>
          <w:p>
            <w:r>
              <w:rPr>
                <w:b w:val="0"/>
                <w:sz w:val="20"/>
              </w:rPr>
              <w:t>Communications processor low TRL</w:t>
            </w:r>
          </w:p>
        </w:tc>
        <w:tc>
          <w:tcPr>
            <w:tcW w:type="dxa" w:w="2448"/>
          </w:tcPr>
          <w:p>
            <w:r>
              <w:rPr>
                <w:b w:val="0"/>
                <w:sz w:val="20"/>
              </w:rPr>
              <w:t>Communications payload processor maturity is low, risking functional shortfalls for contested comms-node mission.</w:t>
            </w:r>
          </w:p>
        </w:tc>
        <w:tc>
          <w:tcPr>
            <w:tcW w:type="dxa" w:w="1152"/>
          </w:tcPr>
          <w:p>
            <w:pPr>
              <w:jc w:val="center"/>
            </w:pPr>
            <w:r>
              <w:rPr>
                <w:b w:val="0"/>
                <w:sz w:val="20"/>
              </w:rPr>
              <w:t>Medium</w:t>
            </w:r>
          </w:p>
        </w:tc>
        <w:tc>
          <w:tcPr>
            <w:tcW w:type="dxa" w:w="1008"/>
          </w:tcPr>
          <w:p>
            <w:pPr>
              <w:jc w:val="center"/>
            </w:pPr>
            <w:r>
              <w:rPr>
                <w:b w:val="0"/>
                <w:sz w:val="20"/>
              </w:rPr>
              <w:t>High</w:t>
            </w:r>
          </w:p>
        </w:tc>
        <w:tc>
          <w:tcPr>
            <w:tcW w:type="dxa" w:w="2592"/>
          </w:tcPr>
          <w:p>
            <w:r>
              <w:rPr>
                <w:b w:val="0"/>
                <w:sz w:val="20"/>
              </w:rPr>
              <w:t>Require incremental maturity checkpoints in prototype deliveries and mandate OCI containerization to allow swapping in a different comms stack if original vendor fails to mature; keep procurement pathway open for third-party comms modules.</w:t>
            </w:r>
          </w:p>
        </w:tc>
      </w:tr>
      <w:tr>
        <w:tc>
          <w:tcPr>
            <w:tcW w:type="dxa" w:w="1440"/>
          </w:tcPr>
          <w:p>
            <w:r>
              <w:rPr>
                <w:b w:val="0"/>
                <w:sz w:val="20"/>
              </w:rPr>
              <w:t>Data rights not secured for key software</w:t>
            </w:r>
          </w:p>
        </w:tc>
        <w:tc>
          <w:tcPr>
            <w:tcW w:type="dxa" w:w="2448"/>
          </w:tcPr>
          <w:p>
            <w:r>
              <w:rPr>
                <w:b w:val="0"/>
                <w:sz w:val="20"/>
              </w:rPr>
              <w:t>Failure to secure GPR or reference implementations for flight control and payload drivers could prevent government re-hosting and sustainment, undermining MOSA objectives.</w:t>
            </w:r>
          </w:p>
        </w:tc>
        <w:tc>
          <w:tcPr>
            <w:tcW w:type="dxa" w:w="1152"/>
          </w:tcPr>
          <w:p>
            <w:pPr>
              <w:jc w:val="center"/>
            </w:pPr>
            <w:r>
              <w:rPr>
                <w:b w:val="0"/>
                <w:sz w:val="20"/>
              </w:rPr>
              <w:t>Medium</w:t>
            </w:r>
          </w:p>
        </w:tc>
        <w:tc>
          <w:tcPr>
            <w:tcW w:type="dxa" w:w="1008"/>
          </w:tcPr>
          <w:p>
            <w:pPr>
              <w:jc w:val="center"/>
            </w:pPr>
            <w:r>
              <w:rPr>
                <w:b w:val="0"/>
                <w:sz w:val="20"/>
              </w:rPr>
              <w:t>High</w:t>
            </w:r>
          </w:p>
        </w:tc>
        <w:tc>
          <w:tcPr>
            <w:tcW w:type="dxa" w:w="2592"/>
          </w:tcPr>
          <w:p>
            <w:r>
              <w:rPr>
                <w:b w:val="0"/>
                <w:sz w:val="20"/>
              </w:rPr>
              <w:t>Include explicit data rights clauses in solicitations, require delivery of reference OCI images and ICDs with Unlimited Rights for interfaces and GPR for core software; prioritize negotiation for GPR during award process and accept Limited Rights only where necessary with compensating controls.</w:t>
            </w:r>
          </w:p>
        </w:tc>
      </w:tr>
      <w:tr>
        <w:tc>
          <w:tcPr>
            <w:tcW w:type="dxa" w:w="1440"/>
          </w:tcPr>
          <w:p>
            <w:r>
              <w:rPr>
                <w:b w:val="0"/>
                <w:sz w:val="20"/>
              </w:rPr>
              <w:t>Incomplete interface definition</w:t>
            </w:r>
          </w:p>
        </w:tc>
        <w:tc>
          <w:tcPr>
            <w:tcW w:type="dxa" w:w="2448"/>
          </w:tcPr>
          <w:p>
            <w:r>
              <w:rPr>
                <w:b w:val="0"/>
                <w:sz w:val="20"/>
              </w:rPr>
              <w:t>If mechanical, electrical, or data ICDs are not fully defined early, third-party integrations will require bespoke work, negating MOSA benefits.</w:t>
            </w:r>
          </w:p>
        </w:tc>
        <w:tc>
          <w:tcPr>
            <w:tcW w:type="dxa" w:w="1152"/>
          </w:tcPr>
          <w:p>
            <w:pPr>
              <w:jc w:val="center"/>
            </w:pPr>
            <w:r>
              <w:rPr>
                <w:b w:val="0"/>
                <w:sz w:val="20"/>
              </w:rPr>
              <w:t>High</w:t>
            </w:r>
          </w:p>
        </w:tc>
        <w:tc>
          <w:tcPr>
            <w:tcW w:type="dxa" w:w="1008"/>
          </w:tcPr>
          <w:p>
            <w:pPr>
              <w:jc w:val="center"/>
            </w:pPr>
            <w:r>
              <w:rPr>
                <w:b w:val="0"/>
                <w:sz w:val="20"/>
              </w:rPr>
              <w:t>High</w:t>
            </w:r>
          </w:p>
        </w:tc>
        <w:tc>
          <w:tcPr>
            <w:tcW w:type="dxa" w:w="2592"/>
          </w:tcPr>
          <w:p>
            <w:r>
              <w:rPr>
                <w:b w:val="0"/>
                <w:sz w:val="20"/>
              </w:rPr>
              <w:t>Lock and deliver baseline ICDs by PDR and finalize by CDR; fund a small government or prime-team engineering spike to produce reference ICD test harnesses and one proven integration to demonstrate the plug-and-play claim.</w:t>
            </w:r>
          </w:p>
        </w:tc>
      </w:tr>
      <w:tr>
        <w:tc>
          <w:tcPr>
            <w:tcW w:type="dxa" w:w="1440"/>
          </w:tcPr>
          <w:p>
            <w:r>
              <w:rPr>
                <w:b w:val="0"/>
                <w:sz w:val="20"/>
              </w:rPr>
              <w:t>Compressed schedule limits testing</w:t>
            </w:r>
          </w:p>
        </w:tc>
        <w:tc>
          <w:tcPr>
            <w:tcW w:type="dxa" w:w="2448"/>
          </w:tcPr>
          <w:p>
            <w:r>
              <w:rPr>
                <w:b w:val="0"/>
                <w:sz w:val="20"/>
              </w:rPr>
              <w:t>Very rapid path (&lt;18 months) risks insufficient verification and safety testing, particularly for lethal-payload modes.</w:t>
            </w:r>
          </w:p>
        </w:tc>
        <w:tc>
          <w:tcPr>
            <w:tcW w:type="dxa" w:w="1152"/>
          </w:tcPr>
          <w:p>
            <w:pPr>
              <w:jc w:val="center"/>
            </w:pPr>
            <w:r>
              <w:rPr>
                <w:b w:val="0"/>
                <w:sz w:val="20"/>
              </w:rPr>
              <w:t>High</w:t>
            </w:r>
          </w:p>
        </w:tc>
        <w:tc>
          <w:tcPr>
            <w:tcW w:type="dxa" w:w="1008"/>
          </w:tcPr>
          <w:p>
            <w:pPr>
              <w:jc w:val="center"/>
            </w:pPr>
            <w:r>
              <w:rPr>
                <w:b w:val="0"/>
                <w:sz w:val="20"/>
              </w:rPr>
              <w:t>High</w:t>
            </w:r>
          </w:p>
        </w:tc>
        <w:tc>
          <w:tcPr>
            <w:tcW w:type="dxa" w:w="2592"/>
          </w:tcPr>
          <w:p>
            <w:r>
              <w:rPr>
                <w:b w:val="0"/>
                <w:sz w:val="20"/>
              </w:rPr>
              <w:t>Tailor test plans to focus on risk-based test events, enforce early conformance checks at PDR/CDR gates, and adopt simulated/sandboxed weapon-mode tests where live tests are infeasible prior to production. Use staggered feature release: enable ISR and comms missions first, lethal-payload integration as constrained release with additional safety sign-offs.</w:t>
            </w:r>
          </w:p>
        </w:tc>
      </w:tr>
    </w:tbl>
    <w:p>
      <w:r>
        <w:br w:type="page"/>
      </w:r>
    </w:p>
    <w:p>
      <w:pPr>
        <w:pStyle w:val="Heading1"/>
        <w:spacing w:before="0" w:after="160"/>
      </w:pPr>
      <w:r>
        <w:t>11. MOSA Self-Assessment Matrix</w:t>
      </w:r>
    </w:p>
    <w:p>
      <w:r>
        <w:t>The following assessment matrix tracks conformance against PEO AVN MIG MOSA criteria: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b/>
                <w:sz w:val="20"/>
              </w:rPr>
              <w:t>Criterion</w:t>
            </w:r>
          </w:p>
        </w:tc>
        <w:tc>
          <w:tcPr>
            <w:tcW w:type="dxa" w:w="1296"/>
            <w:shd w:val="clear" w:color="auto" w:fill="D9E1F2"/>
          </w:tcPr>
          <w:p>
            <w:r>
              <w:rPr>
                <w:b/>
                <w:sz w:val="20"/>
              </w:rPr>
              <w:t>Status</w:t>
            </w:r>
          </w:p>
        </w:tc>
        <w:tc>
          <w:tcPr>
            <w:tcW w:type="dxa" w:w="2304"/>
            <w:shd w:val="clear" w:color="auto" w:fill="D9E1F2"/>
          </w:tcPr>
          <w:p>
            <w:r>
              <w:rPr>
                <w:b/>
                <w:sz w:val="20"/>
              </w:rPr>
              <w:t>Evidence / Artifact</w:t>
            </w:r>
          </w:p>
        </w:tc>
        <w:tc>
          <w:tcPr>
            <w:tcW w:type="dxa" w:w="2160"/>
            <w:shd w:val="clear" w:color="auto" w:fill="D9E1F2"/>
          </w:tcPr>
          <w:p>
            <w:r>
              <w:rPr>
                <w:b/>
                <w:sz w:val="20"/>
              </w:rPr>
              <w:t>Gap Description</w:t>
            </w:r>
          </w:p>
        </w:tc>
      </w:tr>
      <w:tr>
        <w:tc>
          <w:tcPr>
            <w:tcW w:type="dxa" w:w="2160"/>
          </w:tcPr>
          <w:p>
            <w:r>
              <w:rPr>
                <w:b w:val="0"/>
                <w:sz w:val="20"/>
              </w:rPr>
              <w:t>Open Standards Adoption</w:t>
            </w:r>
          </w:p>
        </w:tc>
        <w:tc>
          <w:tcPr>
            <w:tcW w:type="dxa" w:w="1296"/>
          </w:tcPr>
          <w:p>
            <w:pPr>
              <w:jc w:val="center"/>
            </w:pPr>
            <w:r>
              <w:rPr>
                <w:b w:val="0"/>
                <w:sz w:val="20"/>
              </w:rPr>
              <w:t>Partial</w:t>
            </w:r>
          </w:p>
        </w:tc>
        <w:tc>
          <w:tcPr>
            <w:tcW w:type="dxa" w:w="2304"/>
          </w:tcPr>
          <w:p>
            <w:r>
              <w:rPr>
                <w:b w:val="0"/>
                <w:sz w:val="20"/>
              </w:rPr>
              <w:t>Program selects OCI and FACE for software, MOD Payload for payload mounts; OCI/FACE conformance checklists and reference containers are in the contract SOW but full vendor conformance demonstrations are pending.</w:t>
            </w:r>
          </w:p>
        </w:tc>
        <w:tc>
          <w:tcPr>
            <w:tcW w:type="dxa" w:w="2160"/>
          </w:tcPr>
          <w:p>
            <w:r>
              <w:rPr>
                <w:b w:val="0"/>
                <w:sz w:val="20"/>
              </w:rPr>
              <w:t>FACE bindings and OCI runtime verification are not yet complete; some vendors may not fully adopt FACE messaging without additional work.</w:t>
            </w:r>
          </w:p>
        </w:tc>
      </w:tr>
      <w:tr>
        <w:tc>
          <w:tcPr>
            <w:tcW w:type="dxa" w:w="2160"/>
          </w:tcPr>
          <w:p>
            <w:r>
              <w:rPr>
                <w:b w:val="0"/>
                <w:sz w:val="20"/>
              </w:rPr>
              <w:t>Competitive Upgrade Path</w:t>
            </w:r>
          </w:p>
        </w:tc>
        <w:tc>
          <w:tcPr>
            <w:tcW w:type="dxa" w:w="1296"/>
          </w:tcPr>
          <w:p>
            <w:pPr>
              <w:jc w:val="center"/>
            </w:pPr>
            <w:r>
              <w:rPr>
                <w:b w:val="0"/>
                <w:sz w:val="20"/>
              </w:rPr>
              <w:t>Partial</w:t>
            </w:r>
          </w:p>
        </w:tc>
        <w:tc>
          <w:tcPr>
            <w:tcW w:type="dxa" w:w="2304"/>
          </w:tcPr>
          <w:p>
            <w:r>
              <w:rPr>
                <w:b w:val="0"/>
                <w:sz w:val="20"/>
              </w:rPr>
              <w:t>Government-owned ICDs for mechanical, power, and data interfaces are established as program requirements; MOSA repository search performed and policy to require ICDs in solicitations is defined.</w:t>
            </w:r>
          </w:p>
        </w:tc>
        <w:tc>
          <w:tcPr>
            <w:tcW w:type="dxa" w:w="2160"/>
          </w:tcPr>
          <w:p>
            <w:r>
              <w:rPr>
                <w:b w:val="0"/>
                <w:sz w:val="20"/>
              </w:rPr>
              <w:t>ICDs are in draft form and need finalization by CDR; supply chain commitments for third-party sensor and comms vendors have not been fully validated.</w:t>
            </w:r>
          </w:p>
        </w:tc>
      </w:tr>
      <w:tr>
        <w:tc>
          <w:tcPr>
            <w:tcW w:type="dxa" w:w="2160"/>
          </w:tcPr>
          <w:p>
            <w:r>
              <w:rPr>
                <w:b w:val="0"/>
                <w:sz w:val="20"/>
              </w:rPr>
              <w:t>Government Technical Data Rights</w:t>
            </w:r>
          </w:p>
        </w:tc>
        <w:tc>
          <w:tcPr>
            <w:tcW w:type="dxa" w:w="1296"/>
          </w:tcPr>
          <w:p>
            <w:pPr>
              <w:jc w:val="center"/>
            </w:pPr>
            <w:r>
              <w:rPr>
                <w:b w:val="0"/>
                <w:sz w:val="20"/>
              </w:rPr>
              <w:t>Partial</w:t>
            </w:r>
          </w:p>
        </w:tc>
        <w:tc>
          <w:tcPr>
            <w:tcW w:type="dxa" w:w="2304"/>
          </w:tcPr>
          <w:p>
            <w:r>
              <w:rPr>
                <w:b w:val="0"/>
                <w:sz w:val="20"/>
              </w:rPr>
              <w:t>Program baseline requires Unlimited Rights for interface ICDs and GPR for flight control and payload drivers in solicitation language; contractual negotiation strategy is defined in program office notes.</w:t>
            </w:r>
          </w:p>
        </w:tc>
        <w:tc>
          <w:tcPr>
            <w:tcW w:type="dxa" w:w="2160"/>
          </w:tcPr>
          <w:p>
            <w:r>
              <w:rPr>
                <w:b w:val="0"/>
                <w:sz w:val="20"/>
              </w:rPr>
              <w:t>GPR commitments from potential suppliers are not yet obtained; lethal-payload COTS vendors will likely only provide Limited Rights, requiring compensating measures for safety and integration.</w:t>
            </w:r>
          </w:p>
        </w:tc>
      </w:tr>
      <w:tr>
        <w:tc>
          <w:tcPr>
            <w:tcW w:type="dxa" w:w="2160"/>
          </w:tcPr>
          <w:p>
            <w:r>
              <w:rPr>
                <w:b w:val="0"/>
                <w:sz w:val="20"/>
              </w:rPr>
              <w:t>Well-Defined Modular Boundaries</w:t>
            </w:r>
          </w:p>
        </w:tc>
        <w:tc>
          <w:tcPr>
            <w:tcW w:type="dxa" w:w="1296"/>
          </w:tcPr>
          <w:p>
            <w:pPr>
              <w:jc w:val="center"/>
            </w:pPr>
            <w:r>
              <w:rPr>
                <w:b w:val="0"/>
                <w:sz w:val="20"/>
              </w:rPr>
              <w:t>Partial</w:t>
            </w:r>
          </w:p>
        </w:tc>
        <w:tc>
          <w:tcPr>
            <w:tcW w:type="dxa" w:w="2304"/>
          </w:tcPr>
          <w:p>
            <w:r>
              <w:rPr>
                <w:b w:val="0"/>
                <w:sz w:val="20"/>
              </w:rPr>
              <w:t>Module list defined (airframe, propulsion, battery, flight control, lethal payload, communications payload, ISR sensor) and ICD structure template created; initial interface registry entries exist.</w:t>
            </w:r>
          </w:p>
        </w:tc>
        <w:tc>
          <w:tcPr>
            <w:tcW w:type="dxa" w:w="2160"/>
          </w:tcPr>
          <w:p>
            <w:r>
              <w:rPr>
                <w:b w:val="0"/>
                <w:sz w:val="20"/>
              </w:rPr>
              <w:t>Several interface definitions (RF interface, some avionics message definitions) remain TBD and must be completed before CDR to allow vendor integration without bespoke engineering.</w:t>
            </w:r>
          </w:p>
        </w:tc>
      </w:tr>
    </w:tbl>
    <w:p>
      <w:r>
        <w:br w:type="page"/>
      </w:r>
    </w:p>
    <w:p>
      <w:pPr>
        <w:pStyle w:val="Heading1"/>
        <w:spacing w:before="0" w:after="160"/>
      </w:pPr>
      <w:r>
        <w:t>12. MOSA Scenario Mapping</w:t>
      </w:r>
    </w:p>
    <w:p>
      <w:r>
        <w:t>The following scenarios illustrate how MOSA principles apply to specific program situations:</w:t>
      </w: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D9E1F2"/>
          </w:tcPr>
          <w:p>
            <w:r>
              <w:rPr>
                <w:b/>
                <w:sz w:val="20"/>
              </w:rPr>
              <w:t>Scenario</w:t>
            </w:r>
          </w:p>
        </w:tc>
        <w:tc>
          <w:tcPr>
            <w:tcW w:type="dxa" w:w="1728"/>
            <w:shd w:val="clear" w:color="auto" w:fill="D9E1F2"/>
          </w:tcPr>
          <w:p>
            <w:r>
              <w:rPr>
                <w:b/>
                <w:sz w:val="20"/>
              </w:rPr>
              <w:t>Affected Modules</w:t>
            </w:r>
          </w:p>
        </w:tc>
        <w:tc>
          <w:tcPr>
            <w:tcW w:type="dxa" w:w="2592"/>
            <w:shd w:val="clear" w:color="auto" w:fill="D9E1F2"/>
          </w:tcPr>
          <w:p>
            <w:r>
              <w:rPr>
                <w:b/>
                <w:sz w:val="20"/>
              </w:rPr>
              <w:t>Approach</w:t>
            </w:r>
          </w:p>
        </w:tc>
        <w:tc>
          <w:tcPr>
            <w:tcW w:type="dxa" w:w="1872"/>
            <w:shd w:val="clear" w:color="auto" w:fill="D9E1F2"/>
          </w:tcPr>
          <w:p>
            <w:r>
              <w:rPr>
                <w:b/>
                <w:sz w:val="20"/>
              </w:rPr>
              <w:t>Applicable Standards</w:t>
            </w:r>
          </w:p>
        </w:tc>
      </w:tr>
      <w:tr>
        <w:tc>
          <w:tcPr>
            <w:tcW w:type="dxa" w:w="1728"/>
          </w:tcPr>
          <w:p>
            <w:r>
              <w:rPr>
                <w:b w:val="0"/>
                <w:sz w:val="20"/>
              </w:rPr>
              <w:t>Plug-and-play ISR sensor swap</w:t>
            </w:r>
          </w:p>
        </w:tc>
        <w:tc>
          <w:tcPr>
            <w:tcW w:type="dxa" w:w="1728"/>
          </w:tcPr>
          <w:p>
            <w:r>
              <w:rPr>
                <w:b w:val="0"/>
                <w:sz w:val="20"/>
              </w:rPr>
              <w:t>ISR sensor payload, flight control computer, airframe (mount)</w:t>
            </w:r>
          </w:p>
        </w:tc>
        <w:tc>
          <w:tcPr>
            <w:tcW w:type="dxa" w:w="2592"/>
          </w:tcPr>
          <w:p>
            <w:r>
              <w:rPr>
                <w:b w:val="0"/>
                <w:sz w:val="20"/>
              </w:rPr>
              <w:t>Use MOD Payload mechanical datum and the program data ICD to physically swap an ISR sensor module and validate data stream conformance in OCI container; perform automated data schema checks and metadata tagging to ensure downstream processing compatibility.</w:t>
            </w:r>
          </w:p>
        </w:tc>
        <w:tc>
          <w:tcPr>
            <w:tcW w:type="dxa" w:w="1872"/>
          </w:tcPr>
          <w:p>
            <w:r>
              <w:rPr>
                <w:b w:val="0"/>
                <w:sz w:val="20"/>
              </w:rPr>
              <w:t>MOD Payload, OCI (containerized processing), program metadata schema</w:t>
            </w:r>
          </w:p>
        </w:tc>
      </w:tr>
      <w:tr>
        <w:tc>
          <w:tcPr>
            <w:tcW w:type="dxa" w:w="1728"/>
          </w:tcPr>
          <w:p>
            <w:r>
              <w:rPr>
                <w:b w:val="0"/>
                <w:sz w:val="20"/>
              </w:rPr>
              <w:t>Competitive lethal payload replacement</w:t>
            </w:r>
          </w:p>
        </w:tc>
        <w:tc>
          <w:tcPr>
            <w:tcW w:type="dxa" w:w="1728"/>
          </w:tcPr>
          <w:p>
            <w:r>
              <w:rPr>
                <w:b w:val="0"/>
                <w:sz w:val="20"/>
              </w:rPr>
              <w:t>lethal payload, flight control computer, power bus</w:t>
            </w:r>
          </w:p>
        </w:tc>
        <w:tc>
          <w:tcPr>
            <w:tcW w:type="dxa" w:w="2592"/>
          </w:tcPr>
          <w:p>
            <w:r>
              <w:rPr>
                <w:b w:val="0"/>
                <w:sz w:val="20"/>
              </w:rPr>
              <w:t>Enforce mechanical and power ICDs plus a minimal weapon-control API delivered with Unlimited Rights for the API (though weapon internals may be Limited Rights). Validate safety interlocks via standardized safety handshakes and simulate release in a controlled environment before live fire.</w:t>
            </w:r>
          </w:p>
        </w:tc>
        <w:tc>
          <w:tcPr>
            <w:tcW w:type="dxa" w:w="1872"/>
          </w:tcPr>
          <w:p>
            <w:r>
              <w:rPr>
                <w:b w:val="0"/>
                <w:sz w:val="20"/>
              </w:rPr>
              <w:t>MOD Payload (mount), program weapon-control API (program-defined), safety test procedures</w:t>
            </w:r>
          </w:p>
        </w:tc>
      </w:tr>
      <w:tr>
        <w:tc>
          <w:tcPr>
            <w:tcW w:type="dxa" w:w="1728"/>
          </w:tcPr>
          <w:p>
            <w:r>
              <w:rPr>
                <w:b w:val="0"/>
                <w:sz w:val="20"/>
              </w:rPr>
              <w:t>Replace communications payload to operate as contested comms node</w:t>
            </w:r>
          </w:p>
        </w:tc>
        <w:tc>
          <w:tcPr>
            <w:tcW w:type="dxa" w:w="1728"/>
          </w:tcPr>
          <w:p>
            <w:r>
              <w:rPr>
                <w:b w:val="0"/>
                <w:sz w:val="20"/>
              </w:rPr>
              <w:t>communications payload, flight control computer, battery</w:t>
            </w:r>
          </w:p>
        </w:tc>
        <w:tc>
          <w:tcPr>
            <w:tcW w:type="dxa" w:w="2592"/>
          </w:tcPr>
          <w:p>
            <w:r>
              <w:rPr>
                <w:b w:val="0"/>
                <w:sz w:val="20"/>
              </w:rPr>
              <w:t>Require OCI-packaged comms application images that can be uploaded to the flight control host; if original comms vendor is delayed, substitute third-party OCI image and verify RF behavior per RF ICD in anechoic chamber and interoperability with ground node simulators.</w:t>
            </w:r>
          </w:p>
        </w:tc>
        <w:tc>
          <w:tcPr>
            <w:tcW w:type="dxa" w:w="1872"/>
          </w:tcPr>
          <w:p>
            <w:r>
              <w:rPr>
                <w:b w:val="0"/>
                <w:sz w:val="20"/>
              </w:rPr>
              <w:t>OCI, program RF ICD, FACE for any avionics messaging bindings</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8"/>
      </w:rPr>
      <w:t>Test Program</w:t>
    </w:r>
  </w:p>
  <w:p>
    <w:pPr>
      <w:jc w:val="center"/>
    </w:pPr>
    <w:r>
      <w:rPr>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