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Acquisition Strategy (AI-Assisted)</w:t>
      </w:r>
    </w:p>
    <w:p>
      <w:pPr>
        <w:spacing w:before="160"/>
        <w:jc w:val="center"/>
      </w:pPr>
      <w:r>
        <w:rPr>
          <w:sz w:val="22"/>
        </w:rPr>
        <w:t>March 01, 2026</w:t>
      </w:r>
    </w:p>
    <w:p>
      <w:r>
        <w:br w:type="page"/>
      </w:r>
    </w:p>
    <w:p>
      <w:pPr>
        <w:pStyle w:val="Heading1"/>
        <w:spacing w:before="0" w:after="160"/>
      </w:pPr>
      <w:r>
        <w:t>1. Executive Summary</w:t>
      </w:r>
    </w:p>
    <w:p>
      <w:r>
        <w:t>The Test Program will deliver a Class 1 small Unmanned Aircraft System (sUAS) optimized for intelligence, surveillance, and reconnaissance (ISR) with secondary mission capability as a lethal payload carrier and as a communications relay/node in contested environments. The program is prioritized as rapid and executable to production in under 18 months, targeted to support forward-deployed tactical units with attritable employment concepts. Key program drivers are speed-to-fielding, modular payload integration (MOSA), software-intensive capability, and safety-critical compliance for lethal payload employment.</w:t>
      </w:r>
    </w:p>
    <w:p>
      <w:r>
        <w:t>Acquisition will leverage heritage from Raven and Puma-class systems for airframe and flight control concepts while introducing new low-TRL sensors and communications processors. The program budget baseline uses the program fact-pack development estimate of $150,000M and a production unit estimate of $4,500M per unit; sustainment is estimated and managed to minimize lifecycle logistics burden given the attritable employment model. The acquisition balances rapid prototyping, incremental delivery of capability, and contractual mechanisms that enforce modular open systems interfaces, data rights sufficient for sustainment and future integration, and testing for mission- and safety-critical functions.</w:t>
      </w:r>
    </w:p>
    <w:p>
      <w:r>
        <w:br w:type="page"/>
      </w:r>
    </w:p>
    <w:p>
      <w:pPr>
        <w:pStyle w:val="Heading1"/>
        <w:spacing w:before="0" w:after="160"/>
      </w:pPr>
      <w:r>
        <w:t>2. Acquisition Approach</w:t>
      </w:r>
    </w:p>
    <w:p>
      <w:r>
        <w:t>The acquisition approach is a two-phase rapid prototyping-to-production strategy: a focused 6-9 month prototyping and risk-reduction phase (Platform + baseline avionics + one modular ISR payload and one communications payload prototype) followed by an accelerated production decision and low-rate initial production (LRIP) enabling delivery to units within the 18-month target. The program will use competitive prototyping to drive down technical risk for low-TRL sensors and communications processors and to validate MOSA interfaces.</w:t>
      </w:r>
    </w:p>
    <w:p>
      <w:r>
        <w:t>Rationale: rapid fielding to address an urgent tactical requirement requires minimizing custom integration work by enforcing OCI/FACE standards and modular payload interfaces (MOD Payload architecture). Contracting will separate platform prime responsibility from payload integrators via modular task orders or multiple-award IDIQ/OTA vehicles, enabling rapid insertion of commercial sensors and payloads while maintaining a single platform baseline for safety, airworthiness, and sustainment.</w:t>
      </w:r>
    </w:p>
    <w:p>
      <w:r>
        <w:br w:type="page"/>
      </w:r>
    </w:p>
    <w:p>
      <w:pPr>
        <w:pStyle w:val="Heading1"/>
        <w:spacing w:before="0" w:after="160"/>
      </w:pPr>
      <w:r>
        <w:t>3. Schedule and Milestones</w:t>
      </w:r>
    </w:p>
    <w:p>
      <w:r>
        <w:t>The following milestones represent the planned acquisition schedule. Dates are subject to revision based on program execution.</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D9E1F2"/>
          </w:tcPr>
          <w:p>
            <w:r>
              <w:rPr>
                <w:b/>
                <w:sz w:val="20"/>
              </w:rPr>
              <w:t>Milestone</w:t>
            </w:r>
          </w:p>
        </w:tc>
        <w:tc>
          <w:tcPr>
            <w:tcW w:type="dxa" w:w="1584"/>
            <w:shd w:val="clear" w:color="auto" w:fill="D9E1F2"/>
          </w:tcPr>
          <w:p>
            <w:r>
              <w:rPr>
                <w:b/>
                <w:sz w:val="20"/>
              </w:rPr>
              <w:t>Target Date</w:t>
            </w:r>
          </w:p>
        </w:tc>
        <w:tc>
          <w:tcPr>
            <w:tcW w:type="dxa" w:w="5184"/>
            <w:shd w:val="clear" w:color="auto" w:fill="D9E1F2"/>
          </w:tcPr>
          <w:p>
            <w:r>
              <w:rPr>
                <w:b/>
                <w:sz w:val="20"/>
              </w:rPr>
              <w:t>Description</w:t>
            </w:r>
          </w:p>
        </w:tc>
      </w:tr>
      <w:tr>
        <w:tc>
          <w:tcPr>
            <w:tcW w:type="dxa" w:w="1872"/>
          </w:tcPr>
          <w:p>
            <w:r>
              <w:rPr>
                <w:b w:val="0"/>
                <w:sz w:val="20"/>
              </w:rPr>
              <w:t>Milestone A (Prototype Decision)</w:t>
            </w:r>
          </w:p>
        </w:tc>
        <w:tc>
          <w:tcPr>
            <w:tcW w:type="dxa" w:w="1584"/>
          </w:tcPr>
          <w:p>
            <w:pPr>
              <w:jc w:val="center"/>
            </w:pPr>
            <w:r>
              <w:rPr>
                <w:b w:val="0"/>
                <w:sz w:val="20"/>
              </w:rPr>
              <w:t>Q2 FY26</w:t>
            </w:r>
          </w:p>
        </w:tc>
        <w:tc>
          <w:tcPr>
            <w:tcW w:type="dxa" w:w="5184"/>
          </w:tcPr>
          <w:p>
            <w:r>
              <w:rPr>
                <w:b w:val="0"/>
                <w:sz w:val="20"/>
              </w:rPr>
              <w:t>Approve entry to prototyping and risk-reduction; fund baseline platform and two prototype payload integrations (ISR sensor and communications processor).</w:t>
            </w:r>
          </w:p>
        </w:tc>
      </w:tr>
      <w:tr>
        <w:tc>
          <w:tcPr>
            <w:tcW w:type="dxa" w:w="1872"/>
          </w:tcPr>
          <w:p>
            <w:r>
              <w:rPr>
                <w:b w:val="0"/>
                <w:sz w:val="20"/>
              </w:rPr>
              <w:t>Prototype RDT&amp;E Completion / Milestone B (Production Readiness Review)</w:t>
            </w:r>
          </w:p>
        </w:tc>
        <w:tc>
          <w:tcPr>
            <w:tcW w:type="dxa" w:w="1584"/>
          </w:tcPr>
          <w:p>
            <w:pPr>
              <w:jc w:val="center"/>
            </w:pPr>
            <w:r>
              <w:rPr>
                <w:b w:val="0"/>
                <w:sz w:val="20"/>
              </w:rPr>
              <w:t>Q4 FY26</w:t>
            </w:r>
          </w:p>
        </w:tc>
        <w:tc>
          <w:tcPr>
            <w:tcW w:type="dxa" w:w="5184"/>
          </w:tcPr>
          <w:p>
            <w:r>
              <w:rPr>
                <w:b w:val="0"/>
                <w:sz w:val="20"/>
              </w:rPr>
              <w:t>Complete prototype flight test program, safety and airworthiness evidence, software integration and MOSA validation; decision point for low-rate initial production (LRIP).</w:t>
            </w:r>
          </w:p>
        </w:tc>
      </w:tr>
      <w:tr>
        <w:tc>
          <w:tcPr>
            <w:tcW w:type="dxa" w:w="1872"/>
          </w:tcPr>
          <w:p>
            <w:r>
              <w:rPr>
                <w:b w:val="0"/>
                <w:sz w:val="20"/>
              </w:rPr>
              <w:t>RFP Release for Production Lot / Contract Award</w:t>
            </w:r>
          </w:p>
        </w:tc>
        <w:tc>
          <w:tcPr>
            <w:tcW w:type="dxa" w:w="1584"/>
          </w:tcPr>
          <w:p>
            <w:pPr>
              <w:jc w:val="center"/>
            </w:pPr>
            <w:r>
              <w:rPr>
                <w:b w:val="0"/>
                <w:sz w:val="20"/>
              </w:rPr>
              <w:t>Q1 FY27</w:t>
            </w:r>
          </w:p>
        </w:tc>
        <w:tc>
          <w:tcPr>
            <w:tcW w:type="dxa" w:w="5184"/>
          </w:tcPr>
          <w:p>
            <w:r>
              <w:rPr>
                <w:b w:val="0"/>
                <w:sz w:val="20"/>
              </w:rPr>
              <w:t>Release production RFP or place production orders against IDIQ/OTA based on validated prototype results; award production contract(s).</w:t>
            </w:r>
          </w:p>
        </w:tc>
      </w:tr>
      <w:tr>
        <w:tc>
          <w:tcPr>
            <w:tcW w:type="dxa" w:w="1872"/>
          </w:tcPr>
          <w:p>
            <w:r>
              <w:rPr>
                <w:b w:val="0"/>
                <w:sz w:val="20"/>
              </w:rPr>
              <w:t>Milestone C (Full-Rate Production Decision Equivalent)</w:t>
            </w:r>
          </w:p>
        </w:tc>
        <w:tc>
          <w:tcPr>
            <w:tcW w:type="dxa" w:w="1584"/>
          </w:tcPr>
          <w:p>
            <w:pPr>
              <w:jc w:val="center"/>
            </w:pPr>
            <w:r>
              <w:rPr>
                <w:b w:val="0"/>
                <w:sz w:val="20"/>
              </w:rPr>
              <w:t>Q3 FY27</w:t>
            </w:r>
          </w:p>
        </w:tc>
        <w:tc>
          <w:tcPr>
            <w:tcW w:type="dxa" w:w="5184"/>
          </w:tcPr>
          <w:p>
            <w:r>
              <w:rPr>
                <w:b w:val="0"/>
                <w:sz w:val="20"/>
              </w:rPr>
              <w:t>Decision to ramp to full-rate production or to continue LRIP based on operational evaluation, safety certification, and sustainment plans.</w:t>
            </w:r>
          </w:p>
        </w:tc>
      </w:tr>
    </w:tbl>
    <w:p>
      <w:r>
        <w:br w:type="page"/>
      </w:r>
    </w:p>
    <w:p>
      <w:pPr>
        <w:pStyle w:val="Heading1"/>
        <w:spacing w:before="0" w:after="160"/>
      </w:pPr>
      <w:r>
        <w:t>4. Cost Estimates</w:t>
      </w:r>
    </w:p>
    <w:p>
      <w:r>
        <w:t>The following cost estimates are provided as program planning figures. Final cost estimates will be developed through the Cost Analysis Requirements Description (CARD) process.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20"/>
              </w:rPr>
              <w:t>Cost Element</w:t>
            </w:r>
          </w:p>
        </w:tc>
        <w:tc>
          <w:tcPr>
            <w:tcW w:type="dxa" w:w="4320"/>
            <w:shd w:val="clear" w:color="auto" w:fill="D9E1F2"/>
          </w:tcPr>
          <w:p>
            <w:r>
              <w:rPr>
                <w:b/>
                <w:sz w:val="20"/>
              </w:rPr>
              <w:t>Estimate</w:t>
            </w:r>
          </w:p>
        </w:tc>
      </w:tr>
      <w:tr>
        <w:tc>
          <w:tcPr>
            <w:tcW w:type="dxa" w:w="4320"/>
          </w:tcPr>
          <w:p>
            <w:r>
              <w:rPr>
                <w:b w:val="0"/>
                <w:sz w:val="20"/>
              </w:rPr>
              <w:t>Development Cost Estimate</w:t>
            </w:r>
          </w:p>
        </w:tc>
        <w:tc>
          <w:tcPr>
            <w:tcW w:type="dxa" w:w="4320"/>
          </w:tcPr>
          <w:p>
            <w:pPr>
              <w:jc w:val="center"/>
            </w:pPr>
            <w:r>
              <w:rPr>
                <w:b w:val="0"/>
                <w:sz w:val="20"/>
              </w:rPr>
              <w:t>$150,000M</w:t>
            </w:r>
          </w:p>
        </w:tc>
      </w:tr>
      <w:tr>
        <w:tc>
          <w:tcPr>
            <w:tcW w:type="dxa" w:w="4320"/>
          </w:tcPr>
          <w:p>
            <w:r>
              <w:rPr>
                <w:b w:val="0"/>
                <w:sz w:val="20"/>
              </w:rPr>
              <w:t>Production Unit Cost</w:t>
            </w:r>
          </w:p>
        </w:tc>
        <w:tc>
          <w:tcPr>
            <w:tcW w:type="dxa" w:w="4320"/>
          </w:tcPr>
          <w:p>
            <w:pPr>
              <w:jc w:val="center"/>
            </w:pPr>
            <w:r>
              <w:rPr>
                <w:b w:val="0"/>
                <w:sz w:val="20"/>
              </w:rPr>
              <w:t>$4,500M per unit</w:t>
            </w:r>
          </w:p>
        </w:tc>
      </w:tr>
      <w:tr>
        <w:tc>
          <w:tcPr>
            <w:tcW w:type="dxa" w:w="4320"/>
          </w:tcPr>
          <w:p>
            <w:r>
              <w:rPr>
                <w:b w:val="0"/>
                <w:sz w:val="20"/>
              </w:rPr>
              <w:t>Annual Sustainment Cost</w:t>
            </w:r>
          </w:p>
        </w:tc>
        <w:tc>
          <w:tcPr>
            <w:tcW w:type="dxa" w:w="4320"/>
          </w:tcPr>
          <w:p>
            <w:pPr>
              <w:jc w:val="center"/>
            </w:pPr>
            <w:r>
              <w:rPr>
                <w:b w:val="0"/>
                <w:sz w:val="20"/>
              </w:rPr>
              <w:t>$5.0M per year</w:t>
            </w:r>
          </w:p>
        </w:tc>
      </w:tr>
    </w:tbl>
    <w:p>
      <w:r>
        <w:br w:type="page"/>
      </w:r>
    </w:p>
    <w:p>
      <w:pPr>
        <w:pStyle w:val="Heading1"/>
        <w:spacing w:before="0" w:after="160"/>
      </w:pPr>
      <w:r>
        <w:t>5. Candidate Module Summary</w:t>
      </w:r>
    </w:p>
    <w:p>
      <w:r>
        <w:t>The program has identified the following candidate modules consistent with a Modular Open Systems Approach (MOSA). Each module will be designed with well-defined interfaces to enable competitive upgrade and re-compete opportunities.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18"/>
              </w:rPr>
              <w:t>Module</w:t>
            </w:r>
          </w:p>
        </w:tc>
        <w:tc>
          <w:tcPr>
            <w:tcW w:type="dxa" w:w="1728"/>
            <w:shd w:val="clear" w:color="auto" w:fill="D9E1F2"/>
          </w:tcPr>
          <w:p>
            <w:r>
              <w:rPr>
                <w:b/>
                <w:sz w:val="18"/>
              </w:rPr>
              <w:t>Rationale</w:t>
            </w:r>
          </w:p>
        </w:tc>
        <w:tc>
          <w:tcPr>
            <w:tcW w:type="dxa" w:w="1440"/>
            <w:shd w:val="clear" w:color="auto" w:fill="D9E1F2"/>
          </w:tcPr>
          <w:p>
            <w:r>
              <w:rPr>
                <w:b/>
                <w:sz w:val="18"/>
              </w:rPr>
              <w:t>Key Interfaces</w:t>
            </w:r>
          </w:p>
        </w:tc>
        <w:tc>
          <w:tcPr>
            <w:tcW w:type="dxa" w:w="1296"/>
            <w:shd w:val="clear" w:color="auto" w:fill="D9E1F2"/>
          </w:tcPr>
          <w:p>
            <w:r>
              <w:rPr>
                <w:b/>
                <w:sz w:val="18"/>
              </w:rPr>
              <w:t>Standards</w:t>
            </w:r>
          </w:p>
        </w:tc>
        <w:tc>
          <w:tcPr>
            <w:tcW w:type="dxa" w:w="864"/>
            <w:shd w:val="clear" w:color="auto" w:fill="D9E1F2"/>
          </w:tcPr>
          <w:p>
            <w:r>
              <w:rPr>
                <w:b/>
                <w:sz w:val="18"/>
              </w:rPr>
              <w:t>Tech Risk</w:t>
            </w:r>
          </w:p>
        </w:tc>
        <w:tc>
          <w:tcPr>
            <w:tcW w:type="dxa" w:w="1152"/>
            <w:shd w:val="clear" w:color="auto" w:fill="D9E1F2"/>
          </w:tcPr>
          <w:p>
            <w:r>
              <w:rPr>
                <w:b/>
                <w:sz w:val="18"/>
              </w:rPr>
              <w:t>Obs. Risk</w:t>
            </w:r>
          </w:p>
        </w:tc>
        <w:tc>
          <w:tcPr>
            <w:tcW w:type="dxa" w:w="864"/>
            <w:shd w:val="clear" w:color="auto" w:fill="D9E1F2"/>
          </w:tcPr>
          <w:p>
            <w:r>
              <w:rPr>
                <w:b/>
                <w:sz w:val="18"/>
              </w:rPr>
              <w:t>COTS?</w:t>
            </w:r>
          </w:p>
        </w:tc>
      </w:tr>
      <w:tr>
        <w:tc>
          <w:tcPr>
            <w:tcW w:type="dxa" w:w="1296"/>
          </w:tcPr>
          <w:p>
            <w:r>
              <w:rPr>
                <w:b w:val="0"/>
                <w:sz w:val="18"/>
              </w:rPr>
              <w:t>airframe</w:t>
            </w:r>
          </w:p>
        </w:tc>
        <w:tc>
          <w:tcPr>
            <w:tcW w:type="dxa" w:w="1728"/>
          </w:tcPr>
          <w:p>
            <w:r>
              <w:rPr>
                <w:b w:val="0"/>
                <w:sz w:val="18"/>
              </w:rPr>
              <w:t>Attritable Class 1 platform baseline using proven structural concepts (Raven/Puma heritage) to minimize airworthiness risk and speed production.</w:t>
            </w:r>
          </w:p>
        </w:tc>
        <w:tc>
          <w:tcPr>
            <w:tcW w:type="dxa" w:w="1440"/>
          </w:tcPr>
          <w:p>
            <w:r>
              <w:rPr>
                <w:b w:val="0"/>
                <w:sz w:val="18"/>
              </w:rPr>
              <w:t>MOD Payload mechanical mounts, power bus (28V/12V), CAN/ARINC-like control bus, Ethernet for mission data.</w:t>
            </w:r>
          </w:p>
        </w:tc>
        <w:tc>
          <w:tcPr>
            <w:tcW w:type="dxa" w:w="1296"/>
          </w:tcPr>
          <w:p>
            <w:r>
              <w:rPr>
                <w:b w:val="0"/>
                <w:sz w:val="18"/>
              </w:rPr>
              <w:t>MOD Payload, MIL-STD-882E (safety), airworthiness processes informed by legacy sUAS documentation.</w:t>
            </w:r>
          </w:p>
        </w:tc>
        <w:tc>
          <w:tcPr>
            <w:tcW w:type="dxa" w:w="864"/>
          </w:tcPr>
          <w:p>
            <w:pPr>
              <w:jc w:val="center"/>
            </w:pPr>
            <w:r>
              <w:rPr>
                <w:b w:val="0"/>
                <w:sz w:val="18"/>
              </w:rPr>
              <w:t>No (heritage design)</w:t>
            </w:r>
          </w:p>
        </w:tc>
        <w:tc>
          <w:tcPr>
            <w:tcW w:type="dxa" w:w="1152"/>
          </w:tcPr>
          <w:p>
            <w:pPr>
              <w:jc w:val="center"/>
            </w:pPr>
            <w:r>
              <w:rPr>
                <w:b w:val="0"/>
                <w:sz w:val="18"/>
              </w:rPr>
              <w:t>No</w:t>
            </w:r>
          </w:p>
        </w:tc>
        <w:tc>
          <w:tcPr>
            <w:tcW w:type="dxa" w:w="864"/>
          </w:tcPr>
          <w:p>
            <w:pPr>
              <w:jc w:val="center"/>
            </w:pPr>
            <w:r>
              <w:rPr>
                <w:b w:val="0"/>
                <w:sz w:val="18"/>
              </w:rPr>
              <w:t>No (program-owned baseline to control safety certification)</w:t>
            </w:r>
          </w:p>
        </w:tc>
      </w:tr>
      <w:tr>
        <w:tc>
          <w:tcPr>
            <w:tcW w:type="dxa" w:w="1296"/>
          </w:tcPr>
          <w:p>
            <w:r>
              <w:rPr>
                <w:b w:val="0"/>
                <w:sz w:val="18"/>
              </w:rPr>
              <w:t>propulsion unit</w:t>
            </w:r>
          </w:p>
        </w:tc>
        <w:tc>
          <w:tcPr>
            <w:tcW w:type="dxa" w:w="1728"/>
          </w:tcPr>
          <w:p>
            <w:r>
              <w:rPr>
                <w:b w:val="0"/>
                <w:sz w:val="18"/>
              </w:rPr>
              <w:t>Proven electric propulsion modules to meet endurance and maintenance simplicity for forward-deployed operations.</w:t>
            </w:r>
          </w:p>
        </w:tc>
        <w:tc>
          <w:tcPr>
            <w:tcW w:type="dxa" w:w="1440"/>
          </w:tcPr>
          <w:p>
            <w:r>
              <w:rPr>
                <w:b w:val="0"/>
                <w:sz w:val="18"/>
              </w:rPr>
              <w:t>Mechanical mounting, electrical power connector, ESC control signals (PWM/CAN), thermal path.</w:t>
            </w:r>
          </w:p>
        </w:tc>
        <w:tc>
          <w:tcPr>
            <w:tcW w:type="dxa" w:w="1296"/>
          </w:tcPr>
          <w:p>
            <w:r>
              <w:rPr>
                <w:b w:val="0"/>
                <w:sz w:val="18"/>
              </w:rPr>
              <w:t>Electrical power interface profiles consistent with platform ICD.</w:t>
            </w:r>
          </w:p>
        </w:tc>
        <w:tc>
          <w:tcPr>
            <w:tcW w:type="dxa" w:w="864"/>
          </w:tcPr>
          <w:p>
            <w:pPr>
              <w:jc w:val="center"/>
            </w:pPr>
            <w:r>
              <w:rPr>
                <w:b w:val="0"/>
                <w:sz w:val="18"/>
              </w:rPr>
              <w:t>No</w:t>
            </w:r>
          </w:p>
        </w:tc>
        <w:tc>
          <w:tcPr>
            <w:tcW w:type="dxa" w:w="1152"/>
          </w:tcPr>
          <w:p>
            <w:pPr>
              <w:jc w:val="center"/>
            </w:pPr>
            <w:r>
              <w:rPr>
                <w:b w:val="0"/>
                <w:sz w:val="18"/>
              </w:rPr>
              <w:t>No</w:t>
            </w:r>
          </w:p>
        </w:tc>
        <w:tc>
          <w:tcPr>
            <w:tcW w:type="dxa" w:w="864"/>
          </w:tcPr>
          <w:p>
            <w:pPr>
              <w:jc w:val="center"/>
            </w:pPr>
            <w:r>
              <w:rPr>
                <w:b w:val="0"/>
                <w:sz w:val="18"/>
              </w:rPr>
              <w:t>Yes (proven COTS units preferred)</w:t>
            </w:r>
          </w:p>
        </w:tc>
      </w:tr>
      <w:tr>
        <w:tc>
          <w:tcPr>
            <w:tcW w:type="dxa" w:w="1296"/>
          </w:tcPr>
          <w:p>
            <w:r>
              <w:rPr>
                <w:b w:val="0"/>
                <w:sz w:val="18"/>
              </w:rPr>
              <w:t>battery</w:t>
            </w:r>
          </w:p>
        </w:tc>
        <w:tc>
          <w:tcPr>
            <w:tcW w:type="dxa" w:w="1728"/>
          </w:tcPr>
          <w:p>
            <w:r>
              <w:rPr>
                <w:b w:val="0"/>
                <w:sz w:val="18"/>
              </w:rPr>
              <w:t>Attritable, swappable battery packs sized for mission endurance and rapid logistics turnaround.</w:t>
            </w:r>
          </w:p>
        </w:tc>
        <w:tc>
          <w:tcPr>
            <w:tcW w:type="dxa" w:w="1440"/>
          </w:tcPr>
          <w:p>
            <w:r>
              <w:rPr>
                <w:b w:val="0"/>
                <w:sz w:val="18"/>
              </w:rPr>
              <w:t>Mechanical latch, standardized power/pinout, battery management telemetry interface.</w:t>
            </w:r>
          </w:p>
        </w:tc>
        <w:tc>
          <w:tcPr>
            <w:tcW w:type="dxa" w:w="1296"/>
          </w:tcPr>
          <w:p>
            <w:r>
              <w:rPr>
                <w:b w:val="0"/>
                <w:sz w:val="18"/>
              </w:rPr>
              <w:t>MOD Payload power and battery BMS telemetry spec.</w:t>
            </w:r>
          </w:p>
        </w:tc>
        <w:tc>
          <w:tcPr>
            <w:tcW w:type="dxa" w:w="864"/>
          </w:tcPr>
          <w:p>
            <w:pPr>
              <w:jc w:val="center"/>
            </w:pPr>
            <w:r>
              <w:rPr>
                <w:b w:val="0"/>
                <w:sz w:val="18"/>
              </w:rPr>
              <w:t>No</w:t>
            </w:r>
          </w:p>
        </w:tc>
        <w:tc>
          <w:tcPr>
            <w:tcW w:type="dxa" w:w="1152"/>
          </w:tcPr>
          <w:p>
            <w:pPr>
              <w:jc w:val="center"/>
            </w:pPr>
            <w:r>
              <w:rPr>
                <w:b w:val="0"/>
                <w:sz w:val="18"/>
              </w:rPr>
              <w:t>No</w:t>
            </w:r>
          </w:p>
        </w:tc>
        <w:tc>
          <w:tcPr>
            <w:tcW w:type="dxa" w:w="864"/>
          </w:tcPr>
          <w:p>
            <w:pPr>
              <w:jc w:val="center"/>
            </w:pPr>
            <w:r>
              <w:rPr>
                <w:b w:val="0"/>
                <w:sz w:val="18"/>
              </w:rPr>
              <w:t>Yes (commercial battery packs with required BMS)</w:t>
            </w:r>
          </w:p>
        </w:tc>
      </w:tr>
      <w:tr>
        <w:tc>
          <w:tcPr>
            <w:tcW w:type="dxa" w:w="1296"/>
          </w:tcPr>
          <w:p>
            <w:r>
              <w:rPr>
                <w:b w:val="0"/>
                <w:sz w:val="18"/>
              </w:rPr>
              <w:t>flight control computer</w:t>
            </w:r>
          </w:p>
        </w:tc>
        <w:tc>
          <w:tcPr>
            <w:tcW w:type="dxa" w:w="1728"/>
          </w:tcPr>
          <w:p>
            <w:r>
              <w:rPr>
                <w:b w:val="0"/>
                <w:sz w:val="18"/>
              </w:rPr>
              <w:t>Software-intensive module providing auto-pilot, navigation, and safety-critical flight control with support for FACE/OCI payload apps.</w:t>
            </w:r>
          </w:p>
        </w:tc>
        <w:tc>
          <w:tcPr>
            <w:tcW w:type="dxa" w:w="1440"/>
          </w:tcPr>
          <w:p>
            <w:r>
              <w:rPr>
                <w:b w:val="0"/>
                <w:sz w:val="18"/>
              </w:rPr>
              <w:t>Autopilot bus, sensor buses (IMU/GPS), MOD Payload data/Ethernet, safety interlock I/O.</w:t>
            </w:r>
          </w:p>
        </w:tc>
        <w:tc>
          <w:tcPr>
            <w:tcW w:type="dxa" w:w="1296"/>
          </w:tcPr>
          <w:p>
            <w:r>
              <w:rPr>
                <w:b w:val="0"/>
                <w:sz w:val="18"/>
              </w:rPr>
              <w:t>FACE, MOD Payload, safety assurance per MIL-STD-882E.</w:t>
            </w:r>
          </w:p>
        </w:tc>
        <w:tc>
          <w:tcPr>
            <w:tcW w:type="dxa" w:w="864"/>
          </w:tcPr>
          <w:p>
            <w:pPr>
              <w:jc w:val="center"/>
            </w:pPr>
            <w:r>
              <w:rPr>
                <w:b w:val="0"/>
                <w:sz w:val="18"/>
              </w:rPr>
              <w:t>No (leverages existing FCS heritage but software integration risk exists)</w:t>
            </w:r>
          </w:p>
        </w:tc>
        <w:tc>
          <w:tcPr>
            <w:tcW w:type="dxa" w:w="1152"/>
          </w:tcPr>
          <w:p>
            <w:pPr>
              <w:jc w:val="center"/>
            </w:pPr>
            <w:r>
              <w:rPr>
                <w:b w:val="0"/>
                <w:sz w:val="18"/>
              </w:rPr>
              <w:t>No</w:t>
            </w:r>
          </w:p>
        </w:tc>
        <w:tc>
          <w:tcPr>
            <w:tcW w:type="dxa" w:w="864"/>
          </w:tcPr>
          <w:p>
            <w:pPr>
              <w:jc w:val="center"/>
            </w:pPr>
            <w:r>
              <w:rPr>
                <w:b w:val="0"/>
                <w:sz w:val="18"/>
              </w:rPr>
              <w:t>Yes (modular, qualified avionics candidates available)</w:t>
            </w:r>
          </w:p>
        </w:tc>
      </w:tr>
      <w:tr>
        <w:tc>
          <w:tcPr>
            <w:tcW w:type="dxa" w:w="1296"/>
          </w:tcPr>
          <w:p>
            <w:r>
              <w:rPr>
                <w:b w:val="0"/>
                <w:sz w:val="18"/>
              </w:rPr>
              <w:t>lethal payload</w:t>
            </w:r>
          </w:p>
        </w:tc>
        <w:tc>
          <w:tcPr>
            <w:tcW w:type="dxa" w:w="1728"/>
          </w:tcPr>
          <w:p>
            <w:r>
              <w:rPr>
                <w:b w:val="0"/>
                <w:sz w:val="18"/>
              </w:rPr>
              <w:t>Mission-configurable COTS lethality modules to enable scalable effects in tactical scenarios; must meet safety lockout and ROE compliance.</w:t>
            </w:r>
          </w:p>
        </w:tc>
        <w:tc>
          <w:tcPr>
            <w:tcW w:type="dxa" w:w="1440"/>
          </w:tcPr>
          <w:p>
            <w:r>
              <w:rPr>
                <w:b w:val="0"/>
                <w:sz w:val="18"/>
              </w:rPr>
              <w:t>Mechanical carriage points, pyrotechnic/electrical firing interlocks, secure command-and-control over FACE-conformant interface.</w:t>
            </w:r>
          </w:p>
        </w:tc>
        <w:tc>
          <w:tcPr>
            <w:tcW w:type="dxa" w:w="1296"/>
          </w:tcPr>
          <w:p>
            <w:r>
              <w:rPr>
                <w:b w:val="0"/>
                <w:sz w:val="18"/>
              </w:rPr>
              <w:t>Safety and weapons handling standards; MOD Payload ICDs for weapon carriage and safety.</w:t>
            </w:r>
          </w:p>
        </w:tc>
        <w:tc>
          <w:tcPr>
            <w:tcW w:type="dxa" w:w="864"/>
          </w:tcPr>
          <w:p>
            <w:pPr>
              <w:jc w:val="center"/>
            </w:pPr>
            <w:r>
              <w:rPr>
                <w:b w:val="0"/>
                <w:sz w:val="18"/>
              </w:rPr>
              <w:t>No (COTS proven),</w:t>
            </w:r>
          </w:p>
        </w:tc>
        <w:tc>
          <w:tcPr>
            <w:tcW w:type="dxa" w:w="1152"/>
          </w:tcPr>
          <w:p>
            <w:pPr>
              <w:jc w:val="center"/>
            </w:pPr>
            <w:r>
              <w:rPr>
                <w:b w:val="0"/>
                <w:sz w:val="18"/>
              </w:rPr>
              <w:t>No</w:t>
            </w:r>
          </w:p>
        </w:tc>
        <w:tc>
          <w:tcPr>
            <w:tcW w:type="dxa" w:w="864"/>
          </w:tcPr>
          <w:p>
            <w:pPr>
              <w:jc w:val="center"/>
            </w:pPr>
            <w:r>
              <w:rPr>
                <w:b w:val="0"/>
                <w:sz w:val="18"/>
              </w:rPr>
              <w:t>Yes (identified as COTS)</w:t>
            </w:r>
          </w:p>
        </w:tc>
      </w:tr>
      <w:tr>
        <w:tc>
          <w:tcPr>
            <w:tcW w:type="dxa" w:w="1296"/>
          </w:tcPr>
          <w:p>
            <w:r>
              <w:rPr>
                <w:b w:val="0"/>
                <w:sz w:val="18"/>
              </w:rPr>
              <w:t>communications payload</w:t>
            </w:r>
          </w:p>
        </w:tc>
        <w:tc>
          <w:tcPr>
            <w:tcW w:type="dxa" w:w="1728"/>
          </w:tcPr>
          <w:p>
            <w:r>
              <w:rPr>
                <w:b w:val="0"/>
                <w:sz w:val="18"/>
              </w:rPr>
              <w:t>Communications processor to provide contested-environment networking and relay functions; enables platform as a node in degraded comms.</w:t>
            </w:r>
          </w:p>
        </w:tc>
        <w:tc>
          <w:tcPr>
            <w:tcW w:type="dxa" w:w="1440"/>
          </w:tcPr>
          <w:p>
            <w:r>
              <w:rPr>
                <w:b w:val="0"/>
                <w:sz w:val="18"/>
              </w:rPr>
              <w:t>High-speed Ethernet, RF antenna connector, power (regulated), management console via OCI container runtime.</w:t>
            </w:r>
          </w:p>
        </w:tc>
        <w:tc>
          <w:tcPr>
            <w:tcW w:type="dxa" w:w="1296"/>
          </w:tcPr>
          <w:p>
            <w:r>
              <w:rPr>
                <w:b w:val="0"/>
                <w:sz w:val="18"/>
              </w:rPr>
              <w:t>OCI for software delivery, MOD Payload for electrical/data interfaces, encryption/spectrum compliance per policy.</w:t>
            </w:r>
          </w:p>
        </w:tc>
        <w:tc>
          <w:tcPr>
            <w:tcW w:type="dxa" w:w="864"/>
          </w:tcPr>
          <w:p>
            <w:pPr>
              <w:jc w:val="center"/>
            </w:pPr>
            <w:r>
              <w:rPr>
                <w:b w:val="0"/>
                <w:sz w:val="18"/>
              </w:rPr>
              <w:t>Yes (low TRL processor and software)</w:t>
            </w:r>
          </w:p>
        </w:tc>
        <w:tc>
          <w:tcPr>
            <w:tcW w:type="dxa" w:w="1152"/>
          </w:tcPr>
          <w:p>
            <w:pPr>
              <w:jc w:val="center"/>
            </w:pPr>
            <w:r>
              <w:rPr>
                <w:b w:val="0"/>
                <w:sz w:val="18"/>
              </w:rPr>
              <w:t>Yes (processor obsolescence candidate)</w:t>
            </w:r>
          </w:p>
        </w:tc>
        <w:tc>
          <w:tcPr>
            <w:tcW w:type="dxa" w:w="864"/>
          </w:tcPr>
          <w:p>
            <w:pPr>
              <w:jc w:val="center"/>
            </w:pPr>
            <w:r>
              <w:rPr>
                <w:b w:val="0"/>
                <w:sz w:val="18"/>
              </w:rPr>
              <w:t>Potential (some COTS modules exist but may need modification)</w:t>
            </w:r>
          </w:p>
        </w:tc>
      </w:tr>
      <w:tr>
        <w:tc>
          <w:tcPr>
            <w:tcW w:type="dxa" w:w="1296"/>
          </w:tcPr>
          <w:p>
            <w:r>
              <w:rPr>
                <w:b w:val="0"/>
                <w:sz w:val="18"/>
              </w:rPr>
              <w:t>ISR sensor payload</w:t>
            </w:r>
          </w:p>
        </w:tc>
        <w:tc>
          <w:tcPr>
            <w:tcW w:type="dxa" w:w="1728"/>
          </w:tcPr>
          <w:p>
            <w:r>
              <w:rPr>
                <w:b w:val="0"/>
                <w:sz w:val="18"/>
              </w:rPr>
              <w:t>Primary mission sensor for ISR (EO/IR, possible datalinks); modular to allow competitive selection and rapid upgrades.</w:t>
            </w:r>
          </w:p>
        </w:tc>
        <w:tc>
          <w:tcPr>
            <w:tcW w:type="dxa" w:w="1440"/>
          </w:tcPr>
          <w:p>
            <w:r>
              <w:rPr>
                <w:b w:val="0"/>
                <w:sz w:val="18"/>
              </w:rPr>
              <w:t>Mechanical gimbal mount, power, high-bandwidth video/data output (Ethernet/Serial), control API (FACE/OCI-friendly).</w:t>
            </w:r>
          </w:p>
        </w:tc>
        <w:tc>
          <w:tcPr>
            <w:tcW w:type="dxa" w:w="1296"/>
          </w:tcPr>
          <w:p>
            <w:r>
              <w:rPr>
                <w:b w:val="0"/>
                <w:sz w:val="18"/>
              </w:rPr>
              <w:t>MOD Payload, FACE/OCI for software integration, imaging sensor interface standards.</w:t>
            </w:r>
          </w:p>
        </w:tc>
        <w:tc>
          <w:tcPr>
            <w:tcW w:type="dxa" w:w="864"/>
          </w:tcPr>
          <w:p>
            <w:pPr>
              <w:jc w:val="center"/>
            </w:pPr>
            <w:r>
              <w:rPr>
                <w:b w:val="0"/>
                <w:sz w:val="18"/>
              </w:rPr>
              <w:t>Yes (low TRL for candidate sensor)</w:t>
            </w:r>
          </w:p>
        </w:tc>
        <w:tc>
          <w:tcPr>
            <w:tcW w:type="dxa" w:w="1152"/>
          </w:tcPr>
          <w:p>
            <w:pPr>
              <w:jc w:val="center"/>
            </w:pPr>
            <w:r>
              <w:rPr>
                <w:b w:val="0"/>
                <w:sz w:val="18"/>
              </w:rPr>
              <w:t>Yes (identified as obsolescence candidate)</w:t>
            </w:r>
          </w:p>
        </w:tc>
        <w:tc>
          <w:tcPr>
            <w:tcW w:type="dxa" w:w="864"/>
          </w:tcPr>
          <w:p>
            <w:pPr>
              <w:jc w:val="center"/>
            </w:pPr>
            <w:r>
              <w:rPr>
                <w:b w:val="0"/>
                <w:sz w:val="18"/>
              </w:rPr>
              <w:t>No (specialized; requires qualification)</w:t>
            </w:r>
          </w:p>
        </w:tc>
      </w:tr>
    </w:tbl>
    <w:p>
      <w:r>
        <w:br w:type="page"/>
      </w:r>
    </w:p>
    <w:p>
      <w:pPr>
        <w:pStyle w:val="Heading1"/>
        <w:spacing w:before="0" w:after="160"/>
      </w:pPr>
      <w:r>
        <w:t>6. Modular Open Systems Approach (MOSA)</w:t>
      </w:r>
    </w:p>
    <w:p>
      <w:r>
        <w:t>This acquisition will implement a Modular Open Systems Approach (MOSA) as required by 10 U.S.C. § 4401 and DoD Directive 5000.01.</w:t>
      </w:r>
    </w:p>
    <w:p>
      <w:r>
        <w:t>MOSA is a core enabler for the Test Program to meet the rapid fielding objectives while supporting multiple third-party payload vendors. The program will mandate open, versioned mechanical, electrical, power, and data interfaces (MOD Payload) and require FACE and OCI compliance for payload software components. The prime platform contract will include interface control documents (ICDs) and a validated reference implementation (hardware + software) hosted in a government-accessible MOSA repository to accelerate payload vendor onboarding.</w:t>
      </w:r>
    </w:p>
    <w:p>
      <w:r>
        <w:t>Rationale: enforcing MOSA reduces custom integration time, allows procurement of best-of-breed sensors and communications modules, and lowers long-term sustainment cost by enabling independent upgrades of payloads and processors. The program will maintain a small government-managed MOSA compliance lab to perform pre-integration checks and certify payloads for fielding.</w:t>
      </w:r>
    </w:p>
    <w:p>
      <w:pPr>
        <w:pStyle w:val="Heading2"/>
        <w:spacing w:before="240" w:after="120"/>
      </w:pPr>
      <w:r>
        <w:t>6.1 MOSA Commitments</w:t>
      </w:r>
    </w:p>
    <w:p>
      <w:pPr>
        <w:pStyle w:val="ListBullet"/>
      </w:pPr>
      <w:r>
        <w:t>Require documented and versioned MOD Payload ICDs for mechanical, electrical, power, and data interfaces.</w:t>
      </w:r>
    </w:p>
    <w:p>
      <w:pPr>
        <w:pStyle w:val="ListBullet"/>
      </w:pPr>
      <w:r>
        <w:t>Mandate FACE-conformant avionics software interfaces and OCI containerized delivery of payload software images.</w:t>
      </w:r>
    </w:p>
    <w:p>
      <w:pPr>
        <w:pStyle w:val="ListBullet"/>
      </w:pPr>
      <w:r>
        <w:t>Create a government-hosted MOSA repository with reference implementations, test harnesses, and certification artifacts.</w:t>
      </w:r>
    </w:p>
    <w:p>
      <w:pPr>
        <w:pStyle w:val="ListBullet"/>
      </w:pPr>
      <w:r>
        <w:t>Contractual requirement for payload vendors to deliver interface test reports and a 'plug-and-play' integration kit.</w:t>
      </w:r>
    </w:p>
    <w:p>
      <w:pPr>
        <w:pStyle w:val="ListBullet"/>
      </w:pPr>
      <w:r>
        <w:t>Allow alternate payload procurement without requiring platform redesign; enable multiple awards for payload solution providers.</w:t>
      </w:r>
    </w:p>
    <w:p>
      <w:r>
        <w:br w:type="page"/>
      </w:r>
    </w:p>
    <w:p>
      <w:pPr>
        <w:pStyle w:val="Heading1"/>
        <w:spacing w:before="0" w:after="160"/>
      </w:pPr>
      <w:r>
        <w:t>7. Technical Data and Data Rights Strategy</w:t>
      </w:r>
    </w:p>
    <w:p>
      <w:r>
        <w:t>The program will seek government purpose rights (GPR) or greater for all platform-level technical data and software required for sustainment and fielded capability evolution. For MOSA interface definitions and reference implementations that the government funds, the Program will acquire unlimited rights to enable future independent integration and sustainment. For third-party commercial payloads, the program will require delivery of sufficient interface and test data to allow depot-level maintenance and on-platform troubleshooting; where vendors resist, the program will use procurement levers (competition, evaluation credit) to obtain necessary data rights or require deliverables in open formats.</w:t>
      </w:r>
    </w:p>
    <w:p>
      <w:r>
        <w:t>Additionally, the program will require OCI-based container image delivery plus reproducible build instructions for payload software to reduce dependency on vendor build systems and enable secure government rehosting and patching during the sustainment tail.</w:t>
      </w:r>
    </w:p>
    <w:p>
      <w:r>
        <w:br w:type="page"/>
      </w:r>
    </w:p>
    <w:p>
      <w:pPr>
        <w:pStyle w:val="Heading1"/>
        <w:spacing w:before="0" w:after="160"/>
      </w:pPr>
      <w:r>
        <w:t>8. Standards and Constraints</w:t>
      </w:r>
    </w:p>
    <w:p>
      <w:r>
        <w:t>The following standards, regulations, and constraints apply to this program:</w:t>
      </w:r>
    </w:p>
    <w:p>
      <w:pPr>
        <w:pStyle w:val="ListBullet"/>
      </w:pPr>
      <w:r>
        <w:rPr>
          <w:b/>
        </w:rPr>
        <w:t>DoDI 5000.02</w:t>
      </w:r>
      <w:r>
        <w:t xml:space="preserve"> — Defense acquisition policy governing program life-cycle and acquisition strategy compliance.</w:t>
      </w:r>
    </w:p>
    <w:p>
      <w:pPr>
        <w:pStyle w:val="ListBullet"/>
      </w:pPr>
      <w:r>
        <w:rPr>
          <w:b/>
        </w:rPr>
        <w:t>10 U.S.C. § 4401</w:t>
      </w:r>
      <w:r>
        <w:t xml:space="preserve"> — Legal authorities relevant to acquisition program management and portfolio governance.</w:t>
      </w:r>
    </w:p>
    <w:p>
      <w:pPr>
        <w:pStyle w:val="ListBullet"/>
      </w:pPr>
      <w:r>
        <w:rPr>
          <w:b/>
        </w:rPr>
        <w:t>MIL-STD-882E</w:t>
      </w:r>
      <w:r>
        <w:t xml:space="preserve"> — System safety standard to identify and mitigate hazards for safety-critical and lethal payload operations.</w:t>
      </w:r>
    </w:p>
    <w:p>
      <w:pPr>
        <w:pStyle w:val="ListBullet"/>
      </w:pPr>
      <w:r>
        <w:rPr>
          <w:b/>
        </w:rPr>
        <w:t>FACE (Future Airborne Capability Environment)</w:t>
      </w:r>
      <w:r>
        <w:t xml:space="preserve"> — Software architecture standard to enable portable, reusable mission systems and payload software.</w:t>
      </w:r>
    </w:p>
    <w:p>
      <w:pPr>
        <w:pStyle w:val="ListBullet"/>
      </w:pPr>
      <w:r>
        <w:rPr>
          <w:b/>
        </w:rPr>
        <w:t>Open Container Initiative (OCI)</w:t>
      </w:r>
      <w:r>
        <w:t xml:space="preserve"> — Container image and runtime standards to support modular software deployment and repeatable builds.</w:t>
      </w:r>
    </w:p>
    <w:p>
      <w:pPr>
        <w:pStyle w:val="ListBullet"/>
      </w:pPr>
      <w:r>
        <w:rPr>
          <w:b/>
        </w:rPr>
        <w:t>MOD Payload (Program-defined payload interface)</w:t>
      </w:r>
      <w:r>
        <w:t xml:space="preserve"> — Program-specified modular payload mechanical, electrical, and data interface set used for plug-and-play payload integration.</w:t>
      </w:r>
    </w:p>
    <w:p>
      <w:r>
        <w:br w:type="page"/>
      </w:r>
    </w:p>
    <w:p>
      <w:pPr>
        <w:pStyle w:val="Heading1"/>
        <w:spacing w:before="0" w:after="160"/>
      </w:pPr>
      <w:r>
        <w:t>9. Test and Verification Strategy</w:t>
      </w:r>
    </w:p>
    <w:p>
      <w:r>
        <w:t>Testing will follow a phased approach that emphasizes risk reduction: lab/bench testing of avionics and payload software (including container-based verification), limited flight tests with heritage airframe components, and progressive envelope expansion. Safety-critical features and lethal-payload safety interlocks will be validated in instrumented ground tests and captive-carry trials before any armed flight testing. Operational test will involve forward unit representatives to validate ISR, comms-node, and lethal employment concepts in representative contested and degraded communications scenarios.</w:t>
      </w:r>
    </w:p>
    <w:p>
      <w:r>
        <w:t>Test articles will include at least two prototype configurations: (1) ISR-focused with the candidate sensor and (2) communications-node-focused with the candidate processor. Test instrumentation will capture performance metrics against user-defined measures of effectiveness and survivability parameters required by the stakeholder community.</w:t>
      </w:r>
    </w:p>
    <w:p>
      <w:r>
        <w:br w:type="page"/>
      </w:r>
    </w:p>
    <w:p>
      <w:pPr>
        <w:pStyle w:val="Heading1"/>
        <w:spacing w:before="0" w:after="160"/>
      </w:pPr>
      <w:r>
        <w:t>10. Contracting Strategy</w:t>
      </w:r>
    </w:p>
    <w:p>
      <w:r>
        <w:t>To meet the rapid timeline, the program will use a two-step contracting approach: near-term competitive rapid prototyping awards (firm fixed-price or OTA prototyping) to mature low-TRL payloads and validate MOSA interfaces, followed by a multiple-award IDIQ or single-award FFP production contract for platform production with option lines for payload integration task orders. This separation keeps platform baseline production predictable while enabling payload competition and rapid insertion.</w:t>
      </w:r>
    </w:p>
    <w:p>
      <w:r>
        <w:t>Evaluation criteria will weight MOSA compliance, data rights, and demonstrated heritage for attritable platforms. The contracting strategy will include requirements for vendor-supplied obsolescence plans, mandated delivery of technical data for sustainment, and firm delivery schedules with liquidated damages where appropriate to protect the aggressive program timeline.</w:t>
      </w:r>
    </w:p>
    <w:p>
      <w:r>
        <w:br w:type="page"/>
      </w:r>
    </w:p>
    <w:p>
      <w:pPr>
        <w:pStyle w:val="Heading1"/>
        <w:spacing w:before="0" w:after="160"/>
      </w:pPr>
      <w:r>
        <w:t>11. Risk Register</w:t>
      </w:r>
    </w:p>
    <w:p>
      <w:r>
        <w:t>The following risks have been identified for this acquisition. Risks will be tracked and managed through the program's Risk Management process.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76"/>
            <w:shd w:val="clear" w:color="auto" w:fill="D9E1F2"/>
          </w:tcPr>
          <w:p>
            <w:r>
              <w:rPr>
                <w:b/>
                <w:sz w:val="18"/>
              </w:rPr>
              <w:t>ID</w:t>
            </w:r>
          </w:p>
        </w:tc>
        <w:tc>
          <w:tcPr>
            <w:tcW w:type="dxa" w:w="2160"/>
            <w:shd w:val="clear" w:color="auto" w:fill="D9E1F2"/>
          </w:tcPr>
          <w:p>
            <w:r>
              <w:rPr>
                <w:b/>
                <w:sz w:val="18"/>
              </w:rPr>
              <w:t>Description</w:t>
            </w:r>
          </w:p>
        </w:tc>
        <w:tc>
          <w:tcPr>
            <w:tcW w:type="dxa" w:w="1080"/>
            <w:shd w:val="clear" w:color="auto" w:fill="D9E1F2"/>
          </w:tcPr>
          <w:p>
            <w:r>
              <w:rPr>
                <w:b/>
                <w:sz w:val="18"/>
              </w:rPr>
              <w:t>Probability</w:t>
            </w:r>
          </w:p>
        </w:tc>
        <w:tc>
          <w:tcPr>
            <w:tcW w:type="dxa" w:w="936"/>
            <w:shd w:val="clear" w:color="auto" w:fill="D9E1F2"/>
          </w:tcPr>
          <w:p>
            <w:r>
              <w:rPr>
                <w:b/>
                <w:sz w:val="18"/>
              </w:rPr>
              <w:t>Impact</w:t>
            </w:r>
          </w:p>
        </w:tc>
        <w:tc>
          <w:tcPr>
            <w:tcW w:type="dxa" w:w="2880"/>
            <w:shd w:val="clear" w:color="auto" w:fill="D9E1F2"/>
          </w:tcPr>
          <w:p>
            <w:r>
              <w:rPr>
                <w:b/>
                <w:sz w:val="18"/>
              </w:rPr>
              <w:t>Mitigation</w:t>
            </w:r>
          </w:p>
        </w:tc>
        <w:tc>
          <w:tcPr>
            <w:tcW w:type="dxa" w:w="1008"/>
            <w:shd w:val="clear" w:color="auto" w:fill="D9E1F2"/>
          </w:tcPr>
          <w:p>
            <w:r>
              <w:rPr>
                <w:b/>
                <w:sz w:val="18"/>
              </w:rPr>
              <w:t>Owner</w:t>
            </w:r>
          </w:p>
        </w:tc>
      </w:tr>
      <w:tr>
        <w:tc>
          <w:tcPr>
            <w:tcW w:type="dxa" w:w="576"/>
          </w:tcPr>
          <w:p>
            <w:pPr>
              <w:jc w:val="center"/>
            </w:pPr>
            <w:r>
              <w:rPr>
                <w:b w:val="0"/>
                <w:sz w:val="18"/>
              </w:rPr>
              <w:t>R-01</w:t>
            </w:r>
          </w:p>
        </w:tc>
        <w:tc>
          <w:tcPr>
            <w:tcW w:type="dxa" w:w="2160"/>
          </w:tcPr>
          <w:p>
            <w:r>
              <w:rPr>
                <w:b w:val="0"/>
                <w:sz w:val="18"/>
              </w:rPr>
              <w:t>Low TRL ISR sensor (payload) fails to meet performance or schedule during prototype leading to integration delays.</w:t>
            </w:r>
          </w:p>
        </w:tc>
        <w:tc>
          <w:tcPr>
            <w:tcW w:type="dxa" w:w="1080"/>
          </w:tcPr>
          <w:p>
            <w:pPr>
              <w:jc w:val="center"/>
            </w:pPr>
            <w:r>
              <w:rPr>
                <w:b w:val="0"/>
                <w:sz w:val="18"/>
              </w:rPr>
              <w:t>High</w:t>
            </w:r>
          </w:p>
        </w:tc>
        <w:tc>
          <w:tcPr>
            <w:tcW w:type="dxa" w:w="936"/>
          </w:tcPr>
          <w:p>
            <w:pPr>
              <w:jc w:val="center"/>
            </w:pPr>
            <w:r>
              <w:rPr>
                <w:b w:val="0"/>
                <w:sz w:val="18"/>
              </w:rPr>
              <w:t>High</w:t>
            </w:r>
          </w:p>
        </w:tc>
        <w:tc>
          <w:tcPr>
            <w:tcW w:type="dxa" w:w="2880"/>
          </w:tcPr>
          <w:p>
            <w:r>
              <w:rPr>
                <w:b w:val="0"/>
                <w:sz w:val="18"/>
              </w:rPr>
              <w:t>Fund parallel risk-reduction contracts for sensor component maturation, require incremental performance gates at 30/60/90 days, prioritize open interfaces so alternate sensors can be swapped quickly.</w:t>
            </w:r>
          </w:p>
        </w:tc>
        <w:tc>
          <w:tcPr>
            <w:tcW w:type="dxa" w:w="1008"/>
          </w:tcPr>
          <w:p>
            <w:r>
              <w:rPr>
                <w:b w:val="0"/>
                <w:sz w:val="18"/>
              </w:rPr>
              <w:t>Engineering Director / Sensor IPT Lead</w:t>
            </w:r>
          </w:p>
        </w:tc>
      </w:tr>
      <w:tr>
        <w:tc>
          <w:tcPr>
            <w:tcW w:type="dxa" w:w="576"/>
          </w:tcPr>
          <w:p>
            <w:pPr>
              <w:jc w:val="center"/>
            </w:pPr>
            <w:r>
              <w:rPr>
                <w:b w:val="0"/>
                <w:sz w:val="18"/>
              </w:rPr>
              <w:t>R-02</w:t>
            </w:r>
          </w:p>
        </w:tc>
        <w:tc>
          <w:tcPr>
            <w:tcW w:type="dxa" w:w="2160"/>
          </w:tcPr>
          <w:p>
            <w:r>
              <w:rPr>
                <w:b w:val="0"/>
                <w:sz w:val="18"/>
              </w:rPr>
              <w:t>Communications processor hardware/software is low TRL and cannot meet contested environment performance or spectrum/security requirements.</w:t>
            </w:r>
          </w:p>
        </w:tc>
        <w:tc>
          <w:tcPr>
            <w:tcW w:type="dxa" w:w="1080"/>
          </w:tcPr>
          <w:p>
            <w:pPr>
              <w:jc w:val="center"/>
            </w:pPr>
            <w:r>
              <w:rPr>
                <w:b w:val="0"/>
                <w:sz w:val="18"/>
              </w:rPr>
              <w:t>Medium</w:t>
            </w:r>
          </w:p>
        </w:tc>
        <w:tc>
          <w:tcPr>
            <w:tcW w:type="dxa" w:w="936"/>
          </w:tcPr>
          <w:p>
            <w:pPr>
              <w:jc w:val="center"/>
            </w:pPr>
            <w:r>
              <w:rPr>
                <w:b w:val="0"/>
                <w:sz w:val="18"/>
              </w:rPr>
              <w:t>High</w:t>
            </w:r>
          </w:p>
        </w:tc>
        <w:tc>
          <w:tcPr>
            <w:tcW w:type="dxa" w:w="2880"/>
          </w:tcPr>
          <w:p>
            <w:r>
              <w:rPr>
                <w:b w:val="0"/>
                <w:sz w:val="18"/>
              </w:rPr>
              <w:t>Use staged integration with lab and RF range testing prior to flight, require suppliers to demonstrate FACE/OCI compatibility, and maintain a COTS fallback supplier path.</w:t>
            </w:r>
          </w:p>
        </w:tc>
        <w:tc>
          <w:tcPr>
            <w:tcW w:type="dxa" w:w="1008"/>
          </w:tcPr>
          <w:p>
            <w:r>
              <w:rPr>
                <w:b w:val="0"/>
                <w:sz w:val="18"/>
              </w:rPr>
              <w:t>Communications IPT Lead</w:t>
            </w:r>
          </w:p>
        </w:tc>
      </w:tr>
      <w:tr>
        <w:tc>
          <w:tcPr>
            <w:tcW w:type="dxa" w:w="576"/>
          </w:tcPr>
          <w:p>
            <w:pPr>
              <w:jc w:val="center"/>
            </w:pPr>
            <w:r>
              <w:rPr>
                <w:b w:val="0"/>
                <w:sz w:val="18"/>
              </w:rPr>
              <w:t>R-03</w:t>
            </w:r>
          </w:p>
        </w:tc>
        <w:tc>
          <w:tcPr>
            <w:tcW w:type="dxa" w:w="2160"/>
          </w:tcPr>
          <w:p>
            <w:r>
              <w:rPr>
                <w:b w:val="0"/>
                <w:sz w:val="18"/>
              </w:rPr>
              <w:t>Schedule risk due to aggressive &lt;18 month production timeline; procurement and test windows slip.</w:t>
            </w:r>
          </w:p>
        </w:tc>
        <w:tc>
          <w:tcPr>
            <w:tcW w:type="dxa" w:w="1080"/>
          </w:tcPr>
          <w:p>
            <w:pPr>
              <w:jc w:val="center"/>
            </w:pPr>
            <w:r>
              <w:rPr>
                <w:b w:val="0"/>
                <w:sz w:val="18"/>
              </w:rPr>
              <w:t>High</w:t>
            </w:r>
          </w:p>
        </w:tc>
        <w:tc>
          <w:tcPr>
            <w:tcW w:type="dxa" w:w="936"/>
          </w:tcPr>
          <w:p>
            <w:pPr>
              <w:jc w:val="center"/>
            </w:pPr>
            <w:r>
              <w:rPr>
                <w:b w:val="0"/>
                <w:sz w:val="18"/>
              </w:rPr>
              <w:t>High</w:t>
            </w:r>
          </w:p>
        </w:tc>
        <w:tc>
          <w:tcPr>
            <w:tcW w:type="dxa" w:w="2880"/>
          </w:tcPr>
          <w:p>
            <w:r>
              <w:rPr>
                <w:b w:val="0"/>
                <w:sz w:val="18"/>
              </w:rPr>
              <w:t>Adopt modular contracts with fixed-price prototyping, parallel test events, use heritage subsystems for airframe/propulsion to shorten qualification, and hold weekly program-level schedule reviews with stakeholders.</w:t>
            </w:r>
          </w:p>
        </w:tc>
        <w:tc>
          <w:tcPr>
            <w:tcW w:type="dxa" w:w="1008"/>
          </w:tcPr>
          <w:p>
            <w:r>
              <w:rPr>
                <w:b w:val="0"/>
                <w:sz w:val="18"/>
              </w:rPr>
              <w:t>Program Manager</w:t>
            </w:r>
          </w:p>
        </w:tc>
      </w:tr>
      <w:tr>
        <w:tc>
          <w:tcPr>
            <w:tcW w:type="dxa" w:w="576"/>
          </w:tcPr>
          <w:p>
            <w:pPr>
              <w:jc w:val="center"/>
            </w:pPr>
            <w:r>
              <w:rPr>
                <w:b w:val="0"/>
                <w:sz w:val="18"/>
              </w:rPr>
              <w:t>R-04</w:t>
            </w:r>
          </w:p>
        </w:tc>
        <w:tc>
          <w:tcPr>
            <w:tcW w:type="dxa" w:w="2160"/>
          </w:tcPr>
          <w:p>
            <w:r>
              <w:rPr>
                <w:b w:val="0"/>
                <w:sz w:val="18"/>
              </w:rPr>
              <w:t>Regulatory and safety certification issues associated with lethal payload employment and safety-critical flight systems.</w:t>
            </w:r>
          </w:p>
        </w:tc>
        <w:tc>
          <w:tcPr>
            <w:tcW w:type="dxa" w:w="1080"/>
          </w:tcPr>
          <w:p>
            <w:pPr>
              <w:jc w:val="center"/>
            </w:pPr>
            <w:r>
              <w:rPr>
                <w:b w:val="0"/>
                <w:sz w:val="18"/>
              </w:rPr>
              <w:t>Medium</w:t>
            </w:r>
          </w:p>
        </w:tc>
        <w:tc>
          <w:tcPr>
            <w:tcW w:type="dxa" w:w="936"/>
          </w:tcPr>
          <w:p>
            <w:pPr>
              <w:jc w:val="center"/>
            </w:pPr>
            <w:r>
              <w:rPr>
                <w:b w:val="0"/>
                <w:sz w:val="18"/>
              </w:rPr>
              <w:t>High</w:t>
            </w:r>
          </w:p>
        </w:tc>
        <w:tc>
          <w:tcPr>
            <w:tcW w:type="dxa" w:w="2880"/>
          </w:tcPr>
          <w:p>
            <w:r>
              <w:rPr>
                <w:b w:val="0"/>
                <w:sz w:val="18"/>
              </w:rPr>
              <w:t>Engage legal, safety, and rules-of-engagement SMEs early; define approved safety cases and hardware interlocks; require suppliers to provide evidence of safety processes and meet MIL-STD-882E hazard controls.</w:t>
            </w:r>
          </w:p>
        </w:tc>
        <w:tc>
          <w:tcPr>
            <w:tcW w:type="dxa" w:w="1008"/>
          </w:tcPr>
          <w:p>
            <w:r>
              <w:rPr>
                <w:b w:val="0"/>
                <w:sz w:val="18"/>
              </w:rPr>
              <w:t>Safety Manager / Legal Counsel</w:t>
            </w:r>
          </w:p>
        </w:tc>
      </w:tr>
      <w:tr>
        <w:tc>
          <w:tcPr>
            <w:tcW w:type="dxa" w:w="576"/>
          </w:tcPr>
          <w:p>
            <w:pPr>
              <w:jc w:val="center"/>
            </w:pPr>
            <w:r>
              <w:rPr>
                <w:b w:val="0"/>
                <w:sz w:val="18"/>
              </w:rPr>
              <w:t>R-05</w:t>
            </w:r>
          </w:p>
        </w:tc>
        <w:tc>
          <w:tcPr>
            <w:tcW w:type="dxa" w:w="2160"/>
          </w:tcPr>
          <w:p>
            <w:r>
              <w:rPr>
                <w:b w:val="0"/>
                <w:sz w:val="18"/>
              </w:rPr>
              <w:t>Supply chain and obsolescence risk for ISR sensor components leading to sustainment tail gaps.</w:t>
            </w:r>
          </w:p>
        </w:tc>
        <w:tc>
          <w:tcPr>
            <w:tcW w:type="dxa" w:w="1080"/>
          </w:tcPr>
          <w:p>
            <w:pPr>
              <w:jc w:val="center"/>
            </w:pPr>
            <w:r>
              <w:rPr>
                <w:b w:val="0"/>
                <w:sz w:val="18"/>
              </w:rPr>
              <w:t>Medium</w:t>
            </w:r>
          </w:p>
        </w:tc>
        <w:tc>
          <w:tcPr>
            <w:tcW w:type="dxa" w:w="936"/>
          </w:tcPr>
          <w:p>
            <w:pPr>
              <w:jc w:val="center"/>
            </w:pPr>
            <w:r>
              <w:rPr>
                <w:b w:val="0"/>
                <w:sz w:val="18"/>
              </w:rPr>
              <w:t>Medium</w:t>
            </w:r>
          </w:p>
        </w:tc>
        <w:tc>
          <w:tcPr>
            <w:tcW w:type="dxa" w:w="2880"/>
          </w:tcPr>
          <w:p>
            <w:r>
              <w:rPr>
                <w:b w:val="0"/>
                <w:sz w:val="18"/>
              </w:rPr>
              <w:t>Mandate vendor obsolescence plans, maintain qualified alternate suppliers, require tech data and source lists under contract, and stock critical spares for initial fielding.</w:t>
            </w:r>
          </w:p>
        </w:tc>
        <w:tc>
          <w:tcPr>
            <w:tcW w:type="dxa" w:w="1008"/>
          </w:tcPr>
          <w:p>
            <w:r>
              <w:rPr>
                <w:b w:val="0"/>
                <w:sz w:val="18"/>
              </w:rPr>
              <w:t>Sustainment Lead / Contracting Officer</w:t>
            </w:r>
          </w:p>
        </w:tc>
      </w:tr>
      <w:tr>
        <w:tc>
          <w:tcPr>
            <w:tcW w:type="dxa" w:w="576"/>
          </w:tcPr>
          <w:p>
            <w:pPr>
              <w:jc w:val="center"/>
            </w:pPr>
            <w:r>
              <w:rPr>
                <w:b w:val="0"/>
                <w:sz w:val="18"/>
              </w:rPr>
              <w:t>R-06</w:t>
            </w:r>
          </w:p>
        </w:tc>
        <w:tc>
          <w:tcPr>
            <w:tcW w:type="dxa" w:w="2160"/>
          </w:tcPr>
          <w:p>
            <w:r>
              <w:rPr>
                <w:b w:val="0"/>
                <w:sz w:val="18"/>
              </w:rPr>
              <w:t>Integration risk across MOSA boundaries leading to unexpected interface mismatches or performance degradation.</w:t>
            </w:r>
          </w:p>
        </w:tc>
        <w:tc>
          <w:tcPr>
            <w:tcW w:type="dxa" w:w="1080"/>
          </w:tcPr>
          <w:p>
            <w:pPr>
              <w:jc w:val="center"/>
            </w:pPr>
            <w:r>
              <w:rPr>
                <w:b w:val="0"/>
                <w:sz w:val="18"/>
              </w:rPr>
              <w:t>Medium</w:t>
            </w:r>
          </w:p>
        </w:tc>
        <w:tc>
          <w:tcPr>
            <w:tcW w:type="dxa" w:w="936"/>
          </w:tcPr>
          <w:p>
            <w:pPr>
              <w:jc w:val="center"/>
            </w:pPr>
            <w:r>
              <w:rPr>
                <w:b w:val="0"/>
                <w:sz w:val="18"/>
              </w:rPr>
              <w:t>Medium</w:t>
            </w:r>
          </w:p>
        </w:tc>
        <w:tc>
          <w:tcPr>
            <w:tcW w:type="dxa" w:w="2880"/>
          </w:tcPr>
          <w:p>
            <w:r>
              <w:rPr>
                <w:b w:val="0"/>
                <w:sz w:val="18"/>
              </w:rPr>
              <w:t>Enforce OCI/FACE-based interface contracts, require supplier participation in MOSA repository and reference implementations, run integration test harnesses early in the prototyping phase.</w:t>
            </w:r>
          </w:p>
        </w:tc>
        <w:tc>
          <w:tcPr>
            <w:tcW w:type="dxa" w:w="1008"/>
          </w:tcPr>
          <w:p>
            <w:r>
              <w:rPr>
                <w:b w:val="0"/>
                <w:sz w:val="18"/>
              </w:rPr>
              <w:t>MOSA Lead / Systems Engineering</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