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Request for Information (AI-Assisted)</w:t>
      </w:r>
    </w:p>
    <w:p>
      <w:pPr>
        <w:spacing w:before="160"/>
        <w:jc w:val="center"/>
      </w:pPr>
      <w:r>
        <w:rPr>
          <w:sz w:val="22"/>
        </w:rPr>
        <w:t>March 02, 2026</w:t>
      </w:r>
    </w:p>
    <w:p>
      <w:r>
        <w:br w:type="page"/>
      </w:r>
    </w:p>
    <w:p>
      <w:pPr>
        <w:pStyle w:val="Heading1"/>
        <w:spacing w:before="0" w:after="160"/>
      </w:pPr>
      <w:r>
        <w:t>1. Document Overview</w:t>
      </w:r>
    </w:p>
    <w:p>
      <w:r>
        <w:t>This RFI solicits industry input to inform a rapid acquisition of the Test Program Class 1 small UAS: an ISR-focused, attritable platform with secondary missions of lethal payload delivery and functioning as a communications node. The intent is to define MOSA-aligned requirements, assess industry capability to deliver modular systems at scale, and inform near-term production and data rights decisions for a program expected to move to production rapidly (likely under 18 months).</w:t>
      </w:r>
    </w:p>
    <w:p>
      <w:r>
        <w:br w:type="page"/>
      </w:r>
    </w:p>
    <w:p>
      <w:pPr>
        <w:pStyle w:val="Heading1"/>
        <w:spacing w:before="0" w:after="160"/>
      </w:pPr>
      <w:r>
        <w:t>2. RFI Purpose</w:t>
      </w:r>
    </w:p>
    <w:p>
      <w:r>
        <w:t>This RFI is issued for market research to assess commercially available modular small UAS solutions, inform future procurement decisions, and establish MOSA and data rights needs for rapid fielding. The program expects UAS to be compliant with or demonstrate a path to compliance with applicable statutory requirements (e.g., 2020 NDAA Sec. 848; 2023 NDAA Sec. 817; American Security Drone Act of 2023 / 2024 NDAA PL 118-31 Sec. 1821) as described in program guidance.</w:t>
      </w:r>
    </w:p>
    <w:p>
      <w:r>
        <w:br w:type="page"/>
      </w:r>
    </w:p>
    <w:p>
      <w:pPr>
        <w:pStyle w:val="Heading1"/>
        <w:spacing w:before="0" w:after="160"/>
      </w:pPr>
      <w:r>
        <w:t>3. Program Context</w:t>
      </w:r>
    </w:p>
    <w:p>
      <w:r>
        <w:t>Program name: Test Program. This is a Class 1 small UAS intended primarily as an ISR platform with explicit secondary missions of lethal payload delivery and operation as a communications node. The program is flagged as Attritable, Sustainment Tail, Software-Intensive, Mission-Critical, and Safety-Critical. Estimated development cost and production unit cost are provided in program planning (Estimated Development Cost: $150,000M; Production Unit Cost: $4,500M). The program will be deployed with forward deployed units to perform reconnaissance functions and may also carry lethal payloads or act as a communications node in contested environments. Key stakeholders include the user, contracting, budget authorities, engineers, and program managers. Heritage analogs for this effort include the Raven and Puma aircraft. Technical challenge areas called out by the program are the ISR sensor and the communications processor, both characterized as low TRL. The program requires the ability to buy a base platform and subsequently integrate third-party sensors, lethal payloads, and communications equipment under MOSA scenarios. Known software standards for the program are OCI and FACE; known payload architecture/standard identified is MOD Payload. The program aims for very rapid fielding and production decisions informed by industry capability, modular interfaces, and data rights/licensing approaches.</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Modular hardware and software architecture that permits field integration and removal of payloads (sensors, lethal payloads, communications modules) without vendor intervention, consistent with MOD Payload compliant payloads and Modular System Interfaces (MSI).</w:t>
      </w:r>
    </w:p>
    <w:p>
      <w:pPr>
        <w:pStyle w:val="ListBullet"/>
      </w:pPr>
      <w:r>
        <w:t>All payload modules (ISR sensor payload, communications payload, lethal payload) must expose fully defined interfaces and an Interface Control Document (ICD) to support third-party integration.</w:t>
      </w:r>
    </w:p>
    <w:p>
      <w:pPr>
        <w:pStyle w:val="ListBullet"/>
      </w:pPr>
      <w:r>
        <w:t>Software interfaces and portability shall follow OCI and FACE standards where applicable for the flight control computer, GCS, and payload software components to support rapid rehost/upgrade and prevent vendor lock-in.</w:t>
      </w:r>
    </w:p>
    <w:p>
      <w:pPr>
        <w:pStyle w:val="ListBullet"/>
      </w:pPr>
      <w:r>
        <w:t>Offerors must describe a data rights and licensing strategy that enables government modification, repair, and reuse of modules consistent with the program desire to repair and modify systems without vendor involvement.</w:t>
      </w:r>
    </w:p>
    <w:p>
      <w:pPr>
        <w:pStyle w:val="ListBullet"/>
      </w:pPr>
      <w:r>
        <w:t>Provide a MOSA compliance matrix mapping each module to required interfaces, standards (MOD Payload, OCI, FACE), software component boundaries, and expected deliverable artifacts (ICD, APIs, test procedures).</w:t>
      </w:r>
    </w:p>
    <w:p>
      <w:pPr>
        <w:pStyle w:val="ListBullet"/>
      </w:pPr>
      <w:r>
        <w:t>Design for high-volume, low-cost production and module reuse: modular extraction and reuse of serviceable modules following attritable losses to reduce lifecycle cost and sustainment tail.</w:t>
      </w:r>
    </w:p>
    <w:p>
      <w:pPr>
        <w:pStyle w:val="ListBullet"/>
      </w:pPr>
      <w:r>
        <w:t>Demonstrate a path to statutory compliance (NDAA/ASDA citations above) including cybersecurity and supply chain assurances for software-intensive elements.</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20"/>
              </w:rPr>
              <w:t>Module</w:t>
            </w:r>
          </w:p>
        </w:tc>
        <w:tc>
          <w:tcPr>
            <w:tcW w:type="dxa" w:w="1728"/>
            <w:shd w:val="clear" w:color="auto" w:fill="D9E1F2"/>
          </w:tcPr>
          <w:p>
            <w:r>
              <w:rPr>
                <w:b/>
                <w:sz w:val="20"/>
              </w:rPr>
              <w:t>Rationale</w:t>
            </w:r>
          </w:p>
        </w:tc>
        <w:tc>
          <w:tcPr>
            <w:tcW w:type="dxa" w:w="1440"/>
            <w:shd w:val="clear" w:color="auto" w:fill="D9E1F2"/>
          </w:tcPr>
          <w:p>
            <w:r>
              <w:rPr>
                <w:b/>
                <w:sz w:val="20"/>
              </w:rPr>
              <w:t>Key Interfaces</w:t>
            </w:r>
          </w:p>
        </w:tc>
        <w:tc>
          <w:tcPr>
            <w:tcW w:type="dxa" w:w="1296"/>
            <w:shd w:val="clear" w:color="auto" w:fill="D9E1F2"/>
          </w:tcPr>
          <w:p>
            <w:r>
              <w:rPr>
                <w:b/>
                <w:sz w:val="20"/>
              </w:rPr>
              <w:t>Standards</w:t>
            </w:r>
          </w:p>
        </w:tc>
        <w:tc>
          <w:tcPr>
            <w:tcW w:type="dxa" w:w="864"/>
            <w:shd w:val="clear" w:color="auto" w:fill="D9E1F2"/>
          </w:tcPr>
          <w:p>
            <w:r>
              <w:rPr>
                <w:b/>
                <w:sz w:val="20"/>
              </w:rPr>
              <w:t>Tech Risk</w:t>
            </w:r>
          </w:p>
        </w:tc>
        <w:tc>
          <w:tcPr>
            <w:tcW w:type="dxa" w:w="1152"/>
            <w:shd w:val="clear" w:color="auto" w:fill="D9E1F2"/>
          </w:tcPr>
          <w:p>
            <w:r>
              <w:rPr>
                <w:b/>
                <w:sz w:val="20"/>
              </w:rPr>
              <w:t>Obsolescence Risk</w:t>
            </w:r>
          </w:p>
        </w:tc>
        <w:tc>
          <w:tcPr>
            <w:tcW w:type="dxa" w:w="864"/>
            <w:shd w:val="clear" w:color="auto" w:fill="D9E1F2"/>
          </w:tcPr>
          <w:p>
            <w:r>
              <w:rPr>
                <w:b/>
                <w:sz w:val="20"/>
              </w:rPr>
              <w:t>COTS Candidate</w:t>
            </w:r>
          </w:p>
        </w:tc>
      </w:tr>
      <w:tr>
        <w:tc>
          <w:tcPr>
            <w:tcW w:type="dxa" w:w="1296"/>
          </w:tcPr>
          <w:p>
            <w:r>
              <w:rPr>
                <w:b w:val="0"/>
                <w:sz w:val="20"/>
              </w:rPr>
              <w:t>airframe</w:t>
            </w:r>
          </w:p>
        </w:tc>
        <w:tc>
          <w:tcPr>
            <w:tcW w:type="dxa" w:w="1728"/>
          </w:tcPr>
          <w:p>
            <w:r>
              <w:rPr>
                <w:b w:val="0"/>
                <w:sz w:val="20"/>
              </w:rPr>
              <w:t>Primary structural and aerodynamic element of the Class 1 sUAS; baseline vehicle to host modular payloads and subsystems.</w:t>
            </w:r>
          </w:p>
        </w:tc>
        <w:tc>
          <w:tcPr>
            <w:tcW w:type="dxa" w:w="1440"/>
          </w:tcPr>
          <w:p>
            <w:r>
              <w:rPr>
                <w:b w:val="0"/>
                <w:sz w:val="20"/>
              </w:rPr>
              <w:t>MOD Payload mechanical and electrical mounting interface; power and data connection to flight control computer; MSI/schema for payload integration.</w:t>
            </w:r>
          </w:p>
        </w:tc>
        <w:tc>
          <w:tcPr>
            <w:tcW w:type="dxa" w:w="1296"/>
          </w:tcPr>
          <w:p>
            <w:r>
              <w:rPr>
                <w:b w:val="0"/>
                <w:sz w:val="20"/>
              </w:rPr>
              <w:t>MOD Payload; OCI/FACE for software interfaces where applicable</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propulsion unit</w:t>
            </w:r>
          </w:p>
        </w:tc>
        <w:tc>
          <w:tcPr>
            <w:tcW w:type="dxa" w:w="1728"/>
          </w:tcPr>
          <w:p>
            <w:r>
              <w:rPr>
                <w:b w:val="0"/>
                <w:sz w:val="20"/>
              </w:rPr>
              <w:t>Provides required thrust/endurance for the attritable sUAS, and must be serviceable to enable reuse of other modules after attritable events.</w:t>
            </w:r>
          </w:p>
        </w:tc>
        <w:tc>
          <w:tcPr>
            <w:tcW w:type="dxa" w:w="1440"/>
          </w:tcPr>
          <w:p>
            <w:r>
              <w:rPr>
                <w:b w:val="0"/>
                <w:sz w:val="20"/>
              </w:rPr>
              <w:t>Mechanical mount to airframe; electrical power and control interfaces to flight control computer; thermal/clearance envelopes defined in ICD.</w:t>
            </w:r>
          </w:p>
        </w:tc>
        <w:tc>
          <w:tcPr>
            <w:tcW w:type="dxa" w:w="1296"/>
          </w:tcPr>
          <w:p>
            <w:r>
              <w:rPr>
                <w:b w:val="0"/>
                <w:sz w:val="20"/>
              </w:rPr>
              <w:t>MOD Payload (mechanical/electrical interface guidance); OCI/FACE where propulsion control software interfaces exist</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battery</w:t>
            </w:r>
          </w:p>
        </w:tc>
        <w:tc>
          <w:tcPr>
            <w:tcW w:type="dxa" w:w="1728"/>
          </w:tcPr>
          <w:p>
            <w:r>
              <w:rPr>
                <w:b w:val="0"/>
                <w:sz w:val="20"/>
              </w:rPr>
              <w:t>Primary energy source enabling mission endurance; must be replaceable and support rapid turnaround in field operations.</w:t>
            </w:r>
          </w:p>
        </w:tc>
        <w:tc>
          <w:tcPr>
            <w:tcW w:type="dxa" w:w="1440"/>
          </w:tcPr>
          <w:p>
            <w:r>
              <w:rPr>
                <w:b w:val="0"/>
                <w:sz w:val="20"/>
              </w:rPr>
              <w:t>Standardized power connector and battery management interface to flight control computer; mechanical retention interface.</w:t>
            </w:r>
          </w:p>
        </w:tc>
        <w:tc>
          <w:tcPr>
            <w:tcW w:type="dxa" w:w="1296"/>
          </w:tcPr>
          <w:p>
            <w:r>
              <w:rPr>
                <w:b w:val="0"/>
                <w:sz w:val="20"/>
              </w:rPr>
              <w:t>MOD Payload (power/discrete connector standards as defined in MSI); OCI/FACE for battery management software interfaces where applicable</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flight control computer</w:t>
            </w:r>
          </w:p>
        </w:tc>
        <w:tc>
          <w:tcPr>
            <w:tcW w:type="dxa" w:w="1728"/>
          </w:tcPr>
          <w:p>
            <w:r>
              <w:rPr>
                <w:b w:val="0"/>
                <w:sz w:val="20"/>
              </w:rPr>
              <w:t>Central avionics and software stack for navigation, autonomy, and mission management; software-intensive and mission-critical.</w:t>
            </w:r>
          </w:p>
        </w:tc>
        <w:tc>
          <w:tcPr>
            <w:tcW w:type="dxa" w:w="1440"/>
          </w:tcPr>
          <w:p>
            <w:r>
              <w:rPr>
                <w:b w:val="0"/>
                <w:sz w:val="20"/>
              </w:rPr>
              <w:t>Bus-level data interfaces to payloads (MOD Payload data and control paths), power and control interfaces to propulsion and battery systems, GCS link using defined datalink standards.</w:t>
            </w:r>
          </w:p>
        </w:tc>
        <w:tc>
          <w:tcPr>
            <w:tcW w:type="dxa" w:w="1296"/>
          </w:tcPr>
          <w:p>
            <w:r>
              <w:rPr>
                <w:b w:val="0"/>
                <w:sz w:val="20"/>
              </w:rPr>
              <w:t>OCI and FACE for software/component architecture; MOD Payload for payload interface</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lethal payload</w:t>
            </w:r>
          </w:p>
        </w:tc>
        <w:tc>
          <w:tcPr>
            <w:tcW w:type="dxa" w:w="1728"/>
          </w:tcPr>
          <w:p>
            <w:r>
              <w:rPr>
                <w:b w:val="0"/>
                <w:sz w:val="20"/>
              </w:rPr>
              <w:t>Secondary mission capability; program identifies lethal payload as a commercial solution candidate.</w:t>
            </w:r>
          </w:p>
        </w:tc>
        <w:tc>
          <w:tcPr>
            <w:tcW w:type="dxa" w:w="1440"/>
          </w:tcPr>
          <w:p>
            <w:r>
              <w:rPr>
                <w:b w:val="0"/>
                <w:sz w:val="20"/>
              </w:rPr>
              <w:t>MOD Payload mechanical/electrical mounting and weapon-safe arming interfaces; command/control and telemetry interfaces to flight control computer per ICD.</w:t>
            </w:r>
          </w:p>
        </w:tc>
        <w:tc>
          <w:tcPr>
            <w:tcW w:type="dxa" w:w="1296"/>
          </w:tcPr>
          <w:p>
            <w:r>
              <w:rPr>
                <w:b w:val="0"/>
                <w:sz w:val="20"/>
              </w:rPr>
              <w:t>MOD Payload; OCI/FACE for any software components</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Yes</w:t>
            </w:r>
          </w:p>
        </w:tc>
      </w:tr>
      <w:tr>
        <w:tc>
          <w:tcPr>
            <w:tcW w:type="dxa" w:w="1296"/>
          </w:tcPr>
          <w:p>
            <w:r>
              <w:rPr>
                <w:b w:val="0"/>
                <w:sz w:val="20"/>
              </w:rPr>
              <w:t>communications payload</w:t>
            </w:r>
          </w:p>
        </w:tc>
        <w:tc>
          <w:tcPr>
            <w:tcW w:type="dxa" w:w="1728"/>
          </w:tcPr>
          <w:p>
            <w:r>
              <w:rPr>
                <w:b w:val="0"/>
                <w:sz w:val="20"/>
              </w:rPr>
              <w:t>Enables the sUAS to act as a communications node in contested environments; communications processor identified as low TRL.</w:t>
            </w:r>
          </w:p>
        </w:tc>
        <w:tc>
          <w:tcPr>
            <w:tcW w:type="dxa" w:w="1440"/>
          </w:tcPr>
          <w:p>
            <w:r>
              <w:rPr>
                <w:b w:val="0"/>
                <w:sz w:val="20"/>
              </w:rPr>
              <w:t>Data and control interfaces to flight control computer and payload bus; antenna mechanical mounts and RF interfaces; power and thermal interfaces.</w:t>
            </w:r>
          </w:p>
        </w:tc>
        <w:tc>
          <w:tcPr>
            <w:tcW w:type="dxa" w:w="1296"/>
          </w:tcPr>
          <w:p>
            <w:r>
              <w:rPr>
                <w:b w:val="0"/>
                <w:sz w:val="20"/>
              </w:rPr>
              <w:t>MOD Payload for payload packaging and MSI; OCI/FACE for software-defined radio/control where applicable</w:t>
            </w:r>
          </w:p>
        </w:tc>
        <w:tc>
          <w:tcPr>
            <w:tcW w:type="dxa" w:w="864"/>
          </w:tcPr>
          <w:p>
            <w:pPr>
              <w:jc w:val="center"/>
            </w:pPr>
            <w:r>
              <w:rPr>
                <w:b w:val="0"/>
                <w:sz w:val="20"/>
              </w:rPr>
              <w:t>Yes</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ISR sensor payload</w:t>
            </w:r>
          </w:p>
        </w:tc>
        <w:tc>
          <w:tcPr>
            <w:tcW w:type="dxa" w:w="1728"/>
          </w:tcPr>
          <w:p>
            <w:r>
              <w:rPr>
                <w:b w:val="0"/>
                <w:sz w:val="20"/>
              </w:rPr>
              <w:t>Primary mission sensor for reconnaissance, surveillance, and target acquisition; identified as low TRL and an obsolescence candidate.</w:t>
            </w:r>
          </w:p>
        </w:tc>
        <w:tc>
          <w:tcPr>
            <w:tcW w:type="dxa" w:w="1440"/>
          </w:tcPr>
          <w:p>
            <w:r>
              <w:rPr>
                <w:b w:val="0"/>
                <w:sz w:val="20"/>
              </w:rPr>
              <w:t>MOD Payload mechanical/electrical mounting; high-bandwidth data interface to flight control computer/GCS; power and thermal interfaces as defined in ICD.</w:t>
            </w:r>
          </w:p>
        </w:tc>
        <w:tc>
          <w:tcPr>
            <w:tcW w:type="dxa" w:w="1296"/>
          </w:tcPr>
          <w:p>
            <w:r>
              <w:rPr>
                <w:b w:val="0"/>
                <w:sz w:val="20"/>
              </w:rPr>
              <w:t>MOD Payload for payload mechanical/electrical interface; OCI/FACE for sensor software components where applicable</w:t>
            </w:r>
          </w:p>
        </w:tc>
        <w:tc>
          <w:tcPr>
            <w:tcW w:type="dxa" w:w="864"/>
          </w:tcPr>
          <w:p>
            <w:pPr>
              <w:jc w:val="center"/>
            </w:pPr>
            <w:r>
              <w:rPr>
                <w:b w:val="0"/>
                <w:sz w:val="20"/>
              </w:rPr>
              <w:t>Yes</w:t>
            </w:r>
          </w:p>
        </w:tc>
        <w:tc>
          <w:tcPr>
            <w:tcW w:type="dxa" w:w="1152"/>
          </w:tcPr>
          <w:p>
            <w:pPr>
              <w:jc w:val="center"/>
            </w:pPr>
            <w:r>
              <w:rPr>
                <w:b w:val="0"/>
                <w:sz w:val="20"/>
              </w:rPr>
              <w:t>Yes</w:t>
            </w:r>
          </w:p>
        </w:tc>
        <w:tc>
          <w:tcPr>
            <w:tcW w:type="dxa" w:w="864"/>
          </w:tcPr>
          <w:p>
            <w:pPr>
              <w:jc w:val="center"/>
            </w:pPr>
            <w:r>
              <w:rPr>
                <w:b w:val="0"/>
                <w:sz w:val="20"/>
              </w:rPr>
              <w:t>No</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Confirm which of the defined modules you can supply as fully integrated units: airframe, propulsion unit, battery, flight control computer, lethal payload, communications payload, ISR sensor payload. For each, state COTS status and production lead time.</w:t>
      </w:r>
    </w:p>
    <w:p>
      <w:pPr>
        <w:pStyle w:val="ListBullet"/>
      </w:pPr>
      <w:r>
        <w:t>Provide your ICDs, interface definitions, and a MOSA compliance matrix demonstrating MOD Payload, OCI, and FACE conformance (or a defined delta and mitigation plan).</w:t>
      </w:r>
    </w:p>
    <w:p>
      <w:pPr>
        <w:pStyle w:val="ListBullet"/>
      </w:pPr>
      <w:r>
        <w:t>Can you support government removal/installation/repair of modules in the field without vendor support? Describe tools, training, and technical data (e.g., maintenance manuals, parts lists) you will provide to enable this.</w:t>
      </w:r>
    </w:p>
    <w:p>
      <w:pPr>
        <w:pStyle w:val="ListBullet"/>
      </w:pPr>
      <w:r>
        <w:t>Describe technical maturity (TRL) for the ISR sensor and communications processor you propose, including any planned maturation steps, timelines, and risk mitigations for low-TRL components.</w:t>
      </w:r>
    </w:p>
    <w:p>
      <w:pPr>
        <w:pStyle w:val="ListBullet"/>
      </w:pPr>
      <w:r>
        <w:t>State production capacity: ability to deliver an initial quantity of systems by April 2026 and to ramp to larger quantities (example benchmark: up to 10,000 units within 12 months). Indicate current inventory of complete systems available for immediate delivery.</w:t>
      </w:r>
    </w:p>
    <w:p>
      <w:pPr>
        <w:pStyle w:val="ListBullet"/>
      </w:pPr>
      <w:r>
        <w:t>Provide your proposed licensing and data rights approach for software and interface data necessary to support third-party payload integration and government-led repairs/modifications.</w:t>
      </w:r>
    </w:p>
    <w:p>
      <w:pPr>
        <w:pStyle w:val="ListBullet"/>
      </w:pPr>
      <w:r>
        <w:t>List known obsolescence risks for each module, expected service life, and proposed mitigation strategies (e.g., roadmap for sensor refresh, connector/interface stability).</w:t>
      </w:r>
    </w:p>
    <w:p>
      <w:pPr>
        <w:pStyle w:val="ListBullet"/>
      </w:pPr>
      <w:r>
        <w:t>If offering lethal payloads, confirm COTS claim and provide safety, certification, and handling documentation appropriate to a safety-critical, lethal-capable module.</w:t>
      </w:r>
    </w:p>
    <w:p>
      <w:pPr>
        <w:pStyle w:val="ListBullet"/>
      </w:pPr>
      <w:r>
        <w:t>Describe cybersecurity controls for software-intensive modules (flight control computer, communications payload), including supply chain risk management for software and processors.</w:t>
      </w:r>
    </w:p>
    <w:p>
      <w:pPr>
        <w:pStyle w:val="ListBullet"/>
      </w:pPr>
      <w:r>
        <w:t>Provide cost breakdowns at module granularity (airframe, propulsion, battery, flight control computer, ISR payload, communications payload, lethal payload) and cost per unit for a baseline configuration.</w:t>
      </w:r>
    </w:p>
    <w:p>
      <w:r>
        <w:br w:type="page"/>
      </w:r>
    </w:p>
    <w:p>
      <w:pPr>
        <w:pStyle w:val="Heading1"/>
        <w:spacing w:before="0" w:after="160"/>
      </w:pPr>
      <w:r>
        <w:t>7. Requested Deliverables</w:t>
      </w:r>
    </w:p>
    <w:p>
      <w:r>
        <w:t>Please provide the following items in your response:</w:t>
      </w:r>
    </w:p>
    <w:p>
      <w:pPr>
        <w:pStyle w:val="ListBullet"/>
      </w:pPr>
      <w:r>
        <w:t>MOSA compliance matrix mapping modules to interface specs, standards (MOD Payload, OCI, FACE), and required artifact list (ICD, APIs, test procedures).</w:t>
      </w:r>
    </w:p>
    <w:p>
      <w:pPr>
        <w:pStyle w:val="ListBullet"/>
      </w:pPr>
      <w:r>
        <w:t>Interface Control Documents (ICDs) or gate-to-gate interface definitions for each module proposed for potential government-led integration.</w:t>
      </w:r>
    </w:p>
    <w:p>
      <w:pPr>
        <w:pStyle w:val="ListBullet"/>
      </w:pPr>
      <w:r>
        <w:t>Technical Data Package (TDP) and maintenance/repair manuals to enable government repair and module replacement without vendor intervention.</w:t>
      </w:r>
    </w:p>
    <w:p>
      <w:pPr>
        <w:pStyle w:val="ListBullet"/>
      </w:pPr>
      <w:r>
        <w:t>TRL evidence and risk-reduction plan for ISR sensor and communications processor, including schedules to reach needed maturity within the program's rapid timeline.</w:t>
      </w:r>
    </w:p>
    <w:p>
      <w:pPr>
        <w:pStyle w:val="ListBullet"/>
      </w:pPr>
      <w:r>
        <w:t>Production capacity statement with schedule: initial delivery capability and ramp plan (including current inventory of complete systems), plus supply chain risk assessment and mitigation plans.</w:t>
      </w:r>
    </w:p>
    <w:p>
      <w:pPr>
        <w:pStyle w:val="ListBullet"/>
      </w:pPr>
      <w:r>
        <w:t>Proposed data rights and licensing terms for software and interface data necessary for integration, modification, and sustainment by the government.</w:t>
      </w:r>
    </w:p>
    <w:p>
      <w:pPr>
        <w:pStyle w:val="ListBullet"/>
      </w:pPr>
      <w:r>
        <w:t>Safety, handling, and certification documentation for lethal payloads proposed as COTS, and a description of any constraints on fielding/use.</w:t>
      </w:r>
    </w:p>
    <w:p>
      <w:pPr>
        <w:pStyle w:val="ListBullet"/>
      </w:pPr>
      <w:r>
        <w:t>Cybersecurity and supply chain assurance documentation for software-intensive modules (including SBOMs or equivalent where available).</w:t>
      </w:r>
    </w:p>
    <w:p>
      <w:pPr>
        <w:pStyle w:val="ListBullet"/>
      </w:pPr>
      <w:r>
        <w:t>Cost proposal at module and system level (not price for award)—including unit cost, recurring/non-recurring cost drivers, and assumptions for scale to high-volume production.</w:t>
      </w:r>
    </w:p>
    <w:p>
      <w:pPr>
        <w:pStyle w:val="ListBullet"/>
      </w:pPr>
      <w:r>
        <w:t>Test and evaluation plan for verifying modular interfaces, interoperability of third-party MOD Payload-compliant modules, and field-repair procedures.</w:t>
      </w:r>
    </w:p>
    <w:p>
      <w:r>
        <w:br w:type="page"/>
      </w:r>
    </w:p>
    <w:p>
      <w:pPr>
        <w:pStyle w:val="Heading1"/>
        <w:spacing w:before="0" w:after="160"/>
      </w:pPr>
      <w:r>
        <w:t>8. Submission Instructions</w:t>
      </w:r>
    </w:p>
    <w:p>
      <w:pPr>
        <w:pStyle w:val="ListBullet"/>
      </w:pPr>
      <w:r>
        <w:t>Format and submission portal/contact information: Not provided</w:t>
      </w:r>
    </w:p>
    <w:p>
      <w:pPr>
        <w:pStyle w:val="ListBullet"/>
      </w:pPr>
      <w:r>
        <w:t>Response deadline and any page/format limits: Not provided</w:t>
      </w:r>
    </w:p>
    <w:p>
      <w:pPr>
        <w:pStyle w:val="ListBullet"/>
      </w:pPr>
      <w:r>
        <w:t>Point of contact for technical questions: Not provided</w:t>
      </w:r>
    </w:p>
    <w:p>
      <w:pPr>
        <w:pStyle w:val="ListBullet"/>
      </w:pPr>
      <w:r>
        <w:t>Required administrative elements (e.g., proprietary markings, export control notice): Not provided</w:t>
      </w:r>
    </w:p>
    <w:p>
      <w:pPr>
        <w:pStyle w:val="ListBullet"/>
      </w:pPr>
      <w:r>
        <w:t>Requested response elements checklist: include MOSA matrix, ICDs, TDP, production statement, TRL evidence, data rights proposal, cost breakdown, cybersecurity documentation, and safety/certification materials.</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Production capability to deliver an initial quantity of systems by April 2026, with the ability to quickly ramp production and deliver larger quantities up to 10,000 units within 12 months.</w:t>
      </w:r>
    </w:p>
    <w:p>
      <w:pPr>
        <w:pStyle w:val="ListBullet"/>
      </w:pPr>
      <w:r>
        <w:rPr>
          <w:b/>
        </w:rPr>
        <w:t>EXAMPLE for MOSA_RFI.docx</w:t>
      </w:r>
      <w:r>
        <w:t xml:space="preserve"> — Total system cost, to include the following MODULES: air vehicle, multiple MOD Payload compliant payloads for sensors and comms/datalinks, autonomy, AI, ground control station/controller with severable hardware and software modules, navigation, communications equipment, goggles, batteries, charging station, and any other required components.</w:t>
      </w:r>
    </w:p>
    <w:p>
      <w:pPr>
        <w:pStyle w:val="ListBullet"/>
      </w:pPr>
      <w:r>
        <w:rPr>
          <w:b/>
        </w:rPr>
        <w:t>EXAEMPLAR_Acquisition Strategy .docx</w:t>
      </w:r>
      <w:r>
        <w:t xml:space="preserve"> — Due to the MOSA intended for this program, the technical approach will be leverage the existing UAS Family of Systems Architecture that has been robustly vetted with industry during past UAS programs and as such has resulted in much of industry aligning commercial solutions with this architecture.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