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8"/>
        </w:rPr>
        <w:t>SEP Smoke Test</w:t>
      </w:r>
    </w:p>
    <w:p>
      <w:pPr>
        <w:spacing w:before="240"/>
        <w:jc w:val="center"/>
      </w:pPr>
      <w:r>
        <w:rPr>
          <w:color w:val="444444"/>
          <w:sz w:val="32"/>
        </w:rPr>
        <w:t>Systems Engineering Plan (SEP)</w:t>
      </w:r>
    </w:p>
    <w:p>
      <w:pPr>
        <w:spacing w:before="160"/>
        <w:jc w:val="center"/>
      </w:pPr>
      <w:r>
        <w:rPr>
          <w:sz w:val="22"/>
        </w:rPr>
        <w:t>February 27, 2026</w:t>
      </w:r>
    </w:p>
    <w:p>
      <w:r>
        <w:br w:type="page"/>
      </w:r>
    </w:p>
    <w:p>
      <w:pPr>
        <w:pStyle w:val="Heading1"/>
        <w:spacing w:before="0" w:after="160"/>
      </w:pPr>
      <w:r>
        <w:t>1. Introduction</w:t>
      </w:r>
    </w:p>
    <w:p>
      <w:r>
        <w:t>This Systems Engineering Plan (SEP) describes the systems engineering (SE) approach, processes, and activities that will be employed to develop and deliver the SEP Smoke Test program. It is prepared in accordance with the DoD Systems Engineering Plan Preparation Guide v4.1 and supports program execution per DoDI 5000.02.</w:t>
      </w:r>
    </w:p>
    <w:p>
      <w:pPr>
        <w:pStyle w:val="Heading2"/>
        <w:spacing w:before="240" w:after="120"/>
      </w:pPr>
      <w:r>
        <w:t>1.1 Purpose and Scope</w:t>
      </w:r>
    </w:p>
    <w:p>
      <w:r>
        <w:t>This SEP establishes the framework for technical planning, risk management, interface control, requirements management, verification and validation, and implementation of a Modular Open Systems Approach (MOSA) throughout the program lifecycle. It is a living document and will be updated at each major program milestone.</w:t>
      </w:r>
    </w:p>
    <w:p>
      <w:pPr>
        <w:pStyle w:val="Heading2"/>
        <w:spacing w:before="240" w:after="120"/>
      </w:pPr>
      <w:r>
        <w:t>1.2 Program Overview</w:t>
      </w:r>
    </w:p>
    <w:p>
      <w:r>
        <w:t>The SEP Smoke Test program description has not yet been provided.</w:t>
      </w:r>
    </w:p>
    <w:p>
      <w:pPr>
        <w:pStyle w:val="Heading2"/>
        <w:spacing w:before="240" w:after="120"/>
      </w:pPr>
      <w:r>
        <w:t>1.3 Reference Documents</w:t>
      </w:r>
    </w:p>
    <w:p>
      <w:r>
        <w:t>No reference documents have been attached. Reference documents will be identified and incorporated as the program matures.</w:t>
      </w:r>
    </w:p>
    <w:p>
      <w:r>
        <w:br w:type="page"/>
      </w:r>
    </w:p>
    <w:p>
      <w:pPr>
        <w:pStyle w:val="Heading1"/>
        <w:spacing w:before="0" w:after="160"/>
      </w:pPr>
      <w:r>
        <w:t>2. Technical Baseline and Program Description</w:t>
      </w:r>
    </w:p>
    <w:p>
      <w:pPr>
        <w:pStyle w:val="Heading2"/>
        <w:spacing w:before="240" w:after="120"/>
      </w:pPr>
      <w:r>
        <w:t>2.1 System Description</w:t>
      </w:r>
    </w:p>
    <w:p>
      <w:r>
        <w:t>The SEP Smoke Test system description is to be determined.</w:t>
      </w:r>
    </w:p>
    <w:p>
      <w:pPr>
        <w:pStyle w:val="Heading2"/>
        <w:spacing w:before="240" w:after="120"/>
      </w:pPr>
      <w:r>
        <w:t>2.2 Operational Concept (CONOPS)</w:t>
      </w:r>
    </w:p>
    <w:p>
      <w:r>
        <w:t>The SEP Smoke Test system will be employed in accordance with operational requirements established by the warfighter. The Concept of Operations (CONOPS) will be developed in coordination with the user community and will define operational scenarios, mission threads, and system usage patterns.</w:t>
      </w:r>
    </w:p>
    <w:p>
      <w:pPr>
        <w:pStyle w:val="Heading2"/>
        <w:spacing w:before="240" w:after="120"/>
      </w:pPr>
      <w:r>
        <w:t>2.3 Technical Baseline Summary</w:t>
      </w:r>
    </w:p>
    <w:p>
      <w:r>
        <w:t>The following program parameters represent the current technical baseline for planning purposes:</w:t>
      </w:r>
    </w:p>
    <w:p>
      <w:pPr>
        <w:pStyle w:val="ListBullet"/>
      </w:pPr>
      <w:r>
        <w:t>Program Name: SEP Smoke Test</w:t>
      </w:r>
    </w:p>
    <w:p>
      <w:r>
        <w:br w:type="page"/>
      </w:r>
    </w:p>
    <w:p>
      <w:pPr>
        <w:pStyle w:val="Heading1"/>
        <w:spacing w:before="0" w:after="160"/>
      </w:pPr>
      <w:r>
        <w:t>3. Systems Engineering Approach</w:t>
      </w:r>
    </w:p>
    <w:p>
      <w:r>
        <w:t>The program will employ a disciplined Systems Engineering (SE) process consistent with MIL-STD-499C and ISO/IEC/IEEE 15288. SE activities will be integrated with program management through the Integrated Product Team (IPT) structure and governed by the Integrated Master Plan (IMP) and Integrated Master Schedule (IMS).</w:t>
      </w:r>
    </w:p>
    <w:p>
      <w:pPr>
        <w:pStyle w:val="Heading2"/>
        <w:spacing w:before="240" w:after="120"/>
      </w:pPr>
      <w:r>
        <w:t>3.1 SE Process Overview</w:t>
      </w:r>
    </w:p>
    <w:p>
      <w:r>
        <w:t>The SE process will follow a recursive and iterative technical management approach encompassing: stakeholder requirements definition, requirements analysis, architectural design, implementation, integration, verification, validation, and transition. SE processes will be tailored to program risk, complexity, and acquisition phase.</w:t>
      </w:r>
    </w:p>
    <w:p>
      <w:pPr>
        <w:pStyle w:val="Heading2"/>
        <w:spacing w:before="240" w:after="120"/>
      </w:pPr>
      <w:r>
        <w:t>3.2 Technical Planning and Control</w:t>
      </w:r>
    </w:p>
    <w:p>
      <w:r>
        <w:t>Technical planning will be captured in the Systems Engineering Management Plan (SEMP), which will be developed and maintained by the prime contractor and reviewed by the Government SE team. Key technical planning activities include:</w:t>
      </w:r>
    </w:p>
    <w:p>
      <w:pPr>
        <w:pStyle w:val="ListBullet"/>
      </w:pPr>
      <w:r>
        <w:t>Development and maintenance of the IMS with SE milestones</w:t>
      </w:r>
    </w:p>
    <w:p>
      <w:pPr>
        <w:pStyle w:val="ListBullet"/>
      </w:pPr>
      <w:r>
        <w:t>Technical Performance Measure (TPM) identification and tracking</w:t>
      </w:r>
    </w:p>
    <w:p>
      <w:pPr>
        <w:pStyle w:val="ListBullet"/>
      </w:pPr>
      <w:r>
        <w:t>Engineering Change Proposal (ECP) review and disposition</w:t>
      </w:r>
    </w:p>
    <w:p>
      <w:pPr>
        <w:pStyle w:val="ListBullet"/>
      </w:pPr>
      <w:r>
        <w:t>Technical review scheduling and entry/exit criteria enforcement</w:t>
      </w:r>
    </w:p>
    <w:p>
      <w:pPr>
        <w:pStyle w:val="Heading2"/>
        <w:spacing w:before="240" w:after="120"/>
      </w:pPr>
      <w:r>
        <w:t>3.3 Requirements Management</w:t>
      </w:r>
    </w:p>
    <w:p>
      <w:r>
        <w:t>Requirements will be managed using a Government-approved requirements management tool. All system requirements will be traced from source documents through the functional and allocated baselines to test procedures. Requirements volatility will be tracked as a TPM.</w:t>
      </w:r>
    </w:p>
    <w:p>
      <w:pPr>
        <w:pStyle w:val="Heading2"/>
        <w:spacing w:before="240" w:after="120"/>
      </w:pPr>
      <w:r>
        <w:t>3.4 Interface Management</w:t>
      </w:r>
    </w:p>
    <w:p>
      <w:r>
        <w:t>Interface management will be governed through Interface Control Documents (ICDs) and Interface Requirements Specifications (IRSs). The Interface Control Working Group (ICWG) will maintain all external and internal interface definitions.</w:t>
      </w:r>
    </w:p>
    <w:p>
      <w:pPr>
        <w:pStyle w:val="Heading2"/>
        <w:spacing w:before="240" w:after="120"/>
      </w:pPr>
      <w:r>
        <w:t>3.5 Technical Reviews and Audits</w:t>
      </w:r>
    </w:p>
    <w:p>
      <w:r>
        <w:t>Technical reviews will be conducted at key program milestones to assess technical maturity and readiness to proceed. Standard reviews include:</w:t>
      </w:r>
    </w:p>
    <w:tbl>
      <w:tblPr>
        <w:tblStyle w:val="TableGrid"/>
        <w:tblW w:type="auto" w:w="0"/>
        <w:tblLook w:firstColumn="1" w:firstRow="1" w:lastColumn="0" w:lastRow="0" w:noHBand="0" w:noVBand="1" w:val="04A0"/>
      </w:tblPr>
      <w:tblGrid>
        <w:gridCol w:w="4320"/>
        <w:gridCol w:w="4320"/>
      </w:tblGrid>
      <w:tr>
        <w:tc>
          <w:tcPr>
            <w:tcW w:type="dxa" w:w="2880"/>
            <w:shd w:val="clear" w:color="auto" w:fill="D9E1F2"/>
          </w:tcPr>
          <w:p>
            <w:r>
              <w:rPr>
                <w:b/>
                <w:sz w:val="20"/>
              </w:rPr>
              <w:t>Review</w:t>
            </w:r>
          </w:p>
        </w:tc>
        <w:tc>
          <w:tcPr>
            <w:tcW w:type="dxa" w:w="5760"/>
            <w:shd w:val="clear" w:color="auto" w:fill="D9E1F2"/>
          </w:tcPr>
          <w:p>
            <w:r>
              <w:rPr>
                <w:b/>
                <w:sz w:val="20"/>
              </w:rPr>
              <w:t>Purpose</w:t>
            </w:r>
          </w:p>
        </w:tc>
      </w:tr>
      <w:tr>
        <w:tc>
          <w:tcPr>
            <w:tcW w:type="dxa" w:w="2880"/>
          </w:tcPr>
          <w:p>
            <w:r>
              <w:rPr>
                <w:b w:val="0"/>
                <w:sz w:val="20"/>
              </w:rPr>
              <w:t>SRR – System Requirements Review</w:t>
            </w:r>
          </w:p>
        </w:tc>
        <w:tc>
          <w:tcPr>
            <w:tcW w:type="dxa" w:w="5760"/>
          </w:tcPr>
          <w:p>
            <w:r>
              <w:rPr>
                <w:b w:val="0"/>
                <w:sz w:val="20"/>
              </w:rPr>
              <w:t>Confirm completeness and adequacy of system requirements</w:t>
            </w:r>
          </w:p>
        </w:tc>
      </w:tr>
      <w:tr>
        <w:tc>
          <w:tcPr>
            <w:tcW w:type="dxa" w:w="2880"/>
          </w:tcPr>
          <w:p>
            <w:r>
              <w:rPr>
                <w:b w:val="0"/>
                <w:sz w:val="20"/>
              </w:rPr>
              <w:t>SDR – System Design Review</w:t>
            </w:r>
          </w:p>
        </w:tc>
        <w:tc>
          <w:tcPr>
            <w:tcW w:type="dxa" w:w="5760"/>
          </w:tcPr>
          <w:p>
            <w:r>
              <w:rPr>
                <w:b w:val="0"/>
                <w:sz w:val="20"/>
              </w:rPr>
              <w:t>Assess initial architectural design and requirements allocation</w:t>
            </w:r>
          </w:p>
        </w:tc>
      </w:tr>
      <w:tr>
        <w:tc>
          <w:tcPr>
            <w:tcW w:type="dxa" w:w="2880"/>
          </w:tcPr>
          <w:p>
            <w:r>
              <w:rPr>
                <w:b w:val="0"/>
                <w:sz w:val="20"/>
              </w:rPr>
              <w:t>PDR – Preliminary Design Review</w:t>
            </w:r>
          </w:p>
        </w:tc>
        <w:tc>
          <w:tcPr>
            <w:tcW w:type="dxa" w:w="5760"/>
          </w:tcPr>
          <w:p>
            <w:r>
              <w:rPr>
                <w:b w:val="0"/>
                <w:sz w:val="20"/>
              </w:rPr>
              <w:t>Assess preliminary design against requirements and identify risks</w:t>
            </w:r>
          </w:p>
        </w:tc>
      </w:tr>
      <w:tr>
        <w:tc>
          <w:tcPr>
            <w:tcW w:type="dxa" w:w="2880"/>
          </w:tcPr>
          <w:p>
            <w:r>
              <w:rPr>
                <w:b w:val="0"/>
                <w:sz w:val="20"/>
              </w:rPr>
              <w:t>CDR – Critical Design Review</w:t>
            </w:r>
          </w:p>
        </w:tc>
        <w:tc>
          <w:tcPr>
            <w:tcW w:type="dxa" w:w="5760"/>
          </w:tcPr>
          <w:p>
            <w:r>
              <w:rPr>
                <w:b w:val="0"/>
                <w:sz w:val="20"/>
              </w:rPr>
              <w:t>Confirm detailed design is ready for build/code-to</w:t>
            </w:r>
          </w:p>
        </w:tc>
      </w:tr>
      <w:tr>
        <w:tc>
          <w:tcPr>
            <w:tcW w:type="dxa" w:w="2880"/>
          </w:tcPr>
          <w:p>
            <w:r>
              <w:rPr>
                <w:b w:val="0"/>
                <w:sz w:val="20"/>
              </w:rPr>
              <w:t>SVR – System Verification Review</w:t>
            </w:r>
          </w:p>
        </w:tc>
        <w:tc>
          <w:tcPr>
            <w:tcW w:type="dxa" w:w="5760"/>
          </w:tcPr>
          <w:p>
            <w:r>
              <w:rPr>
                <w:b w:val="0"/>
                <w:sz w:val="20"/>
              </w:rPr>
              <w:t>Confirm system meets requirements prior to operational test</w:t>
            </w:r>
          </w:p>
        </w:tc>
      </w:tr>
      <w:tr>
        <w:tc>
          <w:tcPr>
            <w:tcW w:type="dxa" w:w="2880"/>
          </w:tcPr>
          <w:p>
            <w:r>
              <w:rPr>
                <w:b w:val="0"/>
                <w:sz w:val="20"/>
              </w:rPr>
              <w:t>FCA/PCA – Functional/Physical Configuration Audit</w:t>
            </w:r>
          </w:p>
        </w:tc>
        <w:tc>
          <w:tcPr>
            <w:tcW w:type="dxa" w:w="5760"/>
          </w:tcPr>
          <w:p>
            <w:r>
              <w:rPr>
                <w:b w:val="0"/>
                <w:sz w:val="20"/>
              </w:rPr>
              <w:t>Confirm as-built system matches design documentation</w:t>
            </w:r>
          </w:p>
        </w:tc>
      </w:tr>
    </w:tbl>
    <w:p>
      <w:r>
        <w:br w:type="page"/>
      </w:r>
    </w:p>
    <w:p>
      <w:pPr>
        <w:pStyle w:val="Heading1"/>
        <w:spacing w:before="0" w:after="160"/>
      </w:pPr>
      <w:r>
        <w:t>4. Technical Risk Management</w:t>
      </w:r>
    </w:p>
    <w:p>
      <w:r>
        <w:t>The program will implement a continuous risk management process consistent with the DoD Risk, Issue, and Opportunity (RIO) Management Guide. Risks will be identified, assessed, mitigated, and tracked through a formal Risk Register updated at each program review.</w:t>
      </w:r>
    </w:p>
    <w:p>
      <w:pPr>
        <w:pStyle w:val="Heading2"/>
        <w:spacing w:before="240" w:after="120"/>
      </w:pPr>
      <w:r>
        <w:t>4.1 Risk Identification and Assessment</w:t>
      </w:r>
    </w:p>
    <w:p>
      <w:r>
        <w:t>Program-specific technical risks will be identified during system requirements analysis.</w:t>
      </w:r>
    </w:p>
    <w:p>
      <w:pPr>
        <w:pStyle w:val="Heading2"/>
        <w:spacing w:before="240" w:after="120"/>
      </w:pPr>
      <w:r>
        <w:t>4.2 Mitigation Strategies</w:t>
      </w:r>
    </w:p>
    <w:p>
      <w:r>
        <w:t>Risk mitigation will leverage the modular architecture to limit the blast radius of individual technical failures. Standard mitigation approaches include:</w:t>
      </w:r>
    </w:p>
    <w:p>
      <w:pPr>
        <w:pStyle w:val="ListBullet"/>
      </w:pPr>
      <w:r>
        <w:t>Modular design enabling component-level risk containment</w:t>
      </w:r>
    </w:p>
    <w:p>
      <w:pPr>
        <w:pStyle w:val="ListBullet"/>
      </w:pPr>
      <w:r>
        <w:t>Early prototyping and incremental demonstration milestones for high-risk modules</w:t>
      </w:r>
    </w:p>
    <w:p>
      <w:pPr>
        <w:pStyle w:val="ListBullet"/>
      </w:pPr>
      <w:r>
        <w:t>Technology Readiness Level (TRL) tracking with exit criteria at each milestone</w:t>
      </w:r>
    </w:p>
    <w:p>
      <w:pPr>
        <w:pStyle w:val="ListBullet"/>
      </w:pPr>
      <w:r>
        <w:t>Independent Technical Risk Assessments (ITRAs) at PDR and CDR</w:t>
      </w:r>
    </w:p>
    <w:p>
      <w:pPr>
        <w:pStyle w:val="ListBullet"/>
      </w:pPr>
      <w:r>
        <w:t>Use of COTS/MOTS solutions to reduce development risk where possible</w:t>
      </w:r>
    </w:p>
    <w:p>
      <w:pPr>
        <w:pStyle w:val="Heading2"/>
        <w:spacing w:before="240" w:after="120"/>
      </w:pPr>
      <w:r>
        <w:t>4.3 Technology Readiness Assessment</w:t>
      </w:r>
    </w:p>
    <w:p>
      <w:r>
        <w:t>A Technology Readiness Assessment (TRA) will be conducted at Milestone B to evaluate the maturity of critical technologies. Critical Technology Elements (CTEs) will be identified and tracked against TRL exit criteria throughout the Engineering and Manufacturing Development (EMD) phase.</w:t>
      </w:r>
    </w:p>
    <w:p>
      <w:r>
        <w:br w:type="page"/>
      </w:r>
    </w:p>
    <w:p>
      <w:pPr>
        <w:pStyle w:val="Heading1"/>
        <w:spacing w:before="0" w:after="160"/>
      </w:pPr>
      <w:r>
        <w:t>5. Configuration Management and Technical Data</w:t>
      </w:r>
    </w:p>
    <w:p>
      <w:pPr>
        <w:pStyle w:val="Heading2"/>
        <w:spacing w:before="240" w:after="120"/>
      </w:pPr>
      <w:r>
        <w:t>5.1 Configuration Management Approach</w:t>
      </w:r>
    </w:p>
    <w:p>
      <w:r>
        <w:t>Configuration management will be performed in accordance with MIL-HDBK-61B and EIA-649. The Configuration Control Board (CCB) will review and disposition all Engineering Change Proposals (ECPs) and Requests for Deviation (RFDs). Three technical baselines will be established and maintained:</w:t>
      </w:r>
    </w:p>
    <w:p>
      <w:pPr>
        <w:pStyle w:val="ListBullet"/>
      </w:pPr>
      <w:r>
        <w:rPr>
          <w:b/>
        </w:rPr>
        <w:t xml:space="preserve">Functional Baseline (FBL): </w:t>
      </w:r>
      <w:r>
        <w:t>Established at SRR/SDR; defines system-level functional requirements</w:t>
      </w:r>
    </w:p>
    <w:p>
      <w:pPr>
        <w:pStyle w:val="ListBullet"/>
      </w:pPr>
      <w:r>
        <w:rPr>
          <w:b/>
        </w:rPr>
        <w:t xml:space="preserve">Allocated Baseline (ABL): </w:t>
      </w:r>
      <w:r>
        <w:t>Established at PDR; allocates requirements to system elements</w:t>
      </w:r>
    </w:p>
    <w:p>
      <w:pPr>
        <w:pStyle w:val="ListBullet"/>
      </w:pPr>
      <w:r>
        <w:rPr>
          <w:b/>
        </w:rPr>
        <w:t xml:space="preserve">Product Baseline (PBL): </w:t>
      </w:r>
      <w:r>
        <w:t>Established at FCA/PCA; defines the as-built system configuration</w:t>
      </w:r>
    </w:p>
    <w:p>
      <w:pPr>
        <w:pStyle w:val="Heading2"/>
        <w:spacing w:before="240" w:after="120"/>
      </w:pPr>
      <w:r>
        <w:t>5.2 Technical Data Management</w:t>
      </w:r>
    </w:p>
    <w:p>
      <w:r>
        <w:t>Technical data will be managed in a Government-accessible data management system. Contractor deliverable data items (CDRLs) will be specified in the contract and reviewed for completeness and technical adequacy at each delivery.</w:t>
      </w:r>
    </w:p>
    <w:p>
      <w:pPr>
        <w:pStyle w:val="Heading2"/>
        <w:spacing w:before="240" w:after="120"/>
      </w:pPr>
      <w:r>
        <w:t>5.3 Data Rights</w:t>
      </w:r>
    </w:p>
    <w:p>
      <w:r>
        <w:t>The Government will negotiate for sufficient technical data rights to enable independent support, competitive re-sourcing, and future modernization of all program elements. Minimum data rights posture:</w:t>
      </w:r>
    </w:p>
    <w:tbl>
      <w:tblPr>
        <w:tblStyle w:val="TableGrid"/>
        <w:tblW w:type="auto" w:w="0"/>
        <w:tblLook w:firstColumn="1" w:firstRow="1" w:lastColumn="0" w:lastRow="0" w:noHBand="0" w:noVBand="1" w:val="04A0"/>
      </w:tblPr>
      <w:tblGrid>
        <w:gridCol w:w="4320"/>
        <w:gridCol w:w="4320"/>
      </w:tblGrid>
      <w:tr>
        <w:tc>
          <w:tcPr>
            <w:tcW w:type="dxa" w:w="3168"/>
            <w:shd w:val="clear" w:color="auto" w:fill="D9E1F2"/>
          </w:tcPr>
          <w:p>
            <w:r>
              <w:rPr>
                <w:b/>
                <w:sz w:val="20"/>
              </w:rPr>
              <w:t>Data Category</w:t>
            </w:r>
          </w:p>
        </w:tc>
        <w:tc>
          <w:tcPr>
            <w:tcW w:type="dxa" w:w="5472"/>
            <w:shd w:val="clear" w:color="auto" w:fill="D9E1F2"/>
          </w:tcPr>
          <w:p>
            <w:r>
              <w:rPr>
                <w:b/>
                <w:sz w:val="20"/>
              </w:rPr>
              <w:t>Minimum Rights</w:t>
            </w:r>
          </w:p>
        </w:tc>
      </w:tr>
      <w:tr>
        <w:tc>
          <w:tcPr>
            <w:tcW w:type="dxa" w:w="3168"/>
          </w:tcPr>
          <w:p>
            <w:r>
              <w:rPr>
                <w:b w:val="0"/>
                <w:sz w:val="20"/>
              </w:rPr>
              <w:t>Interface Control Documents</w:t>
            </w:r>
          </w:p>
        </w:tc>
        <w:tc>
          <w:tcPr>
            <w:tcW w:type="dxa" w:w="5472"/>
          </w:tcPr>
          <w:p>
            <w:r>
              <w:rPr>
                <w:b w:val="0"/>
                <w:sz w:val="20"/>
              </w:rPr>
              <w:t>Unlimited rights — required for MOSA compliance and module re-competition</w:t>
            </w:r>
          </w:p>
        </w:tc>
      </w:tr>
      <w:tr>
        <w:tc>
          <w:tcPr>
            <w:tcW w:type="dxa" w:w="3168"/>
          </w:tcPr>
          <w:p>
            <w:r>
              <w:rPr>
                <w:b w:val="0"/>
                <w:sz w:val="20"/>
              </w:rPr>
              <w:t>Software Source Code (Government-funded)</w:t>
            </w:r>
          </w:p>
        </w:tc>
        <w:tc>
          <w:tcPr>
            <w:tcW w:type="dxa" w:w="5472"/>
          </w:tcPr>
          <w:p>
            <w:r>
              <w:rPr>
                <w:b w:val="0"/>
                <w:sz w:val="20"/>
              </w:rPr>
              <w:t>Unlimited rights</w:t>
            </w:r>
          </w:p>
        </w:tc>
      </w:tr>
      <w:tr>
        <w:tc>
          <w:tcPr>
            <w:tcW w:type="dxa" w:w="3168"/>
          </w:tcPr>
          <w:p>
            <w:r>
              <w:rPr>
                <w:b w:val="0"/>
                <w:sz w:val="20"/>
              </w:rPr>
              <w:t>Software Source Code (contractor-funded)</w:t>
            </w:r>
          </w:p>
        </w:tc>
        <w:tc>
          <w:tcPr>
            <w:tcW w:type="dxa" w:w="5472"/>
          </w:tcPr>
          <w:p>
            <w:r>
              <w:rPr>
                <w:b w:val="0"/>
                <w:sz w:val="20"/>
              </w:rPr>
              <w:t>Government Purpose Rights (GPR) minimum</w:t>
            </w:r>
          </w:p>
        </w:tc>
      </w:tr>
      <w:tr>
        <w:tc>
          <w:tcPr>
            <w:tcW w:type="dxa" w:w="3168"/>
          </w:tcPr>
          <w:p>
            <w:r>
              <w:rPr>
                <w:b w:val="0"/>
                <w:sz w:val="20"/>
              </w:rPr>
              <w:t>Design Data</w:t>
            </w:r>
          </w:p>
        </w:tc>
        <w:tc>
          <w:tcPr>
            <w:tcW w:type="dxa" w:w="5472"/>
          </w:tcPr>
          <w:p>
            <w:r>
              <w:rPr>
                <w:b w:val="0"/>
                <w:sz w:val="20"/>
              </w:rPr>
              <w:t>Government Purpose Rights (GPR) minimum; unlimited rights sought where feasible</w:t>
            </w:r>
          </w:p>
        </w:tc>
      </w:tr>
      <w:tr>
        <w:tc>
          <w:tcPr>
            <w:tcW w:type="dxa" w:w="3168"/>
          </w:tcPr>
          <w:p>
            <w:r>
              <w:rPr>
                <w:b w:val="0"/>
                <w:sz w:val="20"/>
              </w:rPr>
              <w:t>Firmware and Embedded Software</w:t>
            </w:r>
          </w:p>
        </w:tc>
        <w:tc>
          <w:tcPr>
            <w:tcW w:type="dxa" w:w="5472"/>
          </w:tcPr>
          <w:p>
            <w:r>
              <w:rPr>
                <w:b w:val="0"/>
                <w:sz w:val="20"/>
              </w:rPr>
              <w:t>Rights sufficient to allow security patching and sustainment</w:t>
            </w:r>
          </w:p>
        </w:tc>
      </w:tr>
    </w:tbl>
    <w:p>
      <w:r>
        <w:br w:type="page"/>
      </w:r>
    </w:p>
    <w:p>
      <w:pPr>
        <w:pStyle w:val="Heading1"/>
        <w:spacing w:before="0" w:after="160"/>
      </w:pPr>
      <w:r>
        <w:t>6. Modular Open Systems Approach (MOSA)</w:t>
      </w:r>
    </w:p>
    <w:p>
      <w:r>
        <w:t>This program implements a Modular Open Systems Approach (MOSA) as required by 10 U.S.C. § 4401 and consistent with DoD Directive 5000.01. MOSA is integrated throughout the SE process to ensure the system is designed for competitive upgrade, independent sustainment, and lifecycle affordability.</w:t>
      </w:r>
    </w:p>
    <w:p>
      <w:pPr>
        <w:pStyle w:val="Heading2"/>
        <w:spacing w:before="240" w:after="120"/>
      </w:pPr>
      <w:r>
        <w:t>6.1 MOSA Strategy Overview</w:t>
      </w:r>
    </w:p>
    <w:p>
      <w:r>
        <w:t>The MOSA strategy is built on four minimum criteria that govern all design and acquisition decisions:</w:t>
      </w:r>
    </w:p>
    <w:p>
      <w:pPr>
        <w:pStyle w:val="ListBullet"/>
      </w:pPr>
      <w:r>
        <w:rPr>
          <w:b/>
        </w:rPr>
        <w:t xml:space="preserve">Adoption of Open Standards: </w:t>
      </w:r>
      <w:r>
        <w:t>Design the system using open, consensus-based interface standards to prevent proprietary lock-in and enable competitive sourcing of components throughout the program lifecycle.</w:t>
      </w:r>
    </w:p>
    <w:p>
      <w:pPr>
        <w:pStyle w:val="ListBullet"/>
      </w:pPr>
      <w:r>
        <w:rPr>
          <w:b/>
        </w:rPr>
        <w:t xml:space="preserve">Competitive Upgrade Path: </w:t>
      </w:r>
      <w:r>
        <w:t>Architect the system so that individual modules or subsystems can be upgraded or replaced by competing suppliers, reducing total ownership cost and stimulating innovation.</w:t>
      </w:r>
    </w:p>
    <w:p>
      <w:pPr>
        <w:pStyle w:val="ListBullet"/>
      </w:pPr>
      <w:r>
        <w:rPr>
          <w:b/>
        </w:rPr>
        <w:t xml:space="preserve">Government Technical Data Rights: </w:t>
      </w:r>
      <w:r>
        <w:t>Acquire sufficient technical data rights — including interface control documents and design data — to allow the Government to re-compete, support, or modify components independently of the original developer.</w:t>
      </w:r>
    </w:p>
    <w:p>
      <w:pPr>
        <w:pStyle w:val="ListBullet"/>
      </w:pPr>
      <w:r>
        <w:rPr>
          <w:b/>
        </w:rPr>
        <w:t xml:space="preserve">Well-Defined Modular Boundaries: </w:t>
      </w:r>
      <w:r>
        <w:t>Implement clearly defined functional boundaries and standardized interfaces between modules so that changes to one module do not cascade to others, enabling incremental modernization.</w:t>
      </w:r>
    </w:p>
    <w:p>
      <w:pPr>
        <w:pStyle w:val="Heading2"/>
        <w:spacing w:before="240" w:after="120"/>
      </w:pPr>
      <w:r>
        <w:t>6.2 Module Identification and Boundaries</w:t>
      </w:r>
    </w:p>
    <w:p>
      <w:r>
        <w:t>Module definitions will be developed during system requirements analysis and documented in the Interface Control Working Group (ICWG) charter.</w:t>
      </w:r>
    </w:p>
    <w:p>
      <w:pPr>
        <w:pStyle w:val="Heading2"/>
        <w:spacing w:before="240" w:after="120"/>
      </w:pPr>
      <w:r>
        <w:t>6.3 Interface Standards and Control Documents</w:t>
      </w:r>
    </w:p>
    <w:p>
      <w:r>
        <w:t>Interface Control Documents (ICDs) will be Government-owned and maintained under configuration control. All module interfaces will reference open, consensus-based standards where available. Contractor-proprietary interfaces are prohibited unless specifically approved by the PM.</w:t>
      </w:r>
    </w:p>
    <w:p>
      <w:pPr>
        <w:pStyle w:val="Heading2"/>
        <w:spacing w:before="240" w:after="120"/>
      </w:pPr>
      <w:r>
        <w:t>6.4 Competitive Upgrade Path</w:t>
      </w:r>
    </w:p>
    <w:p>
      <w:r>
        <w:t>The modular architecture enables competitive re-sourcing of individual modules without system-level redesign. To preserve this capability:</w:t>
      </w:r>
    </w:p>
    <w:p>
      <w:pPr>
        <w:pStyle w:val="ListBullet"/>
      </w:pPr>
      <w:r>
        <w:t>All ICDs will be delivered with unlimited data rights to enable alternative-source competition</w:t>
      </w:r>
    </w:p>
    <w:p>
      <w:pPr>
        <w:pStyle w:val="ListBullet"/>
      </w:pPr>
      <w:r>
        <w:t>Module acceptance testing will rely only on published ICDs — not proprietary contractor tools</w:t>
      </w:r>
    </w:p>
    <w:p>
      <w:pPr>
        <w:pStyle w:val="ListBullet"/>
      </w:pPr>
      <w:r>
        <w:t>The Government will maintain a validated integration test environment to support re-competition</w:t>
      </w:r>
    </w:p>
    <w:p>
      <w:pPr>
        <w:pStyle w:val="ListBullet"/>
      </w:pPr>
      <w:r>
        <w:t>Each module contract will include options for follow-on competitive procurement</w:t>
      </w:r>
    </w:p>
    <w:p>
      <w:r>
        <w:br w:type="page"/>
      </w:r>
    </w:p>
    <w:p>
      <w:pPr>
        <w:pStyle w:val="Heading1"/>
        <w:spacing w:before="0" w:after="160"/>
      </w:pPr>
      <w:r>
        <w:t>7. Verification and Validation</w:t>
      </w:r>
    </w:p>
    <w:p>
      <w:r>
        <w:t>Verification and Validation (V&amp;V) activities confirm that the system is built correctly (meets requirements) and that the right system is being built (meets stakeholder needs). V&amp;V will be planned and documented in the Test and Evaluation Master Plan (TEMP).</w:t>
      </w:r>
    </w:p>
    <w:p>
      <w:pPr>
        <w:pStyle w:val="Heading2"/>
        <w:spacing w:before="240" w:after="120"/>
      </w:pPr>
      <w:r>
        <w:t>7.1 Verification Strategy</w:t>
      </w:r>
    </w:p>
    <w:p>
      <w:r>
        <w:t>System requirements will be verified through a combination of the following methods:</w:t>
      </w:r>
    </w:p>
    <w:p>
      <w:pPr>
        <w:pStyle w:val="ListBullet"/>
      </w:pPr>
      <w:r>
        <w:rPr>
          <w:b/>
        </w:rPr>
        <w:t xml:space="preserve">Inspection: </w:t>
      </w:r>
      <w:r>
        <w:t>Review of design documentation, drawings, and code for compliance with requirements</w:t>
      </w:r>
    </w:p>
    <w:p>
      <w:pPr>
        <w:pStyle w:val="ListBullet"/>
      </w:pPr>
      <w:r>
        <w:rPr>
          <w:b/>
        </w:rPr>
        <w:t xml:space="preserve">Analysis: </w:t>
      </w:r>
      <w:r>
        <w:t>Mathematical, simulation, or model-based demonstration of compliance</w:t>
      </w:r>
    </w:p>
    <w:p>
      <w:pPr>
        <w:pStyle w:val="ListBullet"/>
      </w:pPr>
      <w:r>
        <w:rPr>
          <w:b/>
        </w:rPr>
        <w:t xml:space="preserve">Demonstration: </w:t>
      </w:r>
      <w:r>
        <w:t>Observable functional demonstration without formal measurement</w:t>
      </w:r>
    </w:p>
    <w:p>
      <w:pPr>
        <w:pStyle w:val="ListBullet"/>
      </w:pPr>
      <w:r>
        <w:rPr>
          <w:b/>
        </w:rPr>
        <w:t xml:space="preserve">Test: </w:t>
      </w:r>
      <w:r>
        <w:t>Controlled measurement of system performance against quantitative acceptance criteria</w:t>
      </w:r>
    </w:p>
    <w:p>
      <w:r>
        <w:t>A Verification Cross-Reference Matrix (VCRM) will trace each requirement to its verification method, responsible organization, and completion milestone.</w:t>
      </w:r>
    </w:p>
    <w:p>
      <w:pPr>
        <w:pStyle w:val="Heading2"/>
        <w:spacing w:before="240" w:after="120"/>
      </w:pPr>
      <w:r>
        <w:t>7.2 Validation Approach</w:t>
      </w:r>
    </w:p>
    <w:p>
      <w:r>
        <w:t>System validation will confirm that the delivered system satisfies warfighter operational needs as expressed in the Operational Requirements Document (ORD) or Capability Development Document (CDD). Validation activities include:</w:t>
      </w:r>
    </w:p>
    <w:p>
      <w:pPr>
        <w:pStyle w:val="ListBullet"/>
      </w:pPr>
      <w:r>
        <w:t>Concept of Operations (CONOPS) review with operational users at each major milestone</w:t>
      </w:r>
    </w:p>
    <w:p>
      <w:pPr>
        <w:pStyle w:val="ListBullet"/>
      </w:pPr>
      <w:r>
        <w:t>Operational utility evaluation during Initial Operational Test &amp; Evaluation (IOT&amp;E)</w:t>
      </w:r>
    </w:p>
    <w:p>
      <w:pPr>
        <w:pStyle w:val="ListBullet"/>
      </w:pPr>
      <w:r>
        <w:t>Mission thread analysis to confirm end-to-end mission accomplishment</w:t>
      </w:r>
    </w:p>
    <w:p>
      <w:pPr>
        <w:pStyle w:val="ListBullet"/>
      </w:pPr>
      <w:r>
        <w:t>User acceptance testing with representative operational users prior to fielding</w:t>
      </w:r>
    </w:p>
    <w:p>
      <w:pPr>
        <w:pStyle w:val="Heading2"/>
        <w:spacing w:before="240" w:after="120"/>
      </w:pPr>
      <w:r>
        <w:t>7.3 Test and Evaluation Summary</w:t>
      </w:r>
    </w:p>
    <w:p>
      <w:r>
        <w:t>Testing will be conducted in phases, progressing from component-level to system-level:</w:t>
      </w:r>
    </w:p>
    <w:tbl>
      <w:tblPr>
        <w:tblStyle w:val="TableGrid"/>
        <w:tblW w:type="auto" w:w="0"/>
        <w:tblLook w:firstColumn="1" w:firstRow="1" w:lastColumn="0" w:lastRow="0" w:noHBand="0" w:noVBand="1" w:val="04A0"/>
      </w:tblPr>
      <w:tblGrid>
        <w:gridCol w:w="4320"/>
        <w:gridCol w:w="4320"/>
      </w:tblGrid>
      <w:tr>
        <w:tc>
          <w:tcPr>
            <w:tcW w:type="dxa" w:w="2880"/>
            <w:shd w:val="clear" w:color="auto" w:fill="D9E1F2"/>
          </w:tcPr>
          <w:p>
            <w:r>
              <w:rPr>
                <w:b/>
                <w:sz w:val="20"/>
              </w:rPr>
              <w:t>Test Phase</w:t>
            </w:r>
          </w:p>
        </w:tc>
        <w:tc>
          <w:tcPr>
            <w:tcW w:type="dxa" w:w="5760"/>
            <w:shd w:val="clear" w:color="auto" w:fill="D9E1F2"/>
          </w:tcPr>
          <w:p>
            <w:r>
              <w:rPr>
                <w:b/>
                <w:sz w:val="20"/>
              </w:rPr>
              <w:t>Description</w:t>
            </w:r>
          </w:p>
        </w:tc>
      </w:tr>
      <w:tr>
        <w:tc>
          <w:tcPr>
            <w:tcW w:type="dxa" w:w="2880"/>
          </w:tcPr>
          <w:p>
            <w:r>
              <w:rPr>
                <w:b w:val="0"/>
                <w:sz w:val="20"/>
              </w:rPr>
              <w:t>Unit / Component Testing</w:t>
            </w:r>
          </w:p>
        </w:tc>
        <w:tc>
          <w:tcPr>
            <w:tcW w:type="dxa" w:w="5760"/>
          </w:tcPr>
          <w:p>
            <w:r>
              <w:rPr>
                <w:b w:val="0"/>
                <w:sz w:val="20"/>
              </w:rPr>
              <w:t>Contractor-conducted at module level; results reviewed by Government SE</w:t>
            </w:r>
          </w:p>
        </w:tc>
      </w:tr>
      <w:tr>
        <w:tc>
          <w:tcPr>
            <w:tcW w:type="dxa" w:w="2880"/>
          </w:tcPr>
          <w:p>
            <w:r>
              <w:rPr>
                <w:b w:val="0"/>
                <w:sz w:val="20"/>
              </w:rPr>
              <w:t>Integration Testing</w:t>
            </w:r>
          </w:p>
        </w:tc>
        <w:tc>
          <w:tcPr>
            <w:tcW w:type="dxa" w:w="5760"/>
          </w:tcPr>
          <w:p>
            <w:r>
              <w:rPr>
                <w:b w:val="0"/>
                <w:sz w:val="20"/>
              </w:rPr>
              <w:t>Verify module interfaces function correctly per published ICDs</w:t>
            </w:r>
          </w:p>
        </w:tc>
      </w:tr>
      <w:tr>
        <w:tc>
          <w:tcPr>
            <w:tcW w:type="dxa" w:w="2880"/>
          </w:tcPr>
          <w:p>
            <w:r>
              <w:rPr>
                <w:b w:val="0"/>
                <w:sz w:val="20"/>
              </w:rPr>
              <w:t>System Testing</w:t>
            </w:r>
          </w:p>
        </w:tc>
        <w:tc>
          <w:tcPr>
            <w:tcW w:type="dxa" w:w="5760"/>
          </w:tcPr>
          <w:p>
            <w:r>
              <w:rPr>
                <w:b w:val="0"/>
                <w:sz w:val="20"/>
              </w:rPr>
              <w:t>Government-witnessed contractor testing against all system-level requirements</w:t>
            </w:r>
          </w:p>
        </w:tc>
      </w:tr>
      <w:tr>
        <w:tc>
          <w:tcPr>
            <w:tcW w:type="dxa" w:w="2880"/>
          </w:tcPr>
          <w:p>
            <w:r>
              <w:rPr>
                <w:b w:val="0"/>
                <w:sz w:val="20"/>
              </w:rPr>
              <w:t>Developmental Testing (DT)</w:t>
            </w:r>
          </w:p>
        </w:tc>
        <w:tc>
          <w:tcPr>
            <w:tcW w:type="dxa" w:w="5760"/>
          </w:tcPr>
          <w:p>
            <w:r>
              <w:rPr>
                <w:b w:val="0"/>
                <w:sz w:val="20"/>
              </w:rPr>
              <w:t>Government-controlled testing to characterize system performance</w:t>
            </w:r>
          </w:p>
        </w:tc>
      </w:tr>
      <w:tr>
        <w:tc>
          <w:tcPr>
            <w:tcW w:type="dxa" w:w="2880"/>
          </w:tcPr>
          <w:p>
            <w:r>
              <w:rPr>
                <w:b w:val="0"/>
                <w:sz w:val="20"/>
              </w:rPr>
              <w:t>Operational Testing (OT)</w:t>
            </w:r>
          </w:p>
        </w:tc>
        <w:tc>
          <w:tcPr>
            <w:tcW w:type="dxa" w:w="5760"/>
          </w:tcPr>
          <w:p>
            <w:r>
              <w:rPr>
                <w:b w:val="0"/>
                <w:sz w:val="20"/>
              </w:rPr>
              <w:t>User-controlled testing in representative operational environment</w:t>
            </w:r>
          </w:p>
        </w:tc>
      </w:tr>
    </w:tbl>
    <w:p>
      <w:r>
        <w:br w:type="page"/>
      </w:r>
    </w:p>
    <w:p>
      <w:pPr>
        <w:pStyle w:val="Heading1"/>
        <w:spacing w:before="0" w:after="160"/>
      </w:pPr>
      <w:r>
        <w:t>8. Specialty Engineering</w:t>
      </w:r>
    </w:p>
    <w:p>
      <w:r>
        <w:t>Specialty engineering disciplines are integrated throughout the SE process to ensure a balanced, lifecycle-supportable design. Specialty engineering requirements will be captured in the SEMP and tracked through the IPT structure.</w:t>
      </w:r>
    </w:p>
    <w:p>
      <w:pPr>
        <w:pStyle w:val="Heading2"/>
        <w:spacing w:before="240" w:after="120"/>
      </w:pPr>
      <w:r>
        <w:t>8.1 Reliability, Availability, and Maintainability</w:t>
      </w:r>
    </w:p>
    <w:p>
      <w:r>
        <w:t>RAM requirements will be derived from operational availability (Ao) and Mean Time Between Failure (MTBF) thresholds established in the CDD/CPD. RAM analysis activities include:</w:t>
      </w:r>
    </w:p>
    <w:p>
      <w:pPr>
        <w:pStyle w:val="ListBullet"/>
      </w:pPr>
      <w:r>
        <w:t>Failure Mode, Effects, and Criticality Analysis (FMECA)</w:t>
      </w:r>
    </w:p>
    <w:p>
      <w:pPr>
        <w:pStyle w:val="ListBullet"/>
      </w:pPr>
      <w:r>
        <w:t>Reliability growth testing with Duane model tracking</w:t>
      </w:r>
    </w:p>
    <w:p>
      <w:pPr>
        <w:pStyle w:val="ListBullet"/>
      </w:pPr>
      <w:r>
        <w:t>Maintainability demonstration at CDR and SVR</w:t>
      </w:r>
    </w:p>
    <w:p>
      <w:pPr>
        <w:pStyle w:val="ListBullet"/>
      </w:pPr>
      <w:r>
        <w:t>Availability modeling updated at each design review</w:t>
      </w:r>
    </w:p>
    <w:p>
      <w:pPr>
        <w:pStyle w:val="Heading2"/>
        <w:spacing w:before="240" w:after="120"/>
      </w:pPr>
      <w:r>
        <w:t>8.2 Software Systems Engineering</w:t>
      </w:r>
    </w:p>
    <w:p>
      <w:r>
        <w:t>Software engineering will be conducted in accordance with MIL-STD-498 (tailored as appropriate) and applicable service-specific software standards. Software development will follow an Agile or spiral methodology with formal Government checkpoint reviews.</w:t>
      </w:r>
    </w:p>
    <w:p>
      <w:pPr>
        <w:pStyle w:val="Heading2"/>
        <w:spacing w:before="240" w:after="120"/>
      </w:pPr>
      <w:r>
        <w:t>8.3 Human Systems Integration</w:t>
      </w:r>
    </w:p>
    <w:p>
      <w:r>
        <w:t>Human Systems Integration (HSI) will be conducted in accordance with MIL-STD-1472H and applicable HSI guidance. HSI domains addressed include:</w:t>
      </w:r>
    </w:p>
    <w:p>
      <w:pPr>
        <w:pStyle w:val="ListBullet"/>
      </w:pPr>
      <w:r>
        <w:t>Human factors engineering (HFE) — operator interface design and workload analysis</w:t>
      </w:r>
    </w:p>
    <w:p>
      <w:pPr>
        <w:pStyle w:val="ListBullet"/>
      </w:pPr>
      <w:r>
        <w:t>Manpower — personnel and staffing requirements for operation and maintenance</w:t>
      </w:r>
    </w:p>
    <w:p>
      <w:pPr>
        <w:pStyle w:val="ListBullet"/>
      </w:pPr>
      <w:r>
        <w:t>Training — operator and maintainer training system development</w:t>
      </w:r>
    </w:p>
    <w:p>
      <w:pPr>
        <w:pStyle w:val="ListBullet"/>
      </w:pPr>
      <w:r>
        <w:t>Personnel — minimum qualification requirements for operators and maintainers</w:t>
      </w:r>
    </w:p>
    <w:p>
      <w:pPr>
        <w:pStyle w:val="Heading2"/>
        <w:spacing w:before="240" w:after="120"/>
      </w:pPr>
      <w:r>
        <w:t>8.4 Cybersecurity / Risk Management Framework</w:t>
      </w:r>
    </w:p>
    <w:p>
      <w:r>
        <w:t>Cybersecurity will be addressed through the DoD Risk Management Framework (RMF) in accordance with DoDI 8510.01. A Program Protection Plan (PPP) will be developed and maintained throughout the acquisition lifecycle. Key cybersecurity activities include:</w:t>
      </w:r>
    </w:p>
    <w:p>
      <w:pPr>
        <w:pStyle w:val="ListBullet"/>
      </w:pPr>
      <w:r>
        <w:t>System categorization and security control selection per CNSSI 1253</w:t>
      </w:r>
    </w:p>
    <w:p>
      <w:pPr>
        <w:pStyle w:val="ListBullet"/>
      </w:pPr>
      <w:r>
        <w:t>Threat model development and adversarial risk assessment</w:t>
      </w:r>
    </w:p>
    <w:p>
      <w:pPr>
        <w:pStyle w:val="ListBullet"/>
      </w:pPr>
      <w:r>
        <w:t>Cybersecurity requirements derivation and allocation to system elements</w:t>
      </w:r>
    </w:p>
    <w:p>
      <w:pPr>
        <w:pStyle w:val="ListBullet"/>
      </w:pPr>
      <w:r>
        <w:t>Penetration testing at CDR and prior to IOT&amp;E</w:t>
      </w:r>
    </w:p>
    <w:p>
      <w:pPr>
        <w:pStyle w:val="ListBullet"/>
      </w:pPr>
      <w:r>
        <w:t>Software assurance including static analysis and fuzz testing</w:t>
      </w:r>
    </w:p>
    <w:p>
      <w:pPr>
        <w:pStyle w:val="Heading2"/>
        <w:spacing w:before="240" w:after="120"/>
      </w:pPr>
      <w:r>
        <w:t>8.5 Environment, Safety, and Occupational Health</w:t>
      </w:r>
    </w:p>
    <w:p>
      <w:r>
        <w:t>ESOH will be addressed in accordance with DoDI 4715.02. Key ESOH activities include:</w:t>
      </w:r>
    </w:p>
    <w:p>
      <w:pPr>
        <w:pStyle w:val="ListBullet"/>
      </w:pPr>
      <w:r>
        <w:t>ESOH risk assessment integrated into the program risk register</w:t>
      </w:r>
    </w:p>
    <w:p>
      <w:pPr>
        <w:pStyle w:val="ListBullet"/>
      </w:pPr>
      <w:r>
        <w:t>Hazard Analysis (HA) and System Safety Analysis performed at each design phase</w:t>
      </w:r>
    </w:p>
    <w:p>
      <w:pPr>
        <w:pStyle w:val="ListBullet"/>
      </w:pPr>
      <w:r>
        <w:t>Compliance with applicable environmental regulations (e.g., RoHS, REACH) for all components</w:t>
      </w:r>
    </w:p>
    <w:p>
      <w:pPr>
        <w:pStyle w:val="ListBullet"/>
      </w:pPr>
      <w:r>
        <w:t>Occupational health and safety assessments for operator and maintainer populations</w:t>
      </w:r>
    </w:p>
    <w:p>
      <w:r>
        <w:br w:type="page"/>
      </w:r>
    </w:p>
    <w:p>
      <w:pPr>
        <w:pStyle w:val="Heading1"/>
        <w:spacing w:before="0" w:after="160"/>
      </w:pPr>
      <w:r>
        <w:t>9. SE Organization and Resources</w:t>
      </w:r>
    </w:p>
    <w:p>
      <w:pPr>
        <w:pStyle w:val="Heading2"/>
        <w:spacing w:before="240" w:after="120"/>
      </w:pPr>
      <w:r>
        <w:t>9.1 Government SE Organization</w:t>
      </w:r>
    </w:p>
    <w:p>
      <w:r>
        <w:t>The Government SE team for SEP Smoke Test will be led by the Lead Systems Engineer (LSE) reporting to the Program Manager (PM). The LSE is responsible for SE process oversight, technical review execution, and MOSA compliance verification. Functional IPTs will support each major technical area.</w:t>
      </w:r>
    </w:p>
    <w:p>
      <w:pPr>
        <w:pStyle w:val="Heading2"/>
        <w:spacing w:before="240" w:after="120"/>
      </w:pPr>
      <w:r>
        <w:t>9.2 Contractor SE Organization</w:t>
      </w:r>
    </w:p>
    <w:p>
      <w:r>
        <w:t>The prime contractor will maintain a Systems Engineering organization with a Chief Engineer responsible for technical direction and SE process execution. The contractor SE organization will mirror the Government IPT structure and participate in all Government-led technical reviews. Sub-contractor SE activities will be governed by the prime contractor.</w:t>
      </w:r>
    </w:p>
    <w:p>
      <w:pPr>
        <w:pStyle w:val="Heading2"/>
        <w:spacing w:before="240" w:after="120"/>
      </w:pPr>
      <w:r>
        <w:t>9.3 SE Tools and Infrastructure</w:t>
      </w:r>
    </w:p>
    <w:p>
      <w:r>
        <w:t>The following SE tools and infrastructure will be used to support program execution:</w:t>
      </w:r>
    </w:p>
    <w:tbl>
      <w:tblPr>
        <w:tblStyle w:val="TableGrid"/>
        <w:tblW w:type="auto" w:w="0"/>
        <w:tblLook w:firstColumn="1" w:firstRow="1" w:lastColumn="0" w:lastRow="0" w:noHBand="0" w:noVBand="1" w:val="04A0"/>
      </w:tblPr>
      <w:tblGrid>
        <w:gridCol w:w="4320"/>
        <w:gridCol w:w="4320"/>
      </w:tblGrid>
      <w:tr>
        <w:tc>
          <w:tcPr>
            <w:tcW w:type="dxa" w:w="2592"/>
            <w:shd w:val="clear" w:color="auto" w:fill="D9E1F2"/>
          </w:tcPr>
          <w:p>
            <w:r>
              <w:rPr>
                <w:b/>
                <w:sz w:val="20"/>
              </w:rPr>
              <w:t>SE Function</w:t>
            </w:r>
          </w:p>
        </w:tc>
        <w:tc>
          <w:tcPr>
            <w:tcW w:type="dxa" w:w="6048"/>
            <w:shd w:val="clear" w:color="auto" w:fill="D9E1F2"/>
          </w:tcPr>
          <w:p>
            <w:r>
              <w:rPr>
                <w:b/>
                <w:sz w:val="20"/>
              </w:rPr>
              <w:t>Tool / Approach</w:t>
            </w:r>
          </w:p>
        </w:tc>
      </w:tr>
      <w:tr>
        <w:tc>
          <w:tcPr>
            <w:tcW w:type="dxa" w:w="2592"/>
          </w:tcPr>
          <w:p>
            <w:r>
              <w:rPr>
                <w:b w:val="0"/>
                <w:sz w:val="20"/>
              </w:rPr>
              <w:t>Requirements Management</w:t>
            </w:r>
          </w:p>
        </w:tc>
        <w:tc>
          <w:tcPr>
            <w:tcW w:type="dxa" w:w="6048"/>
          </w:tcPr>
          <w:p>
            <w:r>
              <w:rPr>
                <w:b w:val="0"/>
                <w:sz w:val="20"/>
              </w:rPr>
              <w:t>Government-approved RM tool (e.g., DOORS, Jama, Polarion)</w:t>
            </w:r>
          </w:p>
        </w:tc>
      </w:tr>
      <w:tr>
        <w:tc>
          <w:tcPr>
            <w:tcW w:type="dxa" w:w="2592"/>
          </w:tcPr>
          <w:p>
            <w:r>
              <w:rPr>
                <w:b w:val="0"/>
                <w:sz w:val="20"/>
              </w:rPr>
              <w:t>Model-Based Systems Engineering (MBSE)</w:t>
            </w:r>
          </w:p>
        </w:tc>
        <w:tc>
          <w:tcPr>
            <w:tcW w:type="dxa" w:w="6048"/>
          </w:tcPr>
          <w:p>
            <w:r>
              <w:rPr>
                <w:b w:val="0"/>
                <w:sz w:val="20"/>
              </w:rPr>
              <w:t>SysML-compliant modeling tool (e.g., Cameo, Rhapsody, Capella)</w:t>
            </w:r>
          </w:p>
        </w:tc>
      </w:tr>
      <w:tr>
        <w:tc>
          <w:tcPr>
            <w:tcW w:type="dxa" w:w="2592"/>
          </w:tcPr>
          <w:p>
            <w:r>
              <w:rPr>
                <w:b w:val="0"/>
                <w:sz w:val="20"/>
              </w:rPr>
              <w:t>Interface Control</w:t>
            </w:r>
          </w:p>
        </w:tc>
        <w:tc>
          <w:tcPr>
            <w:tcW w:type="dxa" w:w="6048"/>
          </w:tcPr>
          <w:p>
            <w:r>
              <w:rPr>
                <w:b w:val="0"/>
                <w:sz w:val="20"/>
              </w:rPr>
              <w:t>ICD repository accessible to all contractors and Government SE team</w:t>
            </w:r>
          </w:p>
        </w:tc>
      </w:tr>
      <w:tr>
        <w:tc>
          <w:tcPr>
            <w:tcW w:type="dxa" w:w="2592"/>
          </w:tcPr>
          <w:p>
            <w:r>
              <w:rPr>
                <w:b w:val="0"/>
                <w:sz w:val="20"/>
              </w:rPr>
              <w:t>Configuration Management</w:t>
            </w:r>
          </w:p>
        </w:tc>
        <w:tc>
          <w:tcPr>
            <w:tcW w:type="dxa" w:w="6048"/>
          </w:tcPr>
          <w:p>
            <w:r>
              <w:rPr>
                <w:b w:val="0"/>
                <w:sz w:val="20"/>
              </w:rPr>
              <w:t>Government-controlled CM database with automated change tracking</w:t>
            </w:r>
          </w:p>
        </w:tc>
      </w:tr>
      <w:tr>
        <w:tc>
          <w:tcPr>
            <w:tcW w:type="dxa" w:w="2592"/>
          </w:tcPr>
          <w:p>
            <w:r>
              <w:rPr>
                <w:b w:val="0"/>
                <w:sz w:val="20"/>
              </w:rPr>
              <w:t>Risk Management</w:t>
            </w:r>
          </w:p>
        </w:tc>
        <w:tc>
          <w:tcPr>
            <w:tcW w:type="dxa" w:w="6048"/>
          </w:tcPr>
          <w:p>
            <w:r>
              <w:rPr>
                <w:b w:val="0"/>
                <w:sz w:val="20"/>
              </w:rPr>
              <w:t>Program Risk Register maintained in a Government-accessible tool</w:t>
            </w:r>
          </w:p>
        </w:tc>
      </w:tr>
      <w:tr>
        <w:tc>
          <w:tcPr>
            <w:tcW w:type="dxa" w:w="2592"/>
          </w:tcPr>
          <w:p>
            <w:r>
              <w:rPr>
                <w:b w:val="0"/>
                <w:sz w:val="20"/>
              </w:rPr>
              <w:t>Test Management</w:t>
            </w:r>
          </w:p>
        </w:tc>
        <w:tc>
          <w:tcPr>
            <w:tcW w:type="dxa" w:w="6048"/>
          </w:tcPr>
          <w:p>
            <w:r>
              <w:rPr>
                <w:b w:val="0"/>
                <w:sz w:val="20"/>
              </w:rPr>
              <w:t>Linked to requirements for automated VCRM generation</w:t>
            </w:r>
          </w:p>
        </w:tc>
      </w:tr>
    </w:tbl>
    <w:p>
      <w:r>
        <w:br w:type="page"/>
      </w:r>
    </w:p>
    <w:p>
      <w:pPr>
        <w:pStyle w:val="Heading1"/>
        <w:spacing w:before="0" w:after="160"/>
      </w:pPr>
      <w:r>
        <w:t>10. Summary and Appendices</w:t>
      </w:r>
    </w:p>
    <w:p>
      <w:pPr>
        <w:pStyle w:val="Heading2"/>
        <w:spacing w:before="240" w:after="120"/>
      </w:pPr>
      <w:r>
        <w:t>10.1 Key Assumptions and Constraints</w:t>
      </w:r>
    </w:p>
    <w:p>
      <w:r>
        <w:t>The following assumptions and constraints underpin this SEP. Changes to these assumptions will trigger a SEP update and may require re-baselining of associated program plans.</w:t>
      </w:r>
    </w:p>
    <w:p>
      <w:pPr>
        <w:pStyle w:val="ListBullet"/>
      </w:pPr>
      <w:r>
        <w:t>MOSA compliance will be verified at each major milestone as a condition of proceeding</w:t>
      </w:r>
    </w:p>
    <w:p>
      <w:pPr>
        <w:pStyle w:val="ListBullet"/>
      </w:pPr>
      <w:r>
        <w:t>Government will maintain a validated integration test environment for module re-competition</w:t>
      </w:r>
    </w:p>
    <w:p>
      <w:pPr>
        <w:pStyle w:val="ListBullet"/>
      </w:pPr>
      <w:r>
        <w:t>All ICDs will be delivered with unlimited Government data rights</w:t>
      </w:r>
    </w:p>
    <w:p>
      <w:pPr>
        <w:pStyle w:val="ListBullet"/>
      </w:pPr>
      <w:r>
        <w:t>Contractor SEMP will be consistent with and subordinate to this SEP</w:t>
      </w:r>
    </w:p>
    <w:p>
      <w:pPr>
        <w:pStyle w:val="Heading2"/>
        <w:spacing w:before="240" w:after="120"/>
      </w:pPr>
      <w:r>
        <w:t>10.2 Acronyms and Abbreviations</w:t>
      </w:r>
    </w:p>
    <w:tbl>
      <w:tblPr>
        <w:tblStyle w:val="TableGrid"/>
        <w:tblW w:type="auto" w:w="0"/>
        <w:tblLook w:firstColumn="1" w:firstRow="1" w:lastColumn="0" w:lastRow="0" w:noHBand="0" w:noVBand="1" w:val="04A0"/>
      </w:tblPr>
      <w:tblGrid>
        <w:gridCol w:w="4320"/>
        <w:gridCol w:w="4320"/>
      </w:tblGrid>
      <w:tr>
        <w:tc>
          <w:tcPr>
            <w:tcW w:type="dxa" w:w="1728"/>
            <w:shd w:val="clear" w:color="auto" w:fill="D9E1F2"/>
          </w:tcPr>
          <w:p>
            <w:r>
              <w:rPr>
                <w:b/>
                <w:sz w:val="20"/>
              </w:rPr>
              <w:t>Acronym</w:t>
            </w:r>
          </w:p>
        </w:tc>
        <w:tc>
          <w:tcPr>
            <w:tcW w:type="dxa" w:w="6912"/>
            <w:shd w:val="clear" w:color="auto" w:fill="D9E1F2"/>
          </w:tcPr>
          <w:p>
            <w:r>
              <w:rPr>
                <w:b/>
                <w:sz w:val="20"/>
              </w:rPr>
              <w:t>Definition</w:t>
            </w:r>
          </w:p>
        </w:tc>
      </w:tr>
      <w:tr>
        <w:tc>
          <w:tcPr>
            <w:tcW w:type="dxa" w:w="1728"/>
          </w:tcPr>
          <w:p>
            <w:r>
              <w:rPr>
                <w:b/>
                <w:sz w:val="20"/>
              </w:rPr>
              <w:t>ABL</w:t>
            </w:r>
          </w:p>
        </w:tc>
        <w:tc>
          <w:tcPr>
            <w:tcW w:type="dxa" w:w="6912"/>
          </w:tcPr>
          <w:p>
            <w:r>
              <w:rPr>
                <w:b w:val="0"/>
                <w:sz w:val="20"/>
              </w:rPr>
              <w:t>Allocated Baseline</w:t>
            </w:r>
          </w:p>
        </w:tc>
      </w:tr>
      <w:tr>
        <w:tc>
          <w:tcPr>
            <w:tcW w:type="dxa" w:w="1728"/>
          </w:tcPr>
          <w:p>
            <w:r>
              <w:rPr>
                <w:b/>
                <w:sz w:val="20"/>
              </w:rPr>
              <w:t>ATO</w:t>
            </w:r>
          </w:p>
        </w:tc>
        <w:tc>
          <w:tcPr>
            <w:tcW w:type="dxa" w:w="6912"/>
          </w:tcPr>
          <w:p>
            <w:r>
              <w:rPr>
                <w:b w:val="0"/>
                <w:sz w:val="20"/>
              </w:rPr>
              <w:t>Authority to Operate</w:t>
            </w:r>
          </w:p>
        </w:tc>
      </w:tr>
      <w:tr>
        <w:tc>
          <w:tcPr>
            <w:tcW w:type="dxa" w:w="1728"/>
          </w:tcPr>
          <w:p>
            <w:r>
              <w:rPr>
                <w:b/>
                <w:sz w:val="20"/>
              </w:rPr>
              <w:t>CCB</w:t>
            </w:r>
          </w:p>
        </w:tc>
        <w:tc>
          <w:tcPr>
            <w:tcW w:type="dxa" w:w="6912"/>
          </w:tcPr>
          <w:p>
            <w:r>
              <w:rPr>
                <w:b w:val="0"/>
                <w:sz w:val="20"/>
              </w:rPr>
              <w:t>Configuration Control Board</w:t>
            </w:r>
          </w:p>
        </w:tc>
      </w:tr>
      <w:tr>
        <w:tc>
          <w:tcPr>
            <w:tcW w:type="dxa" w:w="1728"/>
          </w:tcPr>
          <w:p>
            <w:r>
              <w:rPr>
                <w:b/>
                <w:sz w:val="20"/>
              </w:rPr>
              <w:t>CDD</w:t>
            </w:r>
          </w:p>
        </w:tc>
        <w:tc>
          <w:tcPr>
            <w:tcW w:type="dxa" w:w="6912"/>
          </w:tcPr>
          <w:p>
            <w:r>
              <w:rPr>
                <w:b w:val="0"/>
                <w:sz w:val="20"/>
              </w:rPr>
              <w:t>Capability Development Document</w:t>
            </w:r>
          </w:p>
        </w:tc>
      </w:tr>
      <w:tr>
        <w:tc>
          <w:tcPr>
            <w:tcW w:type="dxa" w:w="1728"/>
          </w:tcPr>
          <w:p>
            <w:r>
              <w:rPr>
                <w:b/>
                <w:sz w:val="20"/>
              </w:rPr>
              <w:t>CDR</w:t>
            </w:r>
          </w:p>
        </w:tc>
        <w:tc>
          <w:tcPr>
            <w:tcW w:type="dxa" w:w="6912"/>
          </w:tcPr>
          <w:p>
            <w:r>
              <w:rPr>
                <w:b w:val="0"/>
                <w:sz w:val="20"/>
              </w:rPr>
              <w:t>Critical Design Review</w:t>
            </w:r>
          </w:p>
        </w:tc>
      </w:tr>
      <w:tr>
        <w:tc>
          <w:tcPr>
            <w:tcW w:type="dxa" w:w="1728"/>
          </w:tcPr>
          <w:p>
            <w:r>
              <w:rPr>
                <w:b/>
                <w:sz w:val="20"/>
              </w:rPr>
              <w:t>CONOPS</w:t>
            </w:r>
          </w:p>
        </w:tc>
        <w:tc>
          <w:tcPr>
            <w:tcW w:type="dxa" w:w="6912"/>
          </w:tcPr>
          <w:p>
            <w:r>
              <w:rPr>
                <w:b w:val="0"/>
                <w:sz w:val="20"/>
              </w:rPr>
              <w:t>Concept of Operations</w:t>
            </w:r>
          </w:p>
        </w:tc>
      </w:tr>
      <w:tr>
        <w:tc>
          <w:tcPr>
            <w:tcW w:type="dxa" w:w="1728"/>
          </w:tcPr>
          <w:p>
            <w:r>
              <w:rPr>
                <w:b/>
                <w:sz w:val="20"/>
              </w:rPr>
              <w:t>COTS</w:t>
            </w:r>
          </w:p>
        </w:tc>
        <w:tc>
          <w:tcPr>
            <w:tcW w:type="dxa" w:w="6912"/>
          </w:tcPr>
          <w:p>
            <w:r>
              <w:rPr>
                <w:b w:val="0"/>
                <w:sz w:val="20"/>
              </w:rPr>
              <w:t>Commercial Off-the-Shelf</w:t>
            </w:r>
          </w:p>
        </w:tc>
      </w:tr>
      <w:tr>
        <w:tc>
          <w:tcPr>
            <w:tcW w:type="dxa" w:w="1728"/>
          </w:tcPr>
          <w:p>
            <w:r>
              <w:rPr>
                <w:b/>
                <w:sz w:val="20"/>
              </w:rPr>
              <w:t>CPD</w:t>
            </w:r>
          </w:p>
        </w:tc>
        <w:tc>
          <w:tcPr>
            <w:tcW w:type="dxa" w:w="6912"/>
          </w:tcPr>
          <w:p>
            <w:r>
              <w:rPr>
                <w:b w:val="0"/>
                <w:sz w:val="20"/>
              </w:rPr>
              <w:t>Capability Production Document</w:t>
            </w:r>
          </w:p>
        </w:tc>
      </w:tr>
      <w:tr>
        <w:tc>
          <w:tcPr>
            <w:tcW w:type="dxa" w:w="1728"/>
          </w:tcPr>
          <w:p>
            <w:r>
              <w:rPr>
                <w:b/>
                <w:sz w:val="20"/>
              </w:rPr>
              <w:t>CTE</w:t>
            </w:r>
          </w:p>
        </w:tc>
        <w:tc>
          <w:tcPr>
            <w:tcW w:type="dxa" w:w="6912"/>
          </w:tcPr>
          <w:p>
            <w:r>
              <w:rPr>
                <w:b w:val="0"/>
                <w:sz w:val="20"/>
              </w:rPr>
              <w:t>Critical Technology Element</w:t>
            </w:r>
          </w:p>
        </w:tc>
      </w:tr>
      <w:tr>
        <w:tc>
          <w:tcPr>
            <w:tcW w:type="dxa" w:w="1728"/>
          </w:tcPr>
          <w:p>
            <w:r>
              <w:rPr>
                <w:b/>
                <w:sz w:val="20"/>
              </w:rPr>
              <w:t>DT</w:t>
            </w:r>
          </w:p>
        </w:tc>
        <w:tc>
          <w:tcPr>
            <w:tcW w:type="dxa" w:w="6912"/>
          </w:tcPr>
          <w:p>
            <w:r>
              <w:rPr>
                <w:b w:val="0"/>
                <w:sz w:val="20"/>
              </w:rPr>
              <w:t>Developmental Testing</w:t>
            </w:r>
          </w:p>
        </w:tc>
      </w:tr>
      <w:tr>
        <w:tc>
          <w:tcPr>
            <w:tcW w:type="dxa" w:w="1728"/>
          </w:tcPr>
          <w:p>
            <w:r>
              <w:rPr>
                <w:b/>
                <w:sz w:val="20"/>
              </w:rPr>
              <w:t>ECP</w:t>
            </w:r>
          </w:p>
        </w:tc>
        <w:tc>
          <w:tcPr>
            <w:tcW w:type="dxa" w:w="6912"/>
          </w:tcPr>
          <w:p>
            <w:r>
              <w:rPr>
                <w:b w:val="0"/>
                <w:sz w:val="20"/>
              </w:rPr>
              <w:t>Engineering Change Proposal</w:t>
            </w:r>
          </w:p>
        </w:tc>
      </w:tr>
      <w:tr>
        <w:tc>
          <w:tcPr>
            <w:tcW w:type="dxa" w:w="1728"/>
          </w:tcPr>
          <w:p>
            <w:r>
              <w:rPr>
                <w:b/>
                <w:sz w:val="20"/>
              </w:rPr>
              <w:t>ESOH</w:t>
            </w:r>
          </w:p>
        </w:tc>
        <w:tc>
          <w:tcPr>
            <w:tcW w:type="dxa" w:w="6912"/>
          </w:tcPr>
          <w:p>
            <w:r>
              <w:rPr>
                <w:b w:val="0"/>
                <w:sz w:val="20"/>
              </w:rPr>
              <w:t>Environment, Safety, and Occupational Health</w:t>
            </w:r>
          </w:p>
        </w:tc>
      </w:tr>
      <w:tr>
        <w:tc>
          <w:tcPr>
            <w:tcW w:type="dxa" w:w="1728"/>
          </w:tcPr>
          <w:p>
            <w:r>
              <w:rPr>
                <w:b/>
                <w:sz w:val="20"/>
              </w:rPr>
              <w:t>FBL</w:t>
            </w:r>
          </w:p>
        </w:tc>
        <w:tc>
          <w:tcPr>
            <w:tcW w:type="dxa" w:w="6912"/>
          </w:tcPr>
          <w:p>
            <w:r>
              <w:rPr>
                <w:b w:val="0"/>
                <w:sz w:val="20"/>
              </w:rPr>
              <w:t>Functional Baseline</w:t>
            </w:r>
          </w:p>
        </w:tc>
      </w:tr>
      <w:tr>
        <w:tc>
          <w:tcPr>
            <w:tcW w:type="dxa" w:w="1728"/>
          </w:tcPr>
          <w:p>
            <w:r>
              <w:rPr>
                <w:b/>
                <w:sz w:val="20"/>
              </w:rPr>
              <w:t>FCA</w:t>
            </w:r>
          </w:p>
        </w:tc>
        <w:tc>
          <w:tcPr>
            <w:tcW w:type="dxa" w:w="6912"/>
          </w:tcPr>
          <w:p>
            <w:r>
              <w:rPr>
                <w:b w:val="0"/>
                <w:sz w:val="20"/>
              </w:rPr>
              <w:t>Functional Configuration Audit</w:t>
            </w:r>
          </w:p>
        </w:tc>
      </w:tr>
      <w:tr>
        <w:tc>
          <w:tcPr>
            <w:tcW w:type="dxa" w:w="1728"/>
          </w:tcPr>
          <w:p>
            <w:r>
              <w:rPr>
                <w:b/>
                <w:sz w:val="20"/>
              </w:rPr>
              <w:t>FMECA</w:t>
            </w:r>
          </w:p>
        </w:tc>
        <w:tc>
          <w:tcPr>
            <w:tcW w:type="dxa" w:w="6912"/>
          </w:tcPr>
          <w:p>
            <w:r>
              <w:rPr>
                <w:b w:val="0"/>
                <w:sz w:val="20"/>
              </w:rPr>
              <w:t>Failure Mode, Effects, and Criticality Analysis</w:t>
            </w:r>
          </w:p>
        </w:tc>
      </w:tr>
      <w:tr>
        <w:tc>
          <w:tcPr>
            <w:tcW w:type="dxa" w:w="1728"/>
          </w:tcPr>
          <w:p>
            <w:r>
              <w:rPr>
                <w:b/>
                <w:sz w:val="20"/>
              </w:rPr>
              <w:t>GPR</w:t>
            </w:r>
          </w:p>
        </w:tc>
        <w:tc>
          <w:tcPr>
            <w:tcW w:type="dxa" w:w="6912"/>
          </w:tcPr>
          <w:p>
            <w:r>
              <w:rPr>
                <w:b w:val="0"/>
                <w:sz w:val="20"/>
              </w:rPr>
              <w:t>Government Purpose Rights</w:t>
            </w:r>
          </w:p>
        </w:tc>
      </w:tr>
      <w:tr>
        <w:tc>
          <w:tcPr>
            <w:tcW w:type="dxa" w:w="1728"/>
          </w:tcPr>
          <w:p>
            <w:r>
              <w:rPr>
                <w:b/>
                <w:sz w:val="20"/>
              </w:rPr>
              <w:t>HSI</w:t>
            </w:r>
          </w:p>
        </w:tc>
        <w:tc>
          <w:tcPr>
            <w:tcW w:type="dxa" w:w="6912"/>
          </w:tcPr>
          <w:p>
            <w:r>
              <w:rPr>
                <w:b w:val="0"/>
                <w:sz w:val="20"/>
              </w:rPr>
              <w:t>Human Systems Integration</w:t>
            </w:r>
          </w:p>
        </w:tc>
      </w:tr>
      <w:tr>
        <w:tc>
          <w:tcPr>
            <w:tcW w:type="dxa" w:w="1728"/>
          </w:tcPr>
          <w:p>
            <w:r>
              <w:rPr>
                <w:b/>
                <w:sz w:val="20"/>
              </w:rPr>
              <w:t>ICD</w:t>
            </w:r>
          </w:p>
        </w:tc>
        <w:tc>
          <w:tcPr>
            <w:tcW w:type="dxa" w:w="6912"/>
          </w:tcPr>
          <w:p>
            <w:r>
              <w:rPr>
                <w:b w:val="0"/>
                <w:sz w:val="20"/>
              </w:rPr>
              <w:t>Interface Control Document</w:t>
            </w:r>
          </w:p>
        </w:tc>
      </w:tr>
      <w:tr>
        <w:tc>
          <w:tcPr>
            <w:tcW w:type="dxa" w:w="1728"/>
          </w:tcPr>
          <w:p>
            <w:r>
              <w:rPr>
                <w:b/>
                <w:sz w:val="20"/>
              </w:rPr>
              <w:t>ICWG</w:t>
            </w:r>
          </w:p>
        </w:tc>
        <w:tc>
          <w:tcPr>
            <w:tcW w:type="dxa" w:w="6912"/>
          </w:tcPr>
          <w:p>
            <w:r>
              <w:rPr>
                <w:b w:val="0"/>
                <w:sz w:val="20"/>
              </w:rPr>
              <w:t>Interface Control Working Group</w:t>
            </w:r>
          </w:p>
        </w:tc>
      </w:tr>
      <w:tr>
        <w:tc>
          <w:tcPr>
            <w:tcW w:type="dxa" w:w="1728"/>
          </w:tcPr>
          <w:p>
            <w:r>
              <w:rPr>
                <w:b/>
                <w:sz w:val="20"/>
              </w:rPr>
              <w:t>IMP</w:t>
            </w:r>
          </w:p>
        </w:tc>
        <w:tc>
          <w:tcPr>
            <w:tcW w:type="dxa" w:w="6912"/>
          </w:tcPr>
          <w:p>
            <w:r>
              <w:rPr>
                <w:b w:val="0"/>
                <w:sz w:val="20"/>
              </w:rPr>
              <w:t>Integrated Master Plan</w:t>
            </w:r>
          </w:p>
        </w:tc>
      </w:tr>
      <w:tr>
        <w:tc>
          <w:tcPr>
            <w:tcW w:type="dxa" w:w="1728"/>
          </w:tcPr>
          <w:p>
            <w:r>
              <w:rPr>
                <w:b/>
                <w:sz w:val="20"/>
              </w:rPr>
              <w:t>IMS</w:t>
            </w:r>
          </w:p>
        </w:tc>
        <w:tc>
          <w:tcPr>
            <w:tcW w:type="dxa" w:w="6912"/>
          </w:tcPr>
          <w:p>
            <w:r>
              <w:rPr>
                <w:b w:val="0"/>
                <w:sz w:val="20"/>
              </w:rPr>
              <w:t>Integrated Master Schedule</w:t>
            </w:r>
          </w:p>
        </w:tc>
      </w:tr>
      <w:tr>
        <w:tc>
          <w:tcPr>
            <w:tcW w:type="dxa" w:w="1728"/>
          </w:tcPr>
          <w:p>
            <w:r>
              <w:rPr>
                <w:b/>
                <w:sz w:val="20"/>
              </w:rPr>
              <w:t>IOT&amp;E</w:t>
            </w:r>
          </w:p>
        </w:tc>
        <w:tc>
          <w:tcPr>
            <w:tcW w:type="dxa" w:w="6912"/>
          </w:tcPr>
          <w:p>
            <w:r>
              <w:rPr>
                <w:b w:val="0"/>
                <w:sz w:val="20"/>
              </w:rPr>
              <w:t>Initial Operational Test and Evaluation</w:t>
            </w:r>
          </w:p>
        </w:tc>
      </w:tr>
      <w:tr>
        <w:tc>
          <w:tcPr>
            <w:tcW w:type="dxa" w:w="1728"/>
          </w:tcPr>
          <w:p>
            <w:r>
              <w:rPr>
                <w:b/>
                <w:sz w:val="20"/>
              </w:rPr>
              <w:t>IPT</w:t>
            </w:r>
          </w:p>
        </w:tc>
        <w:tc>
          <w:tcPr>
            <w:tcW w:type="dxa" w:w="6912"/>
          </w:tcPr>
          <w:p>
            <w:r>
              <w:rPr>
                <w:b w:val="0"/>
                <w:sz w:val="20"/>
              </w:rPr>
              <w:t>Integrated Product Team</w:t>
            </w:r>
          </w:p>
        </w:tc>
      </w:tr>
      <w:tr>
        <w:tc>
          <w:tcPr>
            <w:tcW w:type="dxa" w:w="1728"/>
          </w:tcPr>
          <w:p>
            <w:r>
              <w:rPr>
                <w:b/>
                <w:sz w:val="20"/>
              </w:rPr>
              <w:t>LSE</w:t>
            </w:r>
          </w:p>
        </w:tc>
        <w:tc>
          <w:tcPr>
            <w:tcW w:type="dxa" w:w="6912"/>
          </w:tcPr>
          <w:p>
            <w:r>
              <w:rPr>
                <w:b w:val="0"/>
                <w:sz w:val="20"/>
              </w:rPr>
              <w:t>Lead Systems Engineer</w:t>
            </w:r>
          </w:p>
        </w:tc>
      </w:tr>
      <w:tr>
        <w:tc>
          <w:tcPr>
            <w:tcW w:type="dxa" w:w="1728"/>
          </w:tcPr>
          <w:p>
            <w:r>
              <w:rPr>
                <w:b/>
                <w:sz w:val="20"/>
              </w:rPr>
              <w:t>MBSE</w:t>
            </w:r>
          </w:p>
        </w:tc>
        <w:tc>
          <w:tcPr>
            <w:tcW w:type="dxa" w:w="6912"/>
          </w:tcPr>
          <w:p>
            <w:r>
              <w:rPr>
                <w:b w:val="0"/>
                <w:sz w:val="20"/>
              </w:rPr>
              <w:t>Model-Based Systems Engineering</w:t>
            </w:r>
          </w:p>
        </w:tc>
      </w:tr>
      <w:tr>
        <w:tc>
          <w:tcPr>
            <w:tcW w:type="dxa" w:w="1728"/>
          </w:tcPr>
          <w:p>
            <w:r>
              <w:rPr>
                <w:b/>
                <w:sz w:val="20"/>
              </w:rPr>
              <w:t>MOSA</w:t>
            </w:r>
          </w:p>
        </w:tc>
        <w:tc>
          <w:tcPr>
            <w:tcW w:type="dxa" w:w="6912"/>
          </w:tcPr>
          <w:p>
            <w:r>
              <w:rPr>
                <w:b w:val="0"/>
                <w:sz w:val="20"/>
              </w:rPr>
              <w:t>Modular Open Systems Approach</w:t>
            </w:r>
          </w:p>
        </w:tc>
      </w:tr>
      <w:tr>
        <w:tc>
          <w:tcPr>
            <w:tcW w:type="dxa" w:w="1728"/>
          </w:tcPr>
          <w:p>
            <w:r>
              <w:rPr>
                <w:b/>
                <w:sz w:val="20"/>
              </w:rPr>
              <w:t>MOTS</w:t>
            </w:r>
          </w:p>
        </w:tc>
        <w:tc>
          <w:tcPr>
            <w:tcW w:type="dxa" w:w="6912"/>
          </w:tcPr>
          <w:p>
            <w:r>
              <w:rPr>
                <w:b w:val="0"/>
                <w:sz w:val="20"/>
              </w:rPr>
              <w:t>Modified Off-the-Shelf</w:t>
            </w:r>
          </w:p>
        </w:tc>
      </w:tr>
      <w:tr>
        <w:tc>
          <w:tcPr>
            <w:tcW w:type="dxa" w:w="1728"/>
          </w:tcPr>
          <w:p>
            <w:r>
              <w:rPr>
                <w:b/>
                <w:sz w:val="20"/>
              </w:rPr>
              <w:t>OT</w:t>
            </w:r>
          </w:p>
        </w:tc>
        <w:tc>
          <w:tcPr>
            <w:tcW w:type="dxa" w:w="6912"/>
          </w:tcPr>
          <w:p>
            <w:r>
              <w:rPr>
                <w:b w:val="0"/>
                <w:sz w:val="20"/>
              </w:rPr>
              <w:t>Operational Testing</w:t>
            </w:r>
          </w:p>
        </w:tc>
      </w:tr>
      <w:tr>
        <w:tc>
          <w:tcPr>
            <w:tcW w:type="dxa" w:w="1728"/>
          </w:tcPr>
          <w:p>
            <w:r>
              <w:rPr>
                <w:b/>
                <w:sz w:val="20"/>
              </w:rPr>
              <w:t>PBL</w:t>
            </w:r>
          </w:p>
        </w:tc>
        <w:tc>
          <w:tcPr>
            <w:tcW w:type="dxa" w:w="6912"/>
          </w:tcPr>
          <w:p>
            <w:r>
              <w:rPr>
                <w:b w:val="0"/>
                <w:sz w:val="20"/>
              </w:rPr>
              <w:t>Product Baseline</w:t>
            </w:r>
          </w:p>
        </w:tc>
      </w:tr>
      <w:tr>
        <w:tc>
          <w:tcPr>
            <w:tcW w:type="dxa" w:w="1728"/>
          </w:tcPr>
          <w:p>
            <w:r>
              <w:rPr>
                <w:b/>
                <w:sz w:val="20"/>
              </w:rPr>
              <w:t>PCA</w:t>
            </w:r>
          </w:p>
        </w:tc>
        <w:tc>
          <w:tcPr>
            <w:tcW w:type="dxa" w:w="6912"/>
          </w:tcPr>
          <w:p>
            <w:r>
              <w:rPr>
                <w:b w:val="0"/>
                <w:sz w:val="20"/>
              </w:rPr>
              <w:t>Physical Configuration Audit</w:t>
            </w:r>
          </w:p>
        </w:tc>
      </w:tr>
      <w:tr>
        <w:tc>
          <w:tcPr>
            <w:tcW w:type="dxa" w:w="1728"/>
          </w:tcPr>
          <w:p>
            <w:r>
              <w:rPr>
                <w:b/>
                <w:sz w:val="20"/>
              </w:rPr>
              <w:t>PDR</w:t>
            </w:r>
          </w:p>
        </w:tc>
        <w:tc>
          <w:tcPr>
            <w:tcW w:type="dxa" w:w="6912"/>
          </w:tcPr>
          <w:p>
            <w:r>
              <w:rPr>
                <w:b w:val="0"/>
                <w:sz w:val="20"/>
              </w:rPr>
              <w:t>Preliminary Design Review</w:t>
            </w:r>
          </w:p>
        </w:tc>
      </w:tr>
      <w:tr>
        <w:tc>
          <w:tcPr>
            <w:tcW w:type="dxa" w:w="1728"/>
          </w:tcPr>
          <w:p>
            <w:r>
              <w:rPr>
                <w:b/>
                <w:sz w:val="20"/>
              </w:rPr>
              <w:t>PM</w:t>
            </w:r>
          </w:p>
        </w:tc>
        <w:tc>
          <w:tcPr>
            <w:tcW w:type="dxa" w:w="6912"/>
          </w:tcPr>
          <w:p>
            <w:r>
              <w:rPr>
                <w:b w:val="0"/>
                <w:sz w:val="20"/>
              </w:rPr>
              <w:t>Program Manager</w:t>
            </w:r>
          </w:p>
        </w:tc>
      </w:tr>
      <w:tr>
        <w:tc>
          <w:tcPr>
            <w:tcW w:type="dxa" w:w="1728"/>
          </w:tcPr>
          <w:p>
            <w:r>
              <w:rPr>
                <w:b/>
                <w:sz w:val="20"/>
              </w:rPr>
              <w:t>PPP</w:t>
            </w:r>
          </w:p>
        </w:tc>
        <w:tc>
          <w:tcPr>
            <w:tcW w:type="dxa" w:w="6912"/>
          </w:tcPr>
          <w:p>
            <w:r>
              <w:rPr>
                <w:b w:val="0"/>
                <w:sz w:val="20"/>
              </w:rPr>
              <w:t>Program Protection Plan</w:t>
            </w:r>
          </w:p>
        </w:tc>
      </w:tr>
      <w:tr>
        <w:tc>
          <w:tcPr>
            <w:tcW w:type="dxa" w:w="1728"/>
          </w:tcPr>
          <w:p>
            <w:r>
              <w:rPr>
                <w:b/>
                <w:sz w:val="20"/>
              </w:rPr>
              <w:t>RAM</w:t>
            </w:r>
          </w:p>
        </w:tc>
        <w:tc>
          <w:tcPr>
            <w:tcW w:type="dxa" w:w="6912"/>
          </w:tcPr>
          <w:p>
            <w:r>
              <w:rPr>
                <w:b w:val="0"/>
                <w:sz w:val="20"/>
              </w:rPr>
              <w:t>Reliability, Availability, and Maintainability</w:t>
            </w:r>
          </w:p>
        </w:tc>
      </w:tr>
      <w:tr>
        <w:tc>
          <w:tcPr>
            <w:tcW w:type="dxa" w:w="1728"/>
          </w:tcPr>
          <w:p>
            <w:r>
              <w:rPr>
                <w:b/>
                <w:sz w:val="20"/>
              </w:rPr>
              <w:t>RFD</w:t>
            </w:r>
          </w:p>
        </w:tc>
        <w:tc>
          <w:tcPr>
            <w:tcW w:type="dxa" w:w="6912"/>
          </w:tcPr>
          <w:p>
            <w:r>
              <w:rPr>
                <w:b w:val="0"/>
                <w:sz w:val="20"/>
              </w:rPr>
              <w:t>Request for Deviation</w:t>
            </w:r>
          </w:p>
        </w:tc>
      </w:tr>
      <w:tr>
        <w:tc>
          <w:tcPr>
            <w:tcW w:type="dxa" w:w="1728"/>
          </w:tcPr>
          <w:p>
            <w:r>
              <w:rPr>
                <w:b/>
                <w:sz w:val="20"/>
              </w:rPr>
              <w:t>RMF</w:t>
            </w:r>
          </w:p>
        </w:tc>
        <w:tc>
          <w:tcPr>
            <w:tcW w:type="dxa" w:w="6912"/>
          </w:tcPr>
          <w:p>
            <w:r>
              <w:rPr>
                <w:b w:val="0"/>
                <w:sz w:val="20"/>
              </w:rPr>
              <w:t>Risk Management Framework</w:t>
            </w:r>
          </w:p>
        </w:tc>
      </w:tr>
      <w:tr>
        <w:tc>
          <w:tcPr>
            <w:tcW w:type="dxa" w:w="1728"/>
          </w:tcPr>
          <w:p>
            <w:r>
              <w:rPr>
                <w:b/>
                <w:sz w:val="20"/>
              </w:rPr>
              <w:t>SDR</w:t>
            </w:r>
          </w:p>
        </w:tc>
        <w:tc>
          <w:tcPr>
            <w:tcW w:type="dxa" w:w="6912"/>
          </w:tcPr>
          <w:p>
            <w:r>
              <w:rPr>
                <w:b w:val="0"/>
                <w:sz w:val="20"/>
              </w:rPr>
              <w:t>System Design Review</w:t>
            </w:r>
          </w:p>
        </w:tc>
      </w:tr>
      <w:tr>
        <w:tc>
          <w:tcPr>
            <w:tcW w:type="dxa" w:w="1728"/>
          </w:tcPr>
          <w:p>
            <w:r>
              <w:rPr>
                <w:b/>
                <w:sz w:val="20"/>
              </w:rPr>
              <w:t>SE</w:t>
            </w:r>
          </w:p>
        </w:tc>
        <w:tc>
          <w:tcPr>
            <w:tcW w:type="dxa" w:w="6912"/>
          </w:tcPr>
          <w:p>
            <w:r>
              <w:rPr>
                <w:b w:val="0"/>
                <w:sz w:val="20"/>
              </w:rPr>
              <w:t>Systems Engineering</w:t>
            </w:r>
          </w:p>
        </w:tc>
      </w:tr>
      <w:tr>
        <w:tc>
          <w:tcPr>
            <w:tcW w:type="dxa" w:w="1728"/>
          </w:tcPr>
          <w:p>
            <w:r>
              <w:rPr>
                <w:b/>
                <w:sz w:val="20"/>
              </w:rPr>
              <w:t>SEMP</w:t>
            </w:r>
          </w:p>
        </w:tc>
        <w:tc>
          <w:tcPr>
            <w:tcW w:type="dxa" w:w="6912"/>
          </w:tcPr>
          <w:p>
            <w:r>
              <w:rPr>
                <w:b w:val="0"/>
                <w:sz w:val="20"/>
              </w:rPr>
              <w:t>Systems Engineering Management Plan</w:t>
            </w:r>
          </w:p>
        </w:tc>
      </w:tr>
      <w:tr>
        <w:tc>
          <w:tcPr>
            <w:tcW w:type="dxa" w:w="1728"/>
          </w:tcPr>
          <w:p>
            <w:r>
              <w:rPr>
                <w:b/>
                <w:sz w:val="20"/>
              </w:rPr>
              <w:t>SEP</w:t>
            </w:r>
          </w:p>
        </w:tc>
        <w:tc>
          <w:tcPr>
            <w:tcW w:type="dxa" w:w="6912"/>
          </w:tcPr>
          <w:p>
            <w:r>
              <w:rPr>
                <w:b w:val="0"/>
                <w:sz w:val="20"/>
              </w:rPr>
              <w:t>Systems Engineering Plan</w:t>
            </w:r>
          </w:p>
        </w:tc>
      </w:tr>
      <w:tr>
        <w:tc>
          <w:tcPr>
            <w:tcW w:type="dxa" w:w="1728"/>
          </w:tcPr>
          <w:p>
            <w:r>
              <w:rPr>
                <w:b/>
                <w:sz w:val="20"/>
              </w:rPr>
              <w:t>SRR</w:t>
            </w:r>
          </w:p>
        </w:tc>
        <w:tc>
          <w:tcPr>
            <w:tcW w:type="dxa" w:w="6912"/>
          </w:tcPr>
          <w:p>
            <w:r>
              <w:rPr>
                <w:b w:val="0"/>
                <w:sz w:val="20"/>
              </w:rPr>
              <w:t>System Requirements Review</w:t>
            </w:r>
          </w:p>
        </w:tc>
      </w:tr>
      <w:tr>
        <w:tc>
          <w:tcPr>
            <w:tcW w:type="dxa" w:w="1728"/>
          </w:tcPr>
          <w:p>
            <w:r>
              <w:rPr>
                <w:b/>
                <w:sz w:val="20"/>
              </w:rPr>
              <w:t>SSPP</w:t>
            </w:r>
          </w:p>
        </w:tc>
        <w:tc>
          <w:tcPr>
            <w:tcW w:type="dxa" w:w="6912"/>
          </w:tcPr>
          <w:p>
            <w:r>
              <w:rPr>
                <w:b w:val="0"/>
                <w:sz w:val="20"/>
              </w:rPr>
              <w:t>System Safety Program Plan</w:t>
            </w:r>
          </w:p>
        </w:tc>
      </w:tr>
      <w:tr>
        <w:tc>
          <w:tcPr>
            <w:tcW w:type="dxa" w:w="1728"/>
          </w:tcPr>
          <w:p>
            <w:r>
              <w:rPr>
                <w:b/>
                <w:sz w:val="20"/>
              </w:rPr>
              <w:t>SSWG</w:t>
            </w:r>
          </w:p>
        </w:tc>
        <w:tc>
          <w:tcPr>
            <w:tcW w:type="dxa" w:w="6912"/>
          </w:tcPr>
          <w:p>
            <w:r>
              <w:rPr>
                <w:b w:val="0"/>
                <w:sz w:val="20"/>
              </w:rPr>
              <w:t>System Safety Working Group</w:t>
            </w:r>
          </w:p>
        </w:tc>
      </w:tr>
      <w:tr>
        <w:tc>
          <w:tcPr>
            <w:tcW w:type="dxa" w:w="1728"/>
          </w:tcPr>
          <w:p>
            <w:r>
              <w:rPr>
                <w:b/>
                <w:sz w:val="20"/>
              </w:rPr>
              <w:t>SVR</w:t>
            </w:r>
          </w:p>
        </w:tc>
        <w:tc>
          <w:tcPr>
            <w:tcW w:type="dxa" w:w="6912"/>
          </w:tcPr>
          <w:p>
            <w:r>
              <w:rPr>
                <w:b w:val="0"/>
                <w:sz w:val="20"/>
              </w:rPr>
              <w:t>System Verification Review</w:t>
            </w:r>
          </w:p>
        </w:tc>
      </w:tr>
      <w:tr>
        <w:tc>
          <w:tcPr>
            <w:tcW w:type="dxa" w:w="1728"/>
          </w:tcPr>
          <w:p>
            <w:r>
              <w:rPr>
                <w:b/>
                <w:sz w:val="20"/>
              </w:rPr>
              <w:t>TEMP</w:t>
            </w:r>
          </w:p>
        </w:tc>
        <w:tc>
          <w:tcPr>
            <w:tcW w:type="dxa" w:w="6912"/>
          </w:tcPr>
          <w:p>
            <w:r>
              <w:rPr>
                <w:b w:val="0"/>
                <w:sz w:val="20"/>
              </w:rPr>
              <w:t>Test and Evaluation Master Plan</w:t>
            </w:r>
          </w:p>
        </w:tc>
      </w:tr>
      <w:tr>
        <w:tc>
          <w:tcPr>
            <w:tcW w:type="dxa" w:w="1728"/>
          </w:tcPr>
          <w:p>
            <w:r>
              <w:rPr>
                <w:b/>
                <w:sz w:val="20"/>
              </w:rPr>
              <w:t>TPM</w:t>
            </w:r>
          </w:p>
        </w:tc>
        <w:tc>
          <w:tcPr>
            <w:tcW w:type="dxa" w:w="6912"/>
          </w:tcPr>
          <w:p>
            <w:r>
              <w:rPr>
                <w:b w:val="0"/>
                <w:sz w:val="20"/>
              </w:rPr>
              <w:t>Technical Performance Measure</w:t>
            </w:r>
          </w:p>
        </w:tc>
      </w:tr>
      <w:tr>
        <w:tc>
          <w:tcPr>
            <w:tcW w:type="dxa" w:w="1728"/>
          </w:tcPr>
          <w:p>
            <w:r>
              <w:rPr>
                <w:b/>
                <w:sz w:val="20"/>
              </w:rPr>
              <w:t>TRA</w:t>
            </w:r>
          </w:p>
        </w:tc>
        <w:tc>
          <w:tcPr>
            <w:tcW w:type="dxa" w:w="6912"/>
          </w:tcPr>
          <w:p>
            <w:r>
              <w:rPr>
                <w:b w:val="0"/>
                <w:sz w:val="20"/>
              </w:rPr>
              <w:t>Technology Readiness Assessment</w:t>
            </w:r>
          </w:p>
        </w:tc>
      </w:tr>
      <w:tr>
        <w:tc>
          <w:tcPr>
            <w:tcW w:type="dxa" w:w="1728"/>
          </w:tcPr>
          <w:p>
            <w:r>
              <w:rPr>
                <w:b/>
                <w:sz w:val="20"/>
              </w:rPr>
              <w:t>TRL</w:t>
            </w:r>
          </w:p>
        </w:tc>
        <w:tc>
          <w:tcPr>
            <w:tcW w:type="dxa" w:w="6912"/>
          </w:tcPr>
          <w:p>
            <w:r>
              <w:rPr>
                <w:b w:val="0"/>
                <w:sz w:val="20"/>
              </w:rPr>
              <w:t>Technology Readiness Level</w:t>
            </w:r>
          </w:p>
        </w:tc>
      </w:tr>
      <w:tr>
        <w:tc>
          <w:tcPr>
            <w:tcW w:type="dxa" w:w="1728"/>
          </w:tcPr>
          <w:p>
            <w:r>
              <w:rPr>
                <w:b/>
                <w:sz w:val="20"/>
              </w:rPr>
              <w:t>VCRM</w:t>
            </w:r>
          </w:p>
        </w:tc>
        <w:tc>
          <w:tcPr>
            <w:tcW w:type="dxa" w:w="6912"/>
          </w:tcPr>
          <w:p>
            <w:r>
              <w:rPr>
                <w:b w:val="0"/>
                <w:sz w:val="20"/>
              </w:rPr>
              <w:t>Verification Cross-Reference Matrix</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8"/>
      </w:rPr>
      <w:t>SEP Smoke Test</w:t>
    </w:r>
  </w:p>
  <w:p>
    <w:pPr>
      <w:jc w:val="center"/>
    </w:pP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