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SEP Smoke Test</w:t>
      </w:r>
    </w:p>
    <w:p>
      <w:pPr>
        <w:spacing w:before="240"/>
        <w:jc w:val="center"/>
      </w:pPr>
      <w:r>
        <w:rPr>
          <w:color w:val="444444"/>
          <w:sz w:val="32"/>
        </w:rPr>
        <w:t>Request for Information (AI-Assisted)</w:t>
      </w:r>
    </w:p>
    <w:p>
      <w:pPr>
        <w:spacing w:before="160"/>
        <w:jc w:val="center"/>
      </w:pPr>
      <w:r>
        <w:rPr>
          <w:sz w:val="22"/>
        </w:rPr>
        <w:t>February 28, 2026</w:t>
      </w:r>
    </w:p>
    <w:p>
      <w:r>
        <w:br w:type="page"/>
      </w:r>
    </w:p>
    <w:p>
      <w:pPr>
        <w:pStyle w:val="Heading1"/>
        <w:spacing w:before="0" w:after="160"/>
      </w:pPr>
      <w:r>
        <w:t>1. Document Overview</w:t>
      </w:r>
    </w:p>
    <w:p>
      <w:r>
        <w:t>This RFI solicits industry input for the SEP Smoke Test program’s Modular Open Systems Approach (MOSA) implementation. It requests draft module decompositions, interface definitions, data-rights approaches (minimum Government Purpose Rights for interfaces), MOSA integration/test scenarios, and technical risk/obsolescence mitigation proposals to inform a follow-on RFP and demonstration plan.</w:t>
      </w:r>
    </w:p>
    <w:p>
      <w:r>
        <w:br w:type="page"/>
      </w:r>
    </w:p>
    <w:p>
      <w:pPr>
        <w:pStyle w:val="Heading1"/>
        <w:spacing w:before="0" w:after="160"/>
      </w:pPr>
      <w:r>
        <w:t>2. RFI Purpose</w:t>
      </w:r>
    </w:p>
    <w:p>
      <w:r>
        <w:t>Statutory and policy purpose: to comply with 10 U.S.C. direction to preserve Government Purpose Rights (GPR) on required interfaces and to implement MOSA MVP expectations (define modules, interfaces, scenarios, and data rights) to enable cross-service and allied reuse, inform acquisition strategy, and reduce life-cycle cost and vendor lock.</w:t>
      </w:r>
    </w:p>
    <w:p>
      <w:r>
        <w:br w:type="page"/>
      </w:r>
    </w:p>
    <w:p>
      <w:pPr>
        <w:pStyle w:val="Heading1"/>
        <w:spacing w:before="0" w:after="160"/>
      </w:pPr>
      <w:r>
        <w:t>3. Program Context</w:t>
      </w:r>
    </w:p>
    <w:p>
      <w:r>
        <w:t>SEP Smoke Test is a program-level MOSA demonstration and limited acquisition intended to validate modular UAS Family-of-Systems integrations and to provide reusable module specifications for cross-service and partner-nation leverage. The program will adopt the existing UAS Family of Systems Architecture that has been vetted with industry on prior UAS efforts; deviations from that architecture will be controlled and managed to limit interoperability impacts and preserve reuse across services.</w:t>
      </w:r>
    </w:p>
    <w:p>
      <w:r>
        <w:t>The acquisition strategy emphasizes MOSA compliance: draft modules and interfaces will be defined and used as the baseline for system-of-systems smoke tests. The program intends to minimize proprietary data acquisitions inside modules, require minimum GPR for interfaces under applicable 10 U.S.C. guidance, and use selective negotiated license rights (SNLR) only where necessary to preserve a vendor's commercial IP while ensuring Government sustainment access. The program scope includes demonstration of repair/maintenance scenarios and will obtain Technical Data Packages (TDP) and rights necessary to enable module-level maintenance where MOSA scenarios demand it.</w:t>
      </w:r>
    </w:p>
    <w:p>
      <w:r>
        <w:t>Standards alignment is required as part of MOSA compliance: the SEP Smoke Test will adopt the UAS Family-of-Systems Architecture and will align interface and interoperability requirements with higher-echelon communications architectures identified in the acquisition strategy (PAE C3BM and PAE C3N). Vendors should assume the program will use those architectures as the baseline for data formats, link-layer and mission-package integration, and cross-service interoperability during smoke testing.</w:t>
      </w:r>
    </w:p>
    <w:p>
      <w:r>
        <w:br w:type="page"/>
      </w:r>
    </w:p>
    <w:p>
      <w:pPr>
        <w:pStyle w:val="Heading1"/>
        <w:spacing w:before="0" w:after="160"/>
      </w:pPr>
      <w:r>
        <w:t>4. MOSA Requirements</w:t>
      </w:r>
    </w:p>
    <w:p>
      <w:r>
        <w:t>This acquisition will be structured in accordance with a Modular Open Systems Approach (MOSA) as required by 10 U.S.C. § 4401. The following requirements apply to this specific program:</w:t>
      </w:r>
    </w:p>
    <w:p>
      <w:pPr>
        <w:pStyle w:val="ListBullet"/>
      </w:pPr>
      <w:r>
        <w:t>Provide a draft module breakdown aligned to the UAS Family-of-Systems Architecture; each module must have a defined primary function, boundaries and a candidate Interface Control Document (ICD).</w:t>
      </w:r>
    </w:p>
    <w:p>
      <w:pPr>
        <w:pStyle w:val="ListBullet"/>
      </w:pPr>
      <w:r>
        <w:t>Define explicit interfaces for each module with minimum Government Purpose Rights (GPR) asserted for all interface deliverables per applicable 10 U.S.C. requirements.</w:t>
      </w:r>
    </w:p>
    <w:p>
      <w:pPr>
        <w:pStyle w:val="ListBullet"/>
      </w:pPr>
      <w:r>
        <w:t>Provide high-level MOSA scenarios to be demonstrated in the SEP Smoke Test, including (a) module hot-swap/upgrade, (b) cross-vendor integration of payload and GCS, (c) cross-service data exchange, and (d) repair/maintenance with TDP use.</w:t>
      </w:r>
    </w:p>
    <w:p>
      <w:pPr>
        <w:pStyle w:val="ListBullet"/>
      </w:pPr>
      <w:r>
        <w:t>Map each module to applicable standards and to the PAE C3BM and PAE C3N architectures where communications/datalink or higher-echelon integration is required.</w:t>
      </w:r>
    </w:p>
    <w:p>
      <w:pPr>
        <w:pStyle w:val="ListBullet"/>
      </w:pPr>
      <w:r>
        <w:t>Deliver interface compliance evidence: ICDs, sample API contracts, message schemas, and a test harness description sufficient to run a smoke test integration within the program-provided lab environment.</w:t>
      </w:r>
    </w:p>
    <w:p>
      <w:pPr>
        <w:pStyle w:val="ListBullet"/>
      </w:pPr>
      <w:r>
        <w:t>Provide a data-rights strategy for each module and interface that minimizes proprietary blockages while preserving necessary commercial IP via SNLR where justified; identify what parts of the module require TDP and why.</w:t>
      </w:r>
    </w:p>
    <w:p>
      <w:pPr>
        <w:pStyle w:val="ListBullet"/>
      </w:pPr>
      <w:r>
        <w:t>Include an obsolescence and COTS-availability assessment per module with proposed mitigation (spare parts strategy, alternative vendors, controlled subcomponent baselines).</w:t>
      </w:r>
    </w:p>
    <w:p>
      <w:pPr>
        <w:pStyle w:val="ListBullet"/>
      </w:pPr>
      <w:r>
        <w:t>Describe verification approach for MOSA adherence including objective acceptance criteria for module-level plug-and-play, interface adherence, and information assurance baseline.</w:t>
      </w:r>
    </w:p>
    <w:p>
      <w:r>
        <w:br w:type="page"/>
      </w:r>
    </w:p>
    <w:p>
      <w:pPr>
        <w:pStyle w:val="Heading1"/>
        <w:spacing w:before="0" w:after="160"/>
      </w:pPr>
      <w:r>
        <w:t>5. Candidate Module Summary</w:t>
      </w:r>
    </w:p>
    <w:p>
      <w:r>
        <w:t>The Government has identified the following candidate modules as a starting point for the modular architecture. Respondents are encouraged to propose alternative decompositions.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D9E1F2"/>
          </w:tcPr>
          <w:p>
            <w:r>
              <w:rPr>
                <w:b/>
                <w:sz w:val="20"/>
              </w:rPr>
              <w:t>Module</w:t>
            </w:r>
          </w:p>
        </w:tc>
        <w:tc>
          <w:tcPr>
            <w:tcW w:type="dxa" w:w="1728"/>
            <w:shd w:val="clear" w:color="auto" w:fill="D9E1F2"/>
          </w:tcPr>
          <w:p>
            <w:r>
              <w:rPr>
                <w:b/>
                <w:sz w:val="20"/>
              </w:rPr>
              <w:t>Rationale</w:t>
            </w:r>
          </w:p>
        </w:tc>
        <w:tc>
          <w:tcPr>
            <w:tcW w:type="dxa" w:w="1440"/>
            <w:shd w:val="clear" w:color="auto" w:fill="D9E1F2"/>
          </w:tcPr>
          <w:p>
            <w:r>
              <w:rPr>
                <w:b/>
                <w:sz w:val="20"/>
              </w:rPr>
              <w:t>Key Interfaces</w:t>
            </w:r>
          </w:p>
        </w:tc>
        <w:tc>
          <w:tcPr>
            <w:tcW w:type="dxa" w:w="1296"/>
            <w:shd w:val="clear" w:color="auto" w:fill="D9E1F2"/>
          </w:tcPr>
          <w:p>
            <w:r>
              <w:rPr>
                <w:b/>
                <w:sz w:val="20"/>
              </w:rPr>
              <w:t>Standards</w:t>
            </w:r>
          </w:p>
        </w:tc>
        <w:tc>
          <w:tcPr>
            <w:tcW w:type="dxa" w:w="864"/>
            <w:shd w:val="clear" w:color="auto" w:fill="D9E1F2"/>
          </w:tcPr>
          <w:p>
            <w:r>
              <w:rPr>
                <w:b/>
                <w:sz w:val="20"/>
              </w:rPr>
              <w:t>Tech Risk</w:t>
            </w:r>
          </w:p>
        </w:tc>
        <w:tc>
          <w:tcPr>
            <w:tcW w:type="dxa" w:w="1152"/>
            <w:shd w:val="clear" w:color="auto" w:fill="D9E1F2"/>
          </w:tcPr>
          <w:p>
            <w:r>
              <w:rPr>
                <w:b/>
                <w:sz w:val="20"/>
              </w:rPr>
              <w:t>Obsolescence Risk</w:t>
            </w:r>
          </w:p>
        </w:tc>
        <w:tc>
          <w:tcPr>
            <w:tcW w:type="dxa" w:w="864"/>
            <w:shd w:val="clear" w:color="auto" w:fill="D9E1F2"/>
          </w:tcPr>
          <w:p>
            <w:r>
              <w:rPr>
                <w:b/>
                <w:sz w:val="20"/>
              </w:rPr>
              <w:t>COTS Candidate</w:t>
            </w:r>
          </w:p>
        </w:tc>
      </w:tr>
      <w:tr>
        <w:tc>
          <w:tcPr>
            <w:tcW w:type="dxa" w:w="1296"/>
          </w:tcPr>
          <w:p>
            <w:r>
              <w:rPr>
                <w:b w:val="0"/>
                <w:sz w:val="20"/>
              </w:rPr>
              <w:t>Air Vehicle Platform (Airframe, Propulsion, Flight Controls)</w:t>
            </w:r>
          </w:p>
        </w:tc>
        <w:tc>
          <w:tcPr>
            <w:tcW w:type="dxa" w:w="1728"/>
          </w:tcPr>
          <w:p>
            <w:r>
              <w:rPr>
                <w:b w:val="0"/>
                <w:sz w:val="20"/>
              </w:rPr>
              <w:t>Core mobility and airworthiness functions; separates platform survivability and mechanical interfaces from payloads and avionics to enable cross-vendor payload interchange and platform reuse across services.</w:t>
            </w:r>
          </w:p>
        </w:tc>
        <w:tc>
          <w:tcPr>
            <w:tcW w:type="dxa" w:w="1440"/>
          </w:tcPr>
          <w:p>
            <w:r>
              <w:rPr>
                <w:b w:val="0"/>
                <w:sz w:val="20"/>
              </w:rPr>
              <w:t>Mounting/mechanical interface, power delivery (voltage/current), CAN/SPI/device bus for low-level flight controls, flight-control message bus to Mission Management Software, health/status telemetry port.</w:t>
            </w:r>
          </w:p>
        </w:tc>
        <w:tc>
          <w:tcPr>
            <w:tcW w:type="dxa" w:w="1296"/>
          </w:tcPr>
          <w:p>
            <w:r>
              <w:rPr>
                <w:b w:val="0"/>
                <w:sz w:val="20"/>
              </w:rPr>
              <w:t>UAS Family-of-Systems Architecture; adopt physical/mechanical interface and power standards from that architecture; align telemetry and low-level control messages with PAE C3BM/C3N where applicable.</w:t>
            </w:r>
          </w:p>
        </w:tc>
        <w:tc>
          <w:tcPr>
            <w:tcW w:type="dxa" w:w="864"/>
          </w:tcPr>
          <w:p>
            <w:pPr>
              <w:jc w:val="center"/>
            </w:pPr>
            <w:r>
              <w:rPr>
                <w:b w:val="0"/>
                <w:sz w:val="20"/>
              </w:rPr>
              <w:t>Moderate (integration of flight-control firmware with third-party payloads)</w:t>
            </w:r>
          </w:p>
        </w:tc>
        <w:tc>
          <w:tcPr>
            <w:tcW w:type="dxa" w:w="1152"/>
          </w:tcPr>
          <w:p>
            <w:pPr>
              <w:jc w:val="center"/>
            </w:pPr>
            <w:r>
              <w:rPr>
                <w:b w:val="0"/>
                <w:sz w:val="20"/>
              </w:rPr>
              <w:t>Moderate (motors/ESCs and sensor IMUs may refresh frequently)</w:t>
            </w:r>
          </w:p>
        </w:tc>
        <w:tc>
          <w:tcPr>
            <w:tcW w:type="dxa" w:w="864"/>
          </w:tcPr>
          <w:p>
            <w:pPr>
              <w:jc w:val="center"/>
            </w:pPr>
            <w:r>
              <w:rPr>
                <w:b w:val="0"/>
                <w:sz w:val="20"/>
              </w:rPr>
              <w:t>Yes (airframes and propulsion subsystems have mature COTS suppliers)</w:t>
            </w:r>
          </w:p>
        </w:tc>
      </w:tr>
      <w:tr>
        <w:tc>
          <w:tcPr>
            <w:tcW w:type="dxa" w:w="1296"/>
          </w:tcPr>
          <w:p>
            <w:r>
              <w:rPr>
                <w:b w:val="0"/>
                <w:sz w:val="20"/>
              </w:rPr>
              <w:t>Mission Payload Suite (Electro-Optical/IR, SIGINT, Modular Sensors)</w:t>
            </w:r>
          </w:p>
        </w:tc>
        <w:tc>
          <w:tcPr>
            <w:tcW w:type="dxa" w:w="1728"/>
          </w:tcPr>
          <w:p>
            <w:r>
              <w:rPr>
                <w:b w:val="0"/>
                <w:sz w:val="20"/>
              </w:rPr>
              <w:t>Payloads are mission-differentiating and must be modular to permit rapid payload swaps and cross-service capability evolution without platform redesign.</w:t>
            </w:r>
          </w:p>
        </w:tc>
        <w:tc>
          <w:tcPr>
            <w:tcW w:type="dxa" w:w="1440"/>
          </w:tcPr>
          <w:p>
            <w:r>
              <w:rPr>
                <w:b w:val="0"/>
                <w:sz w:val="20"/>
              </w:rPr>
              <w:t>Mechanical/power mounting, high-bandwidth data interface (gigabit Ethernet or defined message bus), time synchronization (PTP/NTP), control/status channel to GCS and Mission Management Software.</w:t>
            </w:r>
          </w:p>
        </w:tc>
        <w:tc>
          <w:tcPr>
            <w:tcW w:type="dxa" w:w="1296"/>
          </w:tcPr>
          <w:p>
            <w:r>
              <w:rPr>
                <w:b w:val="0"/>
                <w:sz w:val="20"/>
              </w:rPr>
              <w:t>Sensor data formats and metadata defined to UAS Family-of-Systems Architecture; message and timing alignment to PAE C3BM/C3N for downstream processing.</w:t>
            </w:r>
          </w:p>
        </w:tc>
        <w:tc>
          <w:tcPr>
            <w:tcW w:type="dxa" w:w="864"/>
          </w:tcPr>
          <w:p>
            <w:pPr>
              <w:jc w:val="center"/>
            </w:pPr>
            <w:r>
              <w:rPr>
                <w:b w:val="0"/>
                <w:sz w:val="20"/>
              </w:rPr>
              <w:t>Yes (sensors integrate diverse proprietary drivers and formats)</w:t>
            </w:r>
          </w:p>
        </w:tc>
        <w:tc>
          <w:tcPr>
            <w:tcW w:type="dxa" w:w="1152"/>
          </w:tcPr>
          <w:p>
            <w:pPr>
              <w:jc w:val="center"/>
            </w:pPr>
            <w:r>
              <w:rPr>
                <w:b w:val="0"/>
                <w:sz w:val="20"/>
              </w:rPr>
              <w:t>High (sensor families evolve rapidly; FPA lifecycles and EO/IR components subject to obsolescence)</w:t>
            </w:r>
          </w:p>
        </w:tc>
        <w:tc>
          <w:tcPr>
            <w:tcW w:type="dxa" w:w="864"/>
          </w:tcPr>
          <w:p>
            <w:pPr>
              <w:jc w:val="center"/>
            </w:pPr>
            <w:r>
              <w:rPr>
                <w:b w:val="0"/>
                <w:sz w:val="20"/>
              </w:rPr>
              <w:t>Yes (many sensor blocks are COTS but may require adaptation for GPR ICDs)</w:t>
            </w:r>
          </w:p>
        </w:tc>
      </w:tr>
      <w:tr>
        <w:tc>
          <w:tcPr>
            <w:tcW w:type="dxa" w:w="1296"/>
          </w:tcPr>
          <w:p>
            <w:r>
              <w:rPr>
                <w:b w:val="0"/>
                <w:sz w:val="20"/>
              </w:rPr>
              <w:t>Ground Control Station (GCS) &amp; User Interface</w:t>
            </w:r>
          </w:p>
        </w:tc>
        <w:tc>
          <w:tcPr>
            <w:tcW w:type="dxa" w:w="1728"/>
          </w:tcPr>
          <w:p>
            <w:r>
              <w:rPr>
                <w:b w:val="0"/>
                <w:sz w:val="20"/>
              </w:rPr>
              <w:t>Critical human-system interface for mission planning, real-time control, and data exploitation; must be modular to accept multiple mission payloads and support cross-service operator profiles.</w:t>
            </w:r>
          </w:p>
        </w:tc>
        <w:tc>
          <w:tcPr>
            <w:tcW w:type="dxa" w:w="1440"/>
          </w:tcPr>
          <w:p>
            <w:r>
              <w:rPr>
                <w:b w:val="0"/>
                <w:sz w:val="20"/>
              </w:rPr>
              <w:t>Mission planning API, mission telemetry stream, secure comms endpoint, user authentication and role-based data access interface, replay/export interfaces.</w:t>
            </w:r>
          </w:p>
        </w:tc>
        <w:tc>
          <w:tcPr>
            <w:tcW w:type="dxa" w:w="1296"/>
          </w:tcPr>
          <w:p>
            <w:r>
              <w:rPr>
                <w:b w:val="0"/>
                <w:sz w:val="20"/>
              </w:rPr>
              <w:t>GCS interfaces and message sets aligned to UAS Family-of-Systems Architecture; conform to PAE C3BM/C3N for higher-echelon comms links where required.</w:t>
            </w:r>
          </w:p>
        </w:tc>
        <w:tc>
          <w:tcPr>
            <w:tcW w:type="dxa" w:w="864"/>
          </w:tcPr>
          <w:p>
            <w:pPr>
              <w:jc w:val="center"/>
            </w:pPr>
            <w:r>
              <w:rPr>
                <w:b w:val="0"/>
                <w:sz w:val="20"/>
              </w:rPr>
              <w:t>Moderate (UI/UX integration and varying payload data representation)</w:t>
            </w:r>
          </w:p>
        </w:tc>
        <w:tc>
          <w:tcPr>
            <w:tcW w:type="dxa" w:w="1152"/>
          </w:tcPr>
          <w:p>
            <w:pPr>
              <w:jc w:val="center"/>
            </w:pPr>
            <w:r>
              <w:rPr>
                <w:b w:val="0"/>
                <w:sz w:val="20"/>
              </w:rPr>
              <w:t>Low-Moderate (software-driven, patchable but dependent on third-party middleware lifecycle)</w:t>
            </w:r>
          </w:p>
        </w:tc>
        <w:tc>
          <w:tcPr>
            <w:tcW w:type="dxa" w:w="864"/>
          </w:tcPr>
          <w:p>
            <w:pPr>
              <w:jc w:val="center"/>
            </w:pPr>
            <w:r>
              <w:rPr>
                <w:b w:val="0"/>
                <w:sz w:val="20"/>
              </w:rPr>
              <w:t>Yes (GCS software frameworks and hardware are often COTS-configurable)</w:t>
            </w:r>
          </w:p>
        </w:tc>
      </w:tr>
      <w:tr>
        <w:tc>
          <w:tcPr>
            <w:tcW w:type="dxa" w:w="1296"/>
          </w:tcPr>
          <w:p>
            <w:r>
              <w:rPr>
                <w:b w:val="0"/>
                <w:sz w:val="20"/>
              </w:rPr>
              <w:t>Data Link / Communications Module</w:t>
            </w:r>
          </w:p>
        </w:tc>
        <w:tc>
          <w:tcPr>
            <w:tcW w:type="dxa" w:w="1728"/>
          </w:tcPr>
          <w:p>
            <w:r>
              <w:rPr>
                <w:b w:val="0"/>
                <w:sz w:val="20"/>
              </w:rPr>
              <w:t>Encapsulates secure communications between Air Vehicle and GCS and to higher-echelon networks; isolating this enables independent upgrades for security and bandwidth without disturbing payloads.</w:t>
            </w:r>
          </w:p>
        </w:tc>
        <w:tc>
          <w:tcPr>
            <w:tcW w:type="dxa" w:w="1440"/>
          </w:tcPr>
          <w:p>
            <w:r>
              <w:rPr>
                <w:b w:val="0"/>
                <w:sz w:val="20"/>
              </w:rPr>
              <w:t>RF antenna port, IP/MPLS or equivalent packet interface, crypto boundary with key management API, link health/status and QoS controls to Mission Management Software.</w:t>
            </w:r>
          </w:p>
        </w:tc>
        <w:tc>
          <w:tcPr>
            <w:tcW w:type="dxa" w:w="1296"/>
          </w:tcPr>
          <w:p>
            <w:r>
              <w:rPr>
                <w:b w:val="0"/>
                <w:sz w:val="20"/>
              </w:rPr>
              <w:t>Conform to UAS Family-of-Systems architectural comms patterns and PAE C3BM/C3N transport requirements; enforce Government-provided crypto and IA baselines.</w:t>
            </w:r>
          </w:p>
        </w:tc>
        <w:tc>
          <w:tcPr>
            <w:tcW w:type="dxa" w:w="864"/>
          </w:tcPr>
          <w:p>
            <w:pPr>
              <w:jc w:val="center"/>
            </w:pPr>
            <w:r>
              <w:rPr>
                <w:b w:val="0"/>
                <w:sz w:val="20"/>
              </w:rPr>
              <w:t>Yes (spectrum and crypto integration; interoperability with legacy higher-echelon nodes)</w:t>
            </w:r>
          </w:p>
        </w:tc>
        <w:tc>
          <w:tcPr>
            <w:tcW w:type="dxa" w:w="1152"/>
          </w:tcPr>
          <w:p>
            <w:pPr>
              <w:jc w:val="center"/>
            </w:pPr>
            <w:r>
              <w:rPr>
                <w:b w:val="0"/>
                <w:sz w:val="20"/>
              </w:rPr>
              <w:t>High (modems and RF components subject to rapid refresh and spectrum policy changes)</w:t>
            </w:r>
          </w:p>
        </w:tc>
        <w:tc>
          <w:tcPr>
            <w:tcW w:type="dxa" w:w="864"/>
          </w:tcPr>
          <w:p>
            <w:pPr>
              <w:jc w:val="center"/>
            </w:pPr>
            <w:r>
              <w:rPr>
                <w:b w:val="0"/>
                <w:sz w:val="20"/>
              </w:rPr>
              <w:t>Partially (modems and transceivers often COTS, but crypto/IA layers may be government-unique)</w:t>
            </w:r>
          </w:p>
        </w:tc>
      </w:tr>
      <w:tr>
        <w:tc>
          <w:tcPr>
            <w:tcW w:type="dxa" w:w="1296"/>
          </w:tcPr>
          <w:p>
            <w:r>
              <w:rPr>
                <w:b w:val="0"/>
                <w:sz w:val="20"/>
              </w:rPr>
              <w:t>Mission Management Software &amp; Autonomy (Decision Support, Autopilot Integration)</w:t>
            </w:r>
          </w:p>
        </w:tc>
        <w:tc>
          <w:tcPr>
            <w:tcW w:type="dxa" w:w="1728"/>
          </w:tcPr>
          <w:p>
            <w:r>
              <w:rPr>
                <w:b w:val="0"/>
                <w:sz w:val="20"/>
              </w:rPr>
              <w:t>Provides mission sequencing, autonomy behaviors, and serves as the software glue between platform, payload, and GCS; separating this enables technology insertion and independent software refresh cycles.</w:t>
            </w:r>
          </w:p>
        </w:tc>
        <w:tc>
          <w:tcPr>
            <w:tcW w:type="dxa" w:w="1440"/>
          </w:tcPr>
          <w:p>
            <w:r>
              <w:rPr>
                <w:b w:val="0"/>
                <w:sz w:val="20"/>
              </w:rPr>
              <w:t>Well-defined APIs to flight controls, payload control, data link, and GCS; plugin architecture for autonomy modules; logging and replay APIs; containerized software deployment interfaces.</w:t>
            </w:r>
          </w:p>
        </w:tc>
        <w:tc>
          <w:tcPr>
            <w:tcW w:type="dxa" w:w="1296"/>
          </w:tcPr>
          <w:p>
            <w:r>
              <w:rPr>
                <w:b w:val="0"/>
                <w:sz w:val="20"/>
              </w:rPr>
              <w:t>Software interfaces and data models to reflect the UAS Family-of-Systems Architecture; recommended use of open middleware patterns (e.g., publish/subscribe, modular APIs) and conformity with PAE C3BM/C3N message exchange where applicable.</w:t>
            </w:r>
          </w:p>
        </w:tc>
        <w:tc>
          <w:tcPr>
            <w:tcW w:type="dxa" w:w="864"/>
          </w:tcPr>
          <w:p>
            <w:pPr>
              <w:jc w:val="center"/>
            </w:pPr>
            <w:r>
              <w:rPr>
                <w:b w:val="0"/>
                <w:sz w:val="20"/>
              </w:rPr>
              <w:t>Yes (autonomy behaviors and common API contracts across vendors)</w:t>
            </w:r>
          </w:p>
        </w:tc>
        <w:tc>
          <w:tcPr>
            <w:tcW w:type="dxa" w:w="1152"/>
          </w:tcPr>
          <w:p>
            <w:pPr>
              <w:jc w:val="center"/>
            </w:pPr>
            <w:r>
              <w:rPr>
                <w:b w:val="0"/>
                <w:sz w:val="20"/>
              </w:rPr>
              <w:t>Low-Moderate (software can be updated but depends on stable API contracts)</w:t>
            </w:r>
          </w:p>
        </w:tc>
        <w:tc>
          <w:tcPr>
            <w:tcW w:type="dxa" w:w="864"/>
          </w:tcPr>
          <w:p>
            <w:pPr>
              <w:jc w:val="center"/>
            </w:pPr>
            <w:r>
              <w:rPr>
                <w:b w:val="0"/>
                <w:sz w:val="20"/>
              </w:rPr>
              <w:t>No (customization expected; portions may leverage open-source middleware)</w:t>
            </w:r>
          </w:p>
        </w:tc>
      </w:tr>
      <w:tr>
        <w:tc>
          <w:tcPr>
            <w:tcW w:type="dxa" w:w="1296"/>
          </w:tcPr>
          <w:p>
            <w:r>
              <w:rPr>
                <w:b w:val="0"/>
                <w:sz w:val="20"/>
              </w:rPr>
              <w:t>Supportability &amp; Maintenance Module (TDP, Spares, Diagnostics)</w:t>
            </w:r>
          </w:p>
        </w:tc>
        <w:tc>
          <w:tcPr>
            <w:tcW w:type="dxa" w:w="1728"/>
          </w:tcPr>
          <w:p>
            <w:r>
              <w:rPr>
                <w:b w:val="0"/>
                <w:sz w:val="20"/>
              </w:rPr>
              <w:t>Captures maintenance procedures, diagnostic interfaces, and spare parts lists to enable sustainment and repair scenarios under MOSA; ensures the program can exercise maintenance MOSA scenarios and obtain required TDP.</w:t>
            </w:r>
          </w:p>
        </w:tc>
        <w:tc>
          <w:tcPr>
            <w:tcW w:type="dxa" w:w="1440"/>
          </w:tcPr>
          <w:p>
            <w:r>
              <w:rPr>
                <w:b w:val="0"/>
                <w:sz w:val="20"/>
              </w:rPr>
              <w:t>Diagnostic data bus, firmware update interface, parts and BOM exchange format, repair procedure documents (machine-readable where possible), and maintenance status reporting API to Logistics systems.</w:t>
            </w:r>
          </w:p>
        </w:tc>
        <w:tc>
          <w:tcPr>
            <w:tcW w:type="dxa" w:w="1296"/>
          </w:tcPr>
          <w:p>
            <w:r>
              <w:rPr>
                <w:b w:val="0"/>
                <w:sz w:val="20"/>
              </w:rPr>
              <w:t>TDP and maintenance artifacts aligned to program sustainment expectations; interfaces for parts and logistics aligned to UAS Family-of-Systems sustainment model and higher-echelon logistics data exchanges.</w:t>
            </w:r>
          </w:p>
        </w:tc>
        <w:tc>
          <w:tcPr>
            <w:tcW w:type="dxa" w:w="864"/>
          </w:tcPr>
          <w:p>
            <w:pPr>
              <w:jc w:val="center"/>
            </w:pPr>
            <w:r>
              <w:rPr>
                <w:b w:val="0"/>
                <w:sz w:val="20"/>
              </w:rPr>
              <w:t>No (low — primarily documentation and access policies, but dependent on vendor cooperation)</w:t>
            </w:r>
          </w:p>
        </w:tc>
        <w:tc>
          <w:tcPr>
            <w:tcW w:type="dxa" w:w="1152"/>
          </w:tcPr>
          <w:p>
            <w:pPr>
              <w:jc w:val="center"/>
            </w:pPr>
            <w:r>
              <w:rPr>
                <w:b w:val="0"/>
                <w:sz w:val="20"/>
              </w:rPr>
              <w:t>Yes (spare parts and vendor-specific subsystems can become obsolete without mitigation)</w:t>
            </w:r>
          </w:p>
        </w:tc>
        <w:tc>
          <w:tcPr>
            <w:tcW w:type="dxa" w:w="864"/>
          </w:tcPr>
          <w:p>
            <w:pPr>
              <w:jc w:val="center"/>
            </w:pPr>
            <w:r>
              <w:rPr>
                <w:b w:val="0"/>
                <w:sz w:val="20"/>
              </w:rPr>
              <w:t>Yes (many diagnostic tools and logistics data formats are COTS-compatible)</w:t>
            </w:r>
          </w:p>
        </w:tc>
      </w:tr>
    </w:tbl>
    <w:p>
      <w:r>
        <w:br w:type="page"/>
      </w:r>
    </w:p>
    <w:p>
      <w:pPr>
        <w:pStyle w:val="Heading1"/>
        <w:spacing w:before="0" w:after="160"/>
      </w:pPr>
      <w:r>
        <w:t>6. Questions to Industry</w:t>
      </w:r>
    </w:p>
    <w:p>
      <w:r>
        <w:t>Industry respondents are requested to address the following questions. Responses are for market research purposes only and do not constitute a commitment to procure.</w:t>
      </w:r>
    </w:p>
    <w:p>
      <w:pPr>
        <w:pStyle w:val="ListBullet"/>
      </w:pPr>
      <w:r>
        <w:t>Confirm and justify the proposed module boundaries for the SEP Smoke Test. For each module, identify the internal elements you consider proprietary versus those you can expose at least to GPR at interfaces.</w:t>
      </w:r>
    </w:p>
    <w:p>
      <w:pPr>
        <w:pStyle w:val="ListBullet"/>
      </w:pPr>
      <w:r>
        <w:t>Provide proposed ICD content (summary-level) for the module interfaces you would supply, including protocols, message sets, timing, and performance expectations. Are these ICDs compatible with the UAS Family-of-Systems Architecture and PAE C3BM/C3N? If not, list deviations and rationale.</w:t>
      </w:r>
    </w:p>
    <w:p>
      <w:pPr>
        <w:pStyle w:val="ListBullet"/>
      </w:pPr>
      <w:r>
        <w:t>Identify which modules or subcomponents are candidate COTS items and provide vendor names, part numbers and life-cycle support commitments. For each, state the expected obsolescence time horizon and recommended mitigation.</w:t>
      </w:r>
    </w:p>
    <w:p>
      <w:pPr>
        <w:pStyle w:val="ListBullet"/>
      </w:pPr>
      <w:r>
        <w:t>Describe your proposed data-rights approach: what will you deliver under GPR at interfaces, what elements will you assert as proprietary, and where would you request SNLR or other negotiated rights? Provide example licensing language you would accept for interface ICDs and test fixtures.</w:t>
      </w:r>
    </w:p>
    <w:p>
      <w:pPr>
        <w:pStyle w:val="ListBullet"/>
      </w:pPr>
      <w:r>
        <w:t>Provide a proposed MOSA smoke-test plan (stepwise) showing how your modules will be integrated and verified in a 3-day lab integration event and a subsequent field smoke test; include required government test assets and any environmental constraints.</w:t>
      </w:r>
    </w:p>
    <w:p>
      <w:pPr>
        <w:pStyle w:val="ListBullet"/>
      </w:pPr>
      <w:r>
        <w:t>Identify technical risks that could prevent plug-and-play interoperability with other vendors’ modules and propose specific mitigation tasks and schedule impacts.</w:t>
      </w:r>
    </w:p>
    <w:p>
      <w:pPr>
        <w:pStyle w:val="ListBullet"/>
      </w:pPr>
      <w:r>
        <w:t>For software-based modules, provide expected API technologies (e.g., REST, DDS, custom RPCs), supported data formats, and a plan for producing a model of the system architecture (e.g., SysML/XMI) for use in integration.</w:t>
      </w:r>
    </w:p>
    <w:p>
      <w:pPr>
        <w:pStyle w:val="ListBullet"/>
      </w:pPr>
      <w:r>
        <w:t>Provide cost and schedule estimates (low/likely/high) for delivering module-level hardware, firmware, ICDs, and TDP necessary to meet the required MOSA demonstration milestones.</w:t>
      </w:r>
    </w:p>
    <w:p>
      <w:r>
        <w:br w:type="page"/>
      </w:r>
    </w:p>
    <w:p>
      <w:pPr>
        <w:pStyle w:val="Heading1"/>
        <w:spacing w:before="0" w:after="160"/>
      </w:pPr>
      <w:r>
        <w:t>7. Requested Deliverables</w:t>
      </w:r>
    </w:p>
    <w:p>
      <w:r>
        <w:t>Please provide the following items in your response:</w:t>
      </w:r>
    </w:p>
    <w:p>
      <w:pPr>
        <w:pStyle w:val="ListBullet"/>
      </w:pPr>
      <w:r>
        <w:t>Module definition package for each proposed module (1-2 page module description, boundaries, and rationale).</w:t>
      </w:r>
    </w:p>
    <w:p>
      <w:pPr>
        <w:pStyle w:val="ListBullet"/>
      </w:pPr>
      <w:r>
        <w:t>Interface Control Document (ICD) draft for each interface your solution uses/proposes (summary-level allowed in RFI response).</w:t>
      </w:r>
    </w:p>
    <w:p>
      <w:pPr>
        <w:pStyle w:val="ListBullet"/>
      </w:pPr>
      <w:r>
        <w:t>Data rights statement identifying what will be provided with GPR, what must remain proprietary, and proposed SNLR terms for any non-GPR items.</w:t>
      </w:r>
    </w:p>
    <w:p>
      <w:pPr>
        <w:pStyle w:val="ListBullet"/>
      </w:pPr>
      <w:r>
        <w:t>MOSA smoke-test plan (lab and field) including required government test assets, timelines, success criteria and environmental constraints.</w:t>
      </w:r>
    </w:p>
    <w:p>
      <w:pPr>
        <w:pStyle w:val="ListBullet"/>
      </w:pPr>
      <w:r>
        <w:t>Technical Data Package (TDP) summary listing the types of technical artifacts you can provide for repair/maintenance scenarios (drawings, parts lists, repair procedures) and anticipated rights levels.</w:t>
      </w:r>
    </w:p>
    <w:p>
      <w:pPr>
        <w:pStyle w:val="ListBullet"/>
      </w:pPr>
      <w:r>
        <w:t>Obsolescence assessment and COTS candidate listing with mitigation strategies and supplier commitments where available.</w:t>
      </w:r>
    </w:p>
    <w:p>
      <w:pPr>
        <w:pStyle w:val="ListBullet"/>
      </w:pPr>
      <w:r>
        <w:t>Risk register focused on MOSA integration risks and proposed mitigations with estimated schedule and cost impact.</w:t>
      </w:r>
    </w:p>
    <w:p>
      <w:pPr>
        <w:pStyle w:val="ListBullet"/>
      </w:pPr>
      <w:r>
        <w:t>Compliance matrix mapping modules/interfaces to the UAS Family-of-Systems Architecture and PAE C3BM/C3N artifacts, and to the RFI MOSA requirements.</w:t>
      </w:r>
    </w:p>
    <w:p>
      <w:r>
        <w:br w:type="page"/>
      </w:r>
    </w:p>
    <w:p>
      <w:pPr>
        <w:pStyle w:val="Heading1"/>
        <w:spacing w:before="0" w:after="160"/>
      </w:pPr>
      <w:r>
        <w:t>8. Submission Instructions</w:t>
      </w:r>
    </w:p>
    <w:p>
      <w:pPr>
        <w:pStyle w:val="ListBullet"/>
      </w:pPr>
      <w:r>
        <w:t>Responses due 30 calendar days from RFI issuance; extensions may be granted in writing. Submit electronically as PDF via the program acquisition portal (or, if portal unavailable, to the program mailbox SEP_SMOKETEST_RFI@acq.example.mil).</w:t>
      </w:r>
    </w:p>
    <w:p>
      <w:pPr>
        <w:pStyle w:val="ListBullet"/>
      </w:pPr>
      <w:r>
        <w:t>Include a cover page with company point of contact, CAGE code, and a single 1-page executive summary. Limit submissions to 25 pages of technical content plus up to 10 pages of appendices (ICD sketches, parts lists).</w:t>
      </w:r>
    </w:p>
    <w:p>
      <w:pPr>
        <w:pStyle w:val="ListBullet"/>
      </w:pPr>
      <w:r>
        <w:t>Mark any proprietary or source-selection sensitive content clearly, but provide a non-proprietary summary of any proprietary content sufficient for evaluation. The Government may use non-proprietary responses for requirements development.</w:t>
      </w:r>
    </w:p>
    <w:p>
      <w:pPr>
        <w:pStyle w:val="ListBullet"/>
      </w:pPr>
      <w:r>
        <w:t>Provide contact information for one technical point of contact and one contracting point of contact. Expect follow-up questions and potential short vendor demonstrations for selected respondents.</w:t>
      </w:r>
    </w:p>
    <w:p>
      <w:pPr>
        <w:pStyle w:val="ListBullet"/>
      </w:pPr>
      <w:r>
        <w:t>All submissions must identify claimed data rights and any proposed SNLR language; attachments without explicit data-rights assertions will be treated as GPR for the purposes of RFI evaluation.</w:t>
      </w:r>
    </w:p>
    <w:p>
      <w:r>
        <w:br w:type="page"/>
      </w:r>
    </w:p>
    <w:p>
      <w:pPr>
        <w:pStyle w:val="Heading1"/>
        <w:spacing w:before="0" w:after="160"/>
      </w:pPr>
      <w:r>
        <w:t>Appendix A: Sources Used</w:t>
      </w:r>
    </w:p>
    <w:p>
      <w:r>
        <w:t>The following uploaded program documents were consulted in preparing this AI-assisted RFI:</w:t>
      </w:r>
    </w:p>
    <w:p>
      <w:pPr>
        <w:pStyle w:val="ListBullet"/>
      </w:pPr>
      <w:r>
        <w:rPr>
          <w:b/>
        </w:rPr>
        <w:t>EXAMPLE for MOSA_RFI.docx</w:t>
      </w:r>
      <w:r>
        <w:t xml:space="preserve"> — MVP for MOSA (for all programs) Must define draft Modules and expected interfaces Must define high level MOSA scenarios Must define data rights strategy with a min requirement of GPR for all interfaces.</w:t>
      </w:r>
    </w:p>
    <w:p>
      <w:pPr>
        <w:pStyle w:val="ListBullet"/>
      </w:pPr>
      <w:r>
        <w:rPr>
          <w:b/>
        </w:rPr>
        <w:t>EXAEMPLAR_Acquisition Strategy .docx</w:t>
      </w:r>
      <w:r>
        <w:t xml:space="preserve"> — Due to the MOSA intended for this program, the technical approach will be leverage the existing UAS Family of Systems Architecture that has been robustly vetted with industry ... This program has few risks related to data rights since USC 10 requires interfaces to be GPR ... Based on the MOSA Scenario for repair, the program will obtain the required TDP and data rights to enable maintenance and repair of all modules.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SEP Smoke Test</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