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b/>
          <w:sz w:val="48"/>
        </w:rPr>
        <w:t>SEP Smoke Test</w:t>
      </w:r>
    </w:p>
    <w:p>
      <w:pPr>
        <w:spacing w:before="240"/>
        <w:jc w:val="center"/>
      </w:pPr>
      <w:r>
        <w:rPr>
          <w:color w:val="444444"/>
          <w:sz w:val="32"/>
        </w:rPr>
        <w:t>Request for Information (AI-Assisted)</w:t>
      </w:r>
    </w:p>
    <w:p>
      <w:pPr>
        <w:spacing w:before="160"/>
        <w:jc w:val="center"/>
      </w:pPr>
      <w:r>
        <w:rPr>
          <w:sz w:val="22"/>
        </w:rPr>
        <w:t>February 28, 2026</w:t>
      </w:r>
    </w:p>
    <w:p>
      <w:r>
        <w:br w:type="page"/>
      </w:r>
    </w:p>
    <w:p>
      <w:pPr>
        <w:pStyle w:val="Heading1"/>
        <w:spacing w:before="0" w:after="160"/>
      </w:pPr>
      <w:r>
        <w:t>1. Document Overview</w:t>
      </w:r>
    </w:p>
    <w:p>
      <w:r>
        <w:t>This RFI solicits industry input to inform the SEP Smoke Test acquisition approach and to validate Modular Open Systems Approach (MOSA) module definitions, interfaces, data rights strategy, and candidate COTS solutions for a rapid smoke-test demonstration. Its purpose is to collect technical solutions, compliance statements, data-rights proposals (minimum Government Purpose Rights for interfaces), cost and schedule estimates, and test support options to prepare a formal RFP for the SEP Smoke Test program.</w:t>
      </w:r>
    </w:p>
    <w:p>
      <w:r>
        <w:br w:type="page"/>
      </w:r>
    </w:p>
    <w:p>
      <w:pPr>
        <w:pStyle w:val="Heading1"/>
        <w:spacing w:before="0" w:after="160"/>
      </w:pPr>
      <w:r>
        <w:t>2. RFI Purpose</w:t>
      </w:r>
    </w:p>
    <w:p>
      <w:r>
        <w:t>The purpose of this RFI is to comply with DoD MOSA policy objectives for modular, interoperable systems and statutory requirements for government purpose rights on interfaces (consistent with 10 U.S.C. requirements referenced in program acquisition guidance). The SEP Smoke Test RFI seeks information to shape an acquisition that meets MOSA MVP expectations (defined in program MOSA guidance) and to ensure interfaces are provided with a minimum of Government Purpose Rights to enable sustainment, multi-service use, and allied interoperability.</w:t>
      </w:r>
    </w:p>
    <w:p>
      <w:r>
        <w:br w:type="page"/>
      </w:r>
    </w:p>
    <w:p>
      <w:pPr>
        <w:pStyle w:val="Heading1"/>
        <w:spacing w:before="0" w:after="160"/>
      </w:pPr>
      <w:r>
        <w:t>3. Program Context</w:t>
      </w:r>
    </w:p>
    <w:p>
      <w:r>
        <w:t>SEP Smoke Test is a focused program to validate a modular small-UAS capability set in a controlled smoke-test demonstration that will inform follow-on procurement as a program of record. The program will leverage the established UAS Family of Systems Architecture previously vetted with industry, with the intent that modules developed or procured under SEP Smoke Test are reusable across services and interoperable with partner-nation systems. The smoke test will emphasize plug-and-play replacement of modules, rapid integration of COTS payloads, and verification of interface and data exchange standards.</w:t>
      </w:r>
    </w:p>
    <w:p>
      <w:r>
        <w:t>The acquisition strategy directs adherence to the existing UAS Family of Systems Architecture and to standards imposed by higher-echelon programs (PAE C3BM and PAE C3N) to limit disruption to operations and to maximize cross-program interoperability. Deviations from the defined architecture will be managed through a controlled engineering deviation process; however, the RFI expects industry to propose module designs that align with the baseline architecture to minimize integration risk for the smoke test.</w:t>
      </w:r>
    </w:p>
    <w:p>
      <w:r>
        <w:t>Data rights are a key program consideration. The program baseline assumes interface-level Government Purpose Rights (GPR) consistent with the statutory expectation referenced in program documents, and otherwise limits procurement of additional proprietary rights within modules. Where additional rights are necessary, the Government intends to use Site Negligible License Rights (SNLR) or similarly scoped arrangements to secure only what is needed for sustainment and interoperability while protecting vendor commercial IP. The SEP Smoke Test will require delivery of technical data packages (TDP) sufficient to perform maintenance and module-level repair per the program MOSA scenarios.</w:t>
      </w:r>
    </w:p>
    <w:p>
      <w:r>
        <w:t>The smoke-test demonstration will exercise MOSA scenarios including module replacement in theater, software/firmware upgrades, cross-vendor payload swaps, coalition interoperability via common interfaces, and depot-level repair using provided TDPs. The program will evaluate industry proposals for adherence to standards, data rights assertions, obsolescence mitigation, and supportability strategies aligned to the MOSA objectives for the SEP Smoke Test.</w:t>
      </w:r>
    </w:p>
    <w:p>
      <w:r>
        <w:br w:type="page"/>
      </w:r>
    </w:p>
    <w:p>
      <w:pPr>
        <w:pStyle w:val="Heading1"/>
        <w:spacing w:before="0" w:after="160"/>
      </w:pPr>
      <w:r>
        <w:t>4. MOSA Requirements</w:t>
      </w:r>
    </w:p>
    <w:p>
      <w:r>
        <w:t>This acquisition will be structured in accordance with a Modular Open Systems Approach (MOSA) as required by 10 U.S.C. § 4401. The following requirements apply to this specific program:</w:t>
      </w:r>
    </w:p>
    <w:p>
      <w:pPr>
        <w:pStyle w:val="ListBullet"/>
      </w:pPr>
      <w:r>
        <w:t>Define draft Modules and provide Interface Control Documents (ICDs) for each module aligned to the UAS Family of Systems Architecture baseline used by SEP Smoke Test.</w:t>
      </w:r>
    </w:p>
    <w:p>
      <w:pPr>
        <w:pStyle w:val="ListBullet"/>
      </w:pPr>
      <w:r>
        <w:t>Provide a minimum of Government Purpose Rights (GPR) for all module-to-module interfaces; propose any limited deviations and justify with a SNLR-based data rights approach for module internals where required.</w:t>
      </w:r>
    </w:p>
    <w:p>
      <w:pPr>
        <w:pStyle w:val="ListBullet"/>
      </w:pPr>
      <w:r>
        <w:t>Provide a MOSA compliance matrix mapping modules, interfaces, standards, and required data deliverables (TDP, source code rights if proposed, test procedures).</w:t>
      </w:r>
    </w:p>
    <w:p>
      <w:pPr>
        <w:pStyle w:val="ListBullet"/>
      </w:pPr>
      <w:r>
        <w:t>Support plug-and-play replacement in field MOSA scenarios: module hot-swap, software/firmware upgrades, sensor swap, and cross-vendor integration during the smoke test.</w:t>
      </w:r>
    </w:p>
    <w:p>
      <w:pPr>
        <w:pStyle w:val="ListBullet"/>
      </w:pPr>
      <w:r>
        <w:t>Document security and interoperability requirements demonstrating conformance with PAE C3BM and PAE C3N interface expectations and applicable DoD cybersecurity guidance (e.g., RMF artifacts, STIGs where appropriate).</w:t>
      </w:r>
    </w:p>
    <w:p>
      <w:pPr>
        <w:pStyle w:val="ListBullet"/>
      </w:pPr>
      <w:r>
        <w:t>Identify standards and open interfaces to be used (message formats, datalinks, API descriptions) and provide a plan for interface versioning and backwards compatibility.</w:t>
      </w:r>
    </w:p>
    <w:p>
      <w:pPr>
        <w:pStyle w:val="ListBullet"/>
      </w:pPr>
      <w:r>
        <w:t>Supply sustainment deliverables: TDP sufficient for depot-level repair and maintenance, obsolescence mitigation plan, and a parts list with lifecycle/availability risk assessments.</w:t>
      </w:r>
    </w:p>
    <w:p>
      <w:pPr>
        <w:pStyle w:val="ListBullet"/>
      </w:pPr>
      <w:r>
        <w:t>Provide test support: laboratory integration, on-site smoke-test participation, and objective test procedures demonstrating modular interoperability during the SEP Smoke Test.</w:t>
      </w:r>
    </w:p>
    <w:p>
      <w:r>
        <w:br w:type="page"/>
      </w:r>
    </w:p>
    <w:p>
      <w:pPr>
        <w:pStyle w:val="Heading1"/>
        <w:spacing w:before="0" w:after="160"/>
      </w:pPr>
      <w:r>
        <w:t>5. Candidate Module Summary</w:t>
      </w:r>
    </w:p>
    <w:p>
      <w:r>
        <w:t>The Government has identified the following candidate modules as a starting point for the modular architecture. Respondents are encouraged to propose alternative decompositions.</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96"/>
            <w:shd w:val="clear" w:color="auto" w:fill="D9E1F2"/>
          </w:tcPr>
          <w:p>
            <w:r>
              <w:rPr>
                <w:b/>
                <w:sz w:val="20"/>
              </w:rPr>
              <w:t>Module</w:t>
            </w:r>
          </w:p>
        </w:tc>
        <w:tc>
          <w:tcPr>
            <w:tcW w:type="dxa" w:w="1728"/>
            <w:shd w:val="clear" w:color="auto" w:fill="D9E1F2"/>
          </w:tcPr>
          <w:p>
            <w:r>
              <w:rPr>
                <w:b/>
                <w:sz w:val="20"/>
              </w:rPr>
              <w:t>Rationale</w:t>
            </w:r>
          </w:p>
        </w:tc>
        <w:tc>
          <w:tcPr>
            <w:tcW w:type="dxa" w:w="1440"/>
            <w:shd w:val="clear" w:color="auto" w:fill="D9E1F2"/>
          </w:tcPr>
          <w:p>
            <w:r>
              <w:rPr>
                <w:b/>
                <w:sz w:val="20"/>
              </w:rPr>
              <w:t>Key Interfaces</w:t>
            </w:r>
          </w:p>
        </w:tc>
        <w:tc>
          <w:tcPr>
            <w:tcW w:type="dxa" w:w="1296"/>
            <w:shd w:val="clear" w:color="auto" w:fill="D9E1F2"/>
          </w:tcPr>
          <w:p>
            <w:r>
              <w:rPr>
                <w:b/>
                <w:sz w:val="20"/>
              </w:rPr>
              <w:t>Standards</w:t>
            </w:r>
          </w:p>
        </w:tc>
        <w:tc>
          <w:tcPr>
            <w:tcW w:type="dxa" w:w="864"/>
            <w:shd w:val="clear" w:color="auto" w:fill="D9E1F2"/>
          </w:tcPr>
          <w:p>
            <w:r>
              <w:rPr>
                <w:b/>
                <w:sz w:val="20"/>
              </w:rPr>
              <w:t>Tech Risk</w:t>
            </w:r>
          </w:p>
        </w:tc>
        <w:tc>
          <w:tcPr>
            <w:tcW w:type="dxa" w:w="1152"/>
            <w:shd w:val="clear" w:color="auto" w:fill="D9E1F2"/>
          </w:tcPr>
          <w:p>
            <w:r>
              <w:rPr>
                <w:b/>
                <w:sz w:val="20"/>
              </w:rPr>
              <w:t>Obsolescence Risk</w:t>
            </w:r>
          </w:p>
        </w:tc>
        <w:tc>
          <w:tcPr>
            <w:tcW w:type="dxa" w:w="864"/>
            <w:shd w:val="clear" w:color="auto" w:fill="D9E1F2"/>
          </w:tcPr>
          <w:p>
            <w:r>
              <w:rPr>
                <w:b/>
                <w:sz w:val="20"/>
              </w:rPr>
              <w:t>COTS Candidate</w:t>
            </w:r>
          </w:p>
        </w:tc>
      </w:tr>
      <w:tr>
        <w:tc>
          <w:tcPr>
            <w:tcW w:type="dxa" w:w="1296"/>
          </w:tcPr>
          <w:p>
            <w:r>
              <w:rPr>
                <w:b w:val="0"/>
                <w:sz w:val="20"/>
              </w:rPr>
              <w:t>Air Vehicle (Platform) Module</w:t>
            </w:r>
          </w:p>
        </w:tc>
        <w:tc>
          <w:tcPr>
            <w:tcW w:type="dxa" w:w="1728"/>
          </w:tcPr>
          <w:p>
            <w:r>
              <w:rPr>
                <w:b w:val="0"/>
                <w:sz w:val="20"/>
              </w:rPr>
              <w:t>Provides the flight platform and primary structural, flight-control mounting points used across SEP Smoke Test variants; must align to UAS Family of Systems Architecture for cross-service reuse.</w:t>
            </w:r>
          </w:p>
        </w:tc>
        <w:tc>
          <w:tcPr>
            <w:tcW w:type="dxa" w:w="1440"/>
          </w:tcPr>
          <w:p>
            <w:r>
              <w:rPr>
                <w:b w:val="0"/>
                <w:sz w:val="20"/>
              </w:rPr>
              <w:t>Mechanical mounting datum, power distribution bus, avionics bus (data), environmental sensors, ground launch/recovery interfaces, safety interlocks.</w:t>
            </w:r>
          </w:p>
        </w:tc>
        <w:tc>
          <w:tcPr>
            <w:tcW w:type="dxa" w:w="1296"/>
          </w:tcPr>
          <w:p>
            <w:r>
              <w:rPr>
                <w:b w:val="0"/>
                <w:sz w:val="20"/>
              </w:rPr>
              <w:t>UAS Family of Systems Architecture baseline; PAE C3BM/C3N interfacing expectations for vehicle telemetry; program ICD templates.</w:t>
            </w:r>
          </w:p>
        </w:tc>
        <w:tc>
          <w:tcPr>
            <w:tcW w:type="dxa" w:w="864"/>
          </w:tcPr>
          <w:p>
            <w:pPr>
              <w:jc w:val="center"/>
            </w:pPr>
            <w:r>
              <w:rPr>
                <w:b w:val="0"/>
                <w:sz w:val="20"/>
              </w:rPr>
              <w:t>Medium (integration of bespoke payloads and flight envelope validation)</w:t>
            </w:r>
          </w:p>
        </w:tc>
        <w:tc>
          <w:tcPr>
            <w:tcW w:type="dxa" w:w="1152"/>
          </w:tcPr>
          <w:p>
            <w:pPr>
              <w:jc w:val="center"/>
            </w:pPr>
            <w:r>
              <w:rPr>
                <w:b w:val="0"/>
                <w:sz w:val="20"/>
              </w:rPr>
              <w:t>Medium (airframe subsystems largely COTS but specific avionics may change)</w:t>
            </w:r>
          </w:p>
        </w:tc>
        <w:tc>
          <w:tcPr>
            <w:tcW w:type="dxa" w:w="864"/>
          </w:tcPr>
          <w:p>
            <w:pPr>
              <w:jc w:val="center"/>
            </w:pPr>
            <w:r>
              <w:rPr>
                <w:b w:val="0"/>
                <w:sz w:val="20"/>
              </w:rPr>
              <w:t>Yes (commercial airframes and composite structures with modular hardpoints)</w:t>
            </w:r>
          </w:p>
        </w:tc>
      </w:tr>
      <w:tr>
        <w:tc>
          <w:tcPr>
            <w:tcW w:type="dxa" w:w="1296"/>
          </w:tcPr>
          <w:p>
            <w:r>
              <w:rPr>
                <w:b w:val="0"/>
                <w:sz w:val="20"/>
              </w:rPr>
              <w:t>Payload / Sensor Suite Module</w:t>
            </w:r>
          </w:p>
        </w:tc>
        <w:tc>
          <w:tcPr>
            <w:tcW w:type="dxa" w:w="1728"/>
          </w:tcPr>
          <w:p>
            <w:r>
              <w:rPr>
                <w:b w:val="0"/>
                <w:sz w:val="20"/>
              </w:rPr>
              <w:t>Swappable modular sensor pods to demonstrate plug-and-play ISR and mission payload capability during the smoke test and in follow-on uses.</w:t>
            </w:r>
          </w:p>
        </w:tc>
        <w:tc>
          <w:tcPr>
            <w:tcW w:type="dxa" w:w="1440"/>
          </w:tcPr>
          <w:p>
            <w:r>
              <w:rPr>
                <w:b w:val="0"/>
                <w:sz w:val="20"/>
              </w:rPr>
              <w:t>Physical mount, power feed, Ethernet/serial data interface, timing/metadata sync, thermal management and environmental seals.</w:t>
            </w:r>
          </w:p>
        </w:tc>
        <w:tc>
          <w:tcPr>
            <w:tcW w:type="dxa" w:w="1296"/>
          </w:tcPr>
          <w:p>
            <w:r>
              <w:rPr>
                <w:b w:val="0"/>
                <w:sz w:val="20"/>
              </w:rPr>
              <w:t>Interface data models per program ICD; UAS Family of Systems Architecture; sensor API expectations per MOSA compliance matrix.</w:t>
            </w:r>
          </w:p>
        </w:tc>
        <w:tc>
          <w:tcPr>
            <w:tcW w:type="dxa" w:w="864"/>
          </w:tcPr>
          <w:p>
            <w:pPr>
              <w:jc w:val="center"/>
            </w:pPr>
            <w:r>
              <w:rPr>
                <w:b w:val="0"/>
                <w:sz w:val="20"/>
              </w:rPr>
              <w:t>Yes (high for specialized sensors requiring calibration and synchronization)</w:t>
            </w:r>
          </w:p>
        </w:tc>
        <w:tc>
          <w:tcPr>
            <w:tcW w:type="dxa" w:w="1152"/>
          </w:tcPr>
          <w:p>
            <w:pPr>
              <w:jc w:val="center"/>
            </w:pPr>
            <w:r>
              <w:rPr>
                <w:b w:val="0"/>
                <w:sz w:val="20"/>
              </w:rPr>
              <w:t>Yes (sensors evolve rapidly; strong mitigation required)</w:t>
            </w:r>
          </w:p>
        </w:tc>
        <w:tc>
          <w:tcPr>
            <w:tcW w:type="dxa" w:w="864"/>
          </w:tcPr>
          <w:p>
            <w:pPr>
              <w:jc w:val="center"/>
            </w:pPr>
            <w:r>
              <w:rPr>
                <w:b w:val="0"/>
                <w:sz w:val="20"/>
              </w:rPr>
              <w:t>Yes (modular COTS sensor pods expected; some mission-unique sensors may be bespoke)</w:t>
            </w:r>
          </w:p>
        </w:tc>
      </w:tr>
      <w:tr>
        <w:tc>
          <w:tcPr>
            <w:tcW w:type="dxa" w:w="1296"/>
          </w:tcPr>
          <w:p>
            <w:r>
              <w:rPr>
                <w:b w:val="0"/>
                <w:sz w:val="20"/>
              </w:rPr>
              <w:t>Avionics &amp; Flight Control Module</w:t>
            </w:r>
          </w:p>
        </w:tc>
        <w:tc>
          <w:tcPr>
            <w:tcW w:type="dxa" w:w="1728"/>
          </w:tcPr>
          <w:p>
            <w:r>
              <w:rPr>
                <w:b w:val="0"/>
                <w:sz w:val="20"/>
              </w:rPr>
              <w:t>Provides flight control, navigation, and real-time avionics processing; ensures consistent control APIs for plug-and-play payload and GCS integration.</w:t>
            </w:r>
          </w:p>
        </w:tc>
        <w:tc>
          <w:tcPr>
            <w:tcW w:type="dxa" w:w="1440"/>
          </w:tcPr>
          <w:p>
            <w:r>
              <w:rPr>
                <w:b w:val="0"/>
                <w:sz w:val="20"/>
              </w:rPr>
              <w:t>Flight control API, IMU/GPS data streams, servocontrol interfaces, health monitoring telemetry, software update/bootloader interface.</w:t>
            </w:r>
          </w:p>
        </w:tc>
        <w:tc>
          <w:tcPr>
            <w:tcW w:type="dxa" w:w="1296"/>
          </w:tcPr>
          <w:p>
            <w:r>
              <w:rPr>
                <w:b w:val="0"/>
                <w:sz w:val="20"/>
              </w:rPr>
              <w:t>UAS Family of Systems Architecture avionics profile; ICDs for flight-control APIs; program security and RMF expectations.</w:t>
            </w:r>
          </w:p>
        </w:tc>
        <w:tc>
          <w:tcPr>
            <w:tcW w:type="dxa" w:w="864"/>
          </w:tcPr>
          <w:p>
            <w:pPr>
              <w:jc w:val="center"/>
            </w:pPr>
            <w:r>
              <w:rPr>
                <w:b w:val="0"/>
                <w:sz w:val="20"/>
              </w:rPr>
              <w:t>Medium (safety-critical integration and certification of control algorithms)</w:t>
            </w:r>
          </w:p>
        </w:tc>
        <w:tc>
          <w:tcPr>
            <w:tcW w:type="dxa" w:w="1152"/>
          </w:tcPr>
          <w:p>
            <w:pPr>
              <w:jc w:val="center"/>
            </w:pPr>
            <w:r>
              <w:rPr>
                <w:b w:val="0"/>
                <w:sz w:val="20"/>
              </w:rPr>
              <w:t>Medium (processor and sensor obsolescence mitigated via abstraction layers)</w:t>
            </w:r>
          </w:p>
        </w:tc>
        <w:tc>
          <w:tcPr>
            <w:tcW w:type="dxa" w:w="864"/>
          </w:tcPr>
          <w:p>
            <w:pPr>
              <w:jc w:val="center"/>
            </w:pPr>
            <w:r>
              <w:rPr>
                <w:b w:val="0"/>
                <w:sz w:val="20"/>
              </w:rPr>
              <w:t>Yes (commercial flight controllers and DO-178-like SW processes where applicable)</w:t>
            </w:r>
          </w:p>
        </w:tc>
      </w:tr>
      <w:tr>
        <w:tc>
          <w:tcPr>
            <w:tcW w:type="dxa" w:w="1296"/>
          </w:tcPr>
          <w:p>
            <w:r>
              <w:rPr>
                <w:b w:val="0"/>
                <w:sz w:val="20"/>
              </w:rPr>
              <w:t>Communications &amp; Datalink Module</w:t>
            </w:r>
          </w:p>
        </w:tc>
        <w:tc>
          <w:tcPr>
            <w:tcW w:type="dxa" w:w="1728"/>
          </w:tcPr>
          <w:p>
            <w:r>
              <w:rPr>
                <w:b w:val="0"/>
                <w:sz w:val="20"/>
              </w:rPr>
              <w:t>Provides tactical datalink, LOS/BLOS switching, and gateway functions required for cross-vendor and coalition interoperability during the smoke test.</w:t>
            </w:r>
          </w:p>
        </w:tc>
        <w:tc>
          <w:tcPr>
            <w:tcW w:type="dxa" w:w="1440"/>
          </w:tcPr>
          <w:p>
            <w:r>
              <w:rPr>
                <w:b w:val="0"/>
                <w:sz w:val="20"/>
              </w:rPr>
              <w:t>RF antenna interfaces, network transport (Ethernet/IP), message bus/protocol endpoints, crypto boundary, antenna control unit.</w:t>
            </w:r>
          </w:p>
        </w:tc>
        <w:tc>
          <w:tcPr>
            <w:tcW w:type="dxa" w:w="1296"/>
          </w:tcPr>
          <w:p>
            <w:r>
              <w:rPr>
                <w:b w:val="0"/>
                <w:sz w:val="20"/>
              </w:rPr>
              <w:t>PAE C3BM/C3N interfacing expectations; program-defined datalink ICDs; program messaging schema (to be defined in ICDs).</w:t>
            </w:r>
          </w:p>
        </w:tc>
        <w:tc>
          <w:tcPr>
            <w:tcW w:type="dxa" w:w="864"/>
          </w:tcPr>
          <w:p>
            <w:pPr>
              <w:jc w:val="center"/>
            </w:pPr>
            <w:r>
              <w:rPr>
                <w:b w:val="0"/>
                <w:sz w:val="20"/>
              </w:rPr>
              <w:t>Yes (spectrum management, encryption interoperability, and LOS/BLOS handoff complexity)</w:t>
            </w:r>
          </w:p>
        </w:tc>
        <w:tc>
          <w:tcPr>
            <w:tcW w:type="dxa" w:w="1152"/>
          </w:tcPr>
          <w:p>
            <w:pPr>
              <w:jc w:val="center"/>
            </w:pPr>
            <w:r>
              <w:rPr>
                <w:b w:val="0"/>
                <w:sz w:val="20"/>
              </w:rPr>
              <w:t>Yes (radio hardware subject to rapid iteration and frequency allocation changes)</w:t>
            </w:r>
          </w:p>
        </w:tc>
        <w:tc>
          <w:tcPr>
            <w:tcW w:type="dxa" w:w="864"/>
          </w:tcPr>
          <w:p>
            <w:pPr>
              <w:jc w:val="center"/>
            </w:pPr>
            <w:r>
              <w:rPr>
                <w:b w:val="0"/>
                <w:sz w:val="20"/>
              </w:rPr>
              <w:t>Yes (commercial radios and datalink stacks with modular crypto modules)</w:t>
            </w:r>
          </w:p>
        </w:tc>
      </w:tr>
      <w:tr>
        <w:tc>
          <w:tcPr>
            <w:tcW w:type="dxa" w:w="1296"/>
          </w:tcPr>
          <w:p>
            <w:r>
              <w:rPr>
                <w:b w:val="0"/>
                <w:sz w:val="20"/>
              </w:rPr>
              <w:t>Ground Control Station (GCS) &amp; Mission Software Module</w:t>
            </w:r>
          </w:p>
        </w:tc>
        <w:tc>
          <w:tcPr>
            <w:tcW w:type="dxa" w:w="1728"/>
          </w:tcPr>
          <w:p>
            <w:r>
              <w:rPr>
                <w:b w:val="0"/>
                <w:sz w:val="20"/>
              </w:rPr>
              <w:t>Provides mission planning, operator interface, mission computer, and formal APIs to exercise MOSA scenarios including coalition operations and plug-and-play payload control.</w:t>
            </w:r>
          </w:p>
        </w:tc>
        <w:tc>
          <w:tcPr>
            <w:tcW w:type="dxa" w:w="1440"/>
          </w:tcPr>
          <w:p>
            <w:r>
              <w:rPr>
                <w:b w:val="0"/>
                <w:sz w:val="20"/>
              </w:rPr>
              <w:t>Mission plan exchange, telemetry command/response APIs, common data model for sensors, operator authentication/role management.</w:t>
            </w:r>
          </w:p>
        </w:tc>
        <w:tc>
          <w:tcPr>
            <w:tcW w:type="dxa" w:w="1296"/>
          </w:tcPr>
          <w:p>
            <w:r>
              <w:rPr>
                <w:b w:val="0"/>
                <w:sz w:val="20"/>
              </w:rPr>
              <w:t>Program GCS ICDs; UAS Family of Systems Architecture operator interface conventions; data model and message schema per MOSA compliance matrix.</w:t>
            </w:r>
          </w:p>
        </w:tc>
        <w:tc>
          <w:tcPr>
            <w:tcW w:type="dxa" w:w="864"/>
          </w:tcPr>
          <w:p>
            <w:pPr>
              <w:jc w:val="center"/>
            </w:pPr>
            <w:r>
              <w:rPr>
                <w:b w:val="0"/>
                <w:sz w:val="20"/>
              </w:rPr>
              <w:t>Medium (integration of third-party mission software and user interface usability under operational constraints)</w:t>
            </w:r>
          </w:p>
        </w:tc>
        <w:tc>
          <w:tcPr>
            <w:tcW w:type="dxa" w:w="1152"/>
          </w:tcPr>
          <w:p>
            <w:pPr>
              <w:jc w:val="center"/>
            </w:pPr>
            <w:r>
              <w:rPr>
                <w:b w:val="0"/>
                <w:sz w:val="20"/>
              </w:rPr>
              <w:t>No (software can be versioned; risk depends on vendor support model)</w:t>
            </w:r>
          </w:p>
        </w:tc>
        <w:tc>
          <w:tcPr>
            <w:tcW w:type="dxa" w:w="864"/>
          </w:tcPr>
          <w:p>
            <w:pPr>
              <w:jc w:val="center"/>
            </w:pPr>
            <w:r>
              <w:rPr>
                <w:b w:val="0"/>
                <w:sz w:val="20"/>
              </w:rPr>
              <w:t>Yes (commercial GCS software with modular plugin support)</w:t>
            </w:r>
          </w:p>
        </w:tc>
      </w:tr>
      <w:tr>
        <w:tc>
          <w:tcPr>
            <w:tcW w:type="dxa" w:w="1296"/>
          </w:tcPr>
          <w:p>
            <w:r>
              <w:rPr>
                <w:b w:val="0"/>
                <w:sz w:val="20"/>
              </w:rPr>
              <w:t>Power &amp; Propulsion Module</w:t>
            </w:r>
          </w:p>
        </w:tc>
        <w:tc>
          <w:tcPr>
            <w:tcW w:type="dxa" w:w="1728"/>
          </w:tcPr>
          <w:p>
            <w:r>
              <w:rPr>
                <w:b w:val="0"/>
                <w:sz w:val="20"/>
              </w:rPr>
              <w:t>Provides platform power generation, distribution, energy storage, and propulsion interfaces; separate module to allow rapid power-system swaps for different mission profiles.</w:t>
            </w:r>
          </w:p>
        </w:tc>
        <w:tc>
          <w:tcPr>
            <w:tcW w:type="dxa" w:w="1440"/>
          </w:tcPr>
          <w:p>
            <w:r>
              <w:rPr>
                <w:b w:val="0"/>
                <w:sz w:val="20"/>
              </w:rPr>
              <w:t>Power connectors with status telemetry, battery management system (BMS) interface, propulsion throttle command interface, thermal management interfaces.</w:t>
            </w:r>
          </w:p>
        </w:tc>
        <w:tc>
          <w:tcPr>
            <w:tcW w:type="dxa" w:w="1296"/>
          </w:tcPr>
          <w:p>
            <w:r>
              <w:rPr>
                <w:b w:val="0"/>
                <w:sz w:val="20"/>
              </w:rPr>
              <w:t>Electrical and safety interface ICDs per program baseline; electrical power bus specifications; BMS telemetry schema.</w:t>
            </w:r>
          </w:p>
        </w:tc>
        <w:tc>
          <w:tcPr>
            <w:tcW w:type="dxa" w:w="864"/>
          </w:tcPr>
          <w:p>
            <w:pPr>
              <w:jc w:val="center"/>
            </w:pPr>
            <w:r>
              <w:rPr>
                <w:b w:val="0"/>
                <w:sz w:val="20"/>
              </w:rPr>
              <w:t>Medium (thermal, endurance, and safety integration challenges)</w:t>
            </w:r>
          </w:p>
        </w:tc>
        <w:tc>
          <w:tcPr>
            <w:tcW w:type="dxa" w:w="1152"/>
          </w:tcPr>
          <w:p>
            <w:pPr>
              <w:jc w:val="center"/>
            </w:pPr>
            <w:r>
              <w:rPr>
                <w:b w:val="0"/>
                <w:sz w:val="20"/>
              </w:rPr>
              <w:t>Yes (battery chemistries and motors evolve rapidly)</w:t>
            </w:r>
          </w:p>
        </w:tc>
        <w:tc>
          <w:tcPr>
            <w:tcW w:type="dxa" w:w="864"/>
          </w:tcPr>
          <w:p>
            <w:pPr>
              <w:jc w:val="center"/>
            </w:pPr>
            <w:r>
              <w:rPr>
                <w:b w:val="0"/>
                <w:sz w:val="20"/>
              </w:rPr>
              <w:t>Yes (commercial motors and battery packs, with careful qualification)</w:t>
            </w:r>
          </w:p>
        </w:tc>
      </w:tr>
      <w:tr>
        <w:tc>
          <w:tcPr>
            <w:tcW w:type="dxa" w:w="1296"/>
          </w:tcPr>
          <w:p>
            <w:r>
              <w:rPr>
                <w:b w:val="0"/>
                <w:sz w:val="20"/>
              </w:rPr>
              <w:t>Maintenance, Diagnostics &amp; Logistics Support Module</w:t>
            </w:r>
          </w:p>
        </w:tc>
        <w:tc>
          <w:tcPr>
            <w:tcW w:type="dxa" w:w="1728"/>
          </w:tcPr>
          <w:p>
            <w:r>
              <w:rPr>
                <w:b w:val="0"/>
                <w:sz w:val="20"/>
              </w:rPr>
              <w:t>Supports depot and field-level maintenance activities, provides diagnostics interfaces, repair procedures, and TDP content required for MOSA repair scenarios.</w:t>
            </w:r>
          </w:p>
        </w:tc>
        <w:tc>
          <w:tcPr>
            <w:tcW w:type="dxa" w:w="1440"/>
          </w:tcPr>
          <w:p>
            <w:r>
              <w:rPr>
                <w:b w:val="0"/>
                <w:sz w:val="20"/>
              </w:rPr>
              <w:t>Diagnostics data bus, maintenance port APIs, TDP delivery format, parts replacement procedures and consumables interface.</w:t>
            </w:r>
          </w:p>
        </w:tc>
        <w:tc>
          <w:tcPr>
            <w:tcW w:type="dxa" w:w="1296"/>
          </w:tcPr>
          <w:p>
            <w:r>
              <w:rPr>
                <w:b w:val="0"/>
                <w:sz w:val="20"/>
              </w:rPr>
              <w:t>Program sustainment ICDs; TDP content standards consistent with program acquisition strategy; GPR on interface data to support repair.</w:t>
            </w:r>
          </w:p>
        </w:tc>
        <w:tc>
          <w:tcPr>
            <w:tcW w:type="dxa" w:w="864"/>
          </w:tcPr>
          <w:p>
            <w:pPr>
              <w:jc w:val="center"/>
            </w:pPr>
            <w:r>
              <w:rPr>
                <w:b w:val="0"/>
                <w:sz w:val="20"/>
              </w:rPr>
              <w:t>No (low to medium; largely procedural but dependent on TDP completeness)</w:t>
            </w:r>
          </w:p>
        </w:tc>
        <w:tc>
          <w:tcPr>
            <w:tcW w:type="dxa" w:w="1152"/>
          </w:tcPr>
          <w:p>
            <w:pPr>
              <w:jc w:val="center"/>
            </w:pPr>
            <w:r>
              <w:rPr>
                <w:b w:val="0"/>
                <w:sz w:val="20"/>
              </w:rPr>
              <w:t>No (procedural content can be updated; hardware parts remain primary obsolescence drivers)</w:t>
            </w:r>
          </w:p>
        </w:tc>
        <w:tc>
          <w:tcPr>
            <w:tcW w:type="dxa" w:w="864"/>
          </w:tcPr>
          <w:p>
            <w:pPr>
              <w:jc w:val="center"/>
            </w:pPr>
            <w:r>
              <w:rPr>
                <w:b w:val="0"/>
                <w:sz w:val="20"/>
              </w:rPr>
              <w:t>No (support procedures and TDPs are program deliverables, not COTS per se)</w:t>
            </w:r>
          </w:p>
        </w:tc>
      </w:tr>
    </w:tbl>
    <w:p>
      <w:r>
        <w:br w:type="page"/>
      </w:r>
    </w:p>
    <w:p>
      <w:pPr>
        <w:pStyle w:val="Heading1"/>
        <w:spacing w:before="0" w:after="160"/>
      </w:pPr>
      <w:r>
        <w:t>6. Questions to Industry</w:t>
      </w:r>
    </w:p>
    <w:p>
      <w:r>
        <w:t>Industry respondents are requested to address the following questions. Responses are for market research purposes only and do not constitute a commitment to procure.</w:t>
      </w:r>
    </w:p>
    <w:p>
      <w:pPr>
        <w:pStyle w:val="ListBullet"/>
      </w:pPr>
      <w:r>
        <w:t>Confirm your ability to conform module designs to the program's UAS Family of Systems Architecture baseline and PAE C3BM/C3N standards; identify any planned deviations and impact to schedule and cost.</w:t>
      </w:r>
    </w:p>
    <w:p>
      <w:pPr>
        <w:pStyle w:val="ListBullet"/>
      </w:pPr>
      <w:r>
        <w:t>For each proposed module, provide an Interface Control Document (ICD) or a proposed ICD outline that meets the RFI MOSA requirements and indicates expected data types, protocols, and physical connectors.</w:t>
      </w:r>
    </w:p>
    <w:p>
      <w:pPr>
        <w:pStyle w:val="ListBullet"/>
      </w:pPr>
      <w:r>
        <w:t>Describe your data rights posture: state what data deliverables you will provide with GPR for interfaces, what IP you will protect, and whether you will accept SNLR for internal module data. Provide a sample data rights assertion for a representative module.</w:t>
      </w:r>
    </w:p>
    <w:p>
      <w:pPr>
        <w:pStyle w:val="ListBullet"/>
      </w:pPr>
      <w:r>
        <w:t>List COTS components used by module, life-cycle status, long-lead or single-source parts, and proposed obsolescence mitigation strategies (e.g., second sources, emulation plans, software abstraction layers).</w:t>
      </w:r>
    </w:p>
    <w:p>
      <w:pPr>
        <w:pStyle w:val="ListBullet"/>
      </w:pPr>
      <w:r>
        <w:t>Describe how you will support the SEP Smoke Test demonstration: hardware availability for the test window, personnel for on-site integration and test, and timeline to deliver a test-ready module to the program office.</w:t>
      </w:r>
    </w:p>
    <w:p>
      <w:pPr>
        <w:pStyle w:val="ListBullet"/>
      </w:pPr>
      <w:r>
        <w:t>Provide a MOSA compliance matrix and describe how your design supports plug-and-play replacement, hot-swap field maintenance, and inter-vendor payload integration during the smoke test.</w:t>
      </w:r>
    </w:p>
    <w:p>
      <w:pPr>
        <w:pStyle w:val="ListBullet"/>
      </w:pPr>
      <w:r>
        <w:t>Provide proposed test cases and acceptance criteria for the SEP Smoke Test that verify modular interoperability, datalink performance, and maintainability per the program MOSA scenarios (repair, upgrade, coalition ops).</w:t>
      </w:r>
    </w:p>
    <w:p>
      <w:pPr>
        <w:pStyle w:val="ListBullet"/>
      </w:pPr>
      <w:r>
        <w:t>Identify cybersecurity controls and RMF artifacts you will deliver; explain how your module will interoperate securely with PAE C3BM/C3N-class networks and any cross-domain considerations for coalition demonstrations.</w:t>
      </w:r>
    </w:p>
    <w:p>
      <w:pPr>
        <w:pStyle w:val="ListBullet"/>
      </w:pPr>
      <w:r>
        <w:t>Provide a notional cost and schedule (level of effort) to deliver each module for the smoke test, including separate estimates for engineering, TDP generation, test support, and options for small-scale production.</w:t>
      </w:r>
    </w:p>
    <w:p>
      <w:pPr>
        <w:pStyle w:val="ListBullet"/>
      </w:pPr>
      <w:r>
        <w:t>If proposing software-defined components, describe your software partitioning approach to enable upgrades without vendor lock-in and how you will version/manage APIs to ensure backwards compatibility.</w:t>
      </w:r>
    </w:p>
    <w:p>
      <w:r>
        <w:br w:type="page"/>
      </w:r>
    </w:p>
    <w:p>
      <w:pPr>
        <w:pStyle w:val="Heading1"/>
        <w:spacing w:before="0" w:after="160"/>
      </w:pPr>
      <w:r>
        <w:t>7. Requested Deliverables</w:t>
      </w:r>
    </w:p>
    <w:p>
      <w:r>
        <w:t>Please provide the following items in your response:</w:t>
      </w:r>
    </w:p>
    <w:p>
      <w:pPr>
        <w:pStyle w:val="ListBullet"/>
      </w:pPr>
      <w:r>
        <w:t>Architecture diagrams mapping proposed modules to the SEP Smoke Test UAS Family of Systems Architecture baseline.</w:t>
      </w:r>
    </w:p>
    <w:p>
      <w:pPr>
        <w:pStyle w:val="ListBullet"/>
      </w:pPr>
      <w:r>
        <w:t>Interface Control Documents (ICDs) or proposed ICD outlines for each module, including message definitions, protocols, and physical interface details.</w:t>
      </w:r>
    </w:p>
    <w:p>
      <w:pPr>
        <w:pStyle w:val="ListBullet"/>
      </w:pPr>
      <w:r>
        <w:t>MOSA compliance matrix cross-referencing modules, standards, interfaces, and deliverables (TDP, test procedures, rights assertions).</w:t>
      </w:r>
    </w:p>
    <w:p>
      <w:pPr>
        <w:pStyle w:val="ListBullet"/>
      </w:pPr>
      <w:r>
        <w:t>Data rights assertion documentation detailing rights proposed for interfaces (minimum GPR) and description of any SNLR or other limited rights sought for module internals.</w:t>
      </w:r>
    </w:p>
    <w:p>
      <w:pPr>
        <w:pStyle w:val="ListBullet"/>
      </w:pPr>
      <w:r>
        <w:t>Technical Data Package (TDP) sample content list for each module (drawings, schematics, part lists, repair procedures) and proposed delivery schedule.</w:t>
      </w:r>
    </w:p>
    <w:p>
      <w:pPr>
        <w:pStyle w:val="ListBullet"/>
      </w:pPr>
      <w:r>
        <w:t>Bill of materials (BOM) for each module highlighting COTS items, long-lead parts, and suggested second-source alternatives for obsolescence mitigation.</w:t>
      </w:r>
    </w:p>
    <w:p>
      <w:pPr>
        <w:pStyle w:val="ListBullet"/>
      </w:pPr>
      <w:r>
        <w:t>Risk register identifying technical risks, obsolescence risks, and recommended mitigations for each module.</w:t>
      </w:r>
    </w:p>
    <w:p>
      <w:pPr>
        <w:pStyle w:val="ListBullet"/>
      </w:pPr>
      <w:r>
        <w:t>Notional test plan and test procedures for SEP Smoke Test including MOSA scenarios, acceptance criteria, and required government/industry test support.</w:t>
      </w:r>
    </w:p>
    <w:p>
      <w:pPr>
        <w:pStyle w:val="ListBullet"/>
      </w:pPr>
      <w:r>
        <w:t>Cost and schedule estimates (separable by module) for engineering, prototype delivery for the smoke test, and baseline sustainment activities.</w:t>
      </w:r>
    </w:p>
    <w:p>
      <w:pPr>
        <w:pStyle w:val="ListBullet"/>
      </w:pPr>
      <w:r>
        <w:t>Cybersecurity artifacts to be delivered (e.g., RMF Authorization Package outline, STIG compliance statement) and a summary of security controls implemented.</w:t>
      </w:r>
    </w:p>
    <w:p>
      <w:r>
        <w:br w:type="page"/>
      </w:r>
    </w:p>
    <w:p>
      <w:pPr>
        <w:pStyle w:val="Heading1"/>
        <w:spacing w:before="0" w:after="160"/>
      </w:pPr>
      <w:r>
        <w:t>8. Submission Instructions</w:t>
      </w:r>
    </w:p>
    <w:p>
      <w:pPr>
        <w:pStyle w:val="ListBullet"/>
      </w:pPr>
      <w:r>
        <w:t>Reference RFI ID: SEP-ST-RFI-2026-001 in all submissions and submit unclassified electronic deliverables to the SEP Smoke Test Program Office via the designated submission portal within 45 calendar days of RFI release. If portal access is required, contact the SEP Program Office POC.</w:t>
      </w:r>
    </w:p>
    <w:p>
      <w:pPr>
        <w:pStyle w:val="ListBullet"/>
      </w:pPr>
      <w:r>
        <w:t>Provide a single PDF technical volume (maximum 40 pages) plus separate annexes for ICDs, BOMs, TDP samples, and data rights assertions. Also submit a machine-readable MOSA compliance matrix (Excel or CSV).</w:t>
      </w:r>
    </w:p>
    <w:p>
      <w:pPr>
        <w:pStyle w:val="ListBullet"/>
      </w:pPr>
      <w:r>
        <w:t>Mark any proprietary information and include redacted and unredacted versions where appropriate. Responses that include pricing must include a separate, clearly marked cost annex.</w:t>
      </w:r>
    </w:p>
    <w:p>
      <w:pPr>
        <w:pStyle w:val="ListBullet"/>
      </w:pPr>
      <w:r>
        <w:t>Include a single point of contact for follow-up (name, role, email, phone) and indicate any export-control or foreign-national participation constraints immediately.</w:t>
      </w:r>
    </w:p>
    <w:p>
      <w:pPr>
        <w:pStyle w:val="ListBullet"/>
      </w:pPr>
      <w:r>
        <w:t>Questions regarding this RFI must be submitted in writing to the SEP Smoke Test Program Office no later than 21 calendar days after RFI release; answers will be posted to the solicitation portal for all respondents.</w:t>
      </w:r>
    </w:p>
    <w:p>
      <w:r>
        <w:br w:type="page"/>
      </w:r>
    </w:p>
    <w:p>
      <w:pPr>
        <w:pStyle w:val="Heading1"/>
        <w:spacing w:before="0" w:after="160"/>
      </w:pPr>
      <w:r>
        <w:t>Appendix A: Sources Used</w:t>
      </w:r>
    </w:p>
    <w:p>
      <w:r>
        <w:t>The following uploaded program documents were consulted in preparing this AI-assisted RFI:</w:t>
      </w:r>
    </w:p>
    <w:p>
      <w:pPr>
        <w:pStyle w:val="ListBullet"/>
      </w:pPr>
      <w:r>
        <w:rPr>
          <w:b/>
        </w:rPr>
        <w:t>EXAMPLE for MOSA_RFI.docx</w:t>
      </w:r>
      <w:r>
        <w:t xml:space="preserve"> — MVP for MOSA (for all programs) Must define draft Modules and expected interfaces Must define high level MOSA scenarios Must define data rights strategy with a min requirement of GPR for all interfaces</w:t>
      </w:r>
    </w:p>
    <w:p>
      <w:pPr>
        <w:pStyle w:val="ListBullet"/>
      </w:pPr>
      <w:r>
        <w:rPr>
          <w:b/>
        </w:rPr>
        <w:t>EXAEMPLAR_Acquisition Strategy .docx</w:t>
      </w:r>
      <w:r>
        <w:t xml:space="preserve"> — Due to the MOSA intended for this program, the technical approach will be leverage the existing UAS Family of Systems Architecture that has been robustly vetted with industry during past UAS programs and as such has resulted in much of industry aligning commercial solutions with this architecture. Click here to enter text This program has few risks related to data rights since USC 10 requires interfaces to be GPR and because this program is vastly limiting procurement of data rights inside the modules, and where rights are needed, the USG’s approach is to leverage SNLR to get only the needed level of rights without putting the company’s IP at risk for losing commerciality or exposing that IP to any other vendors.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color w:val="666666"/>
        <w:sz w:val="18"/>
      </w:rPr>
      <w:t>SEP Smoke Test</w:t>
    </w:r>
  </w:p>
  <w:p>
    <w:pPr>
      <w:jc w:val="center"/>
    </w:pPr>
    <w:r>
      <w:rPr>
        <w:color w:val="666666"/>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