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48"/>
        </w:rPr>
        <w:t>SEP Smoke Test</w:t>
      </w:r>
    </w:p>
    <w:p>
      <w:pPr>
        <w:spacing w:before="240"/>
        <w:jc w:val="center"/>
      </w:pPr>
      <w:r>
        <w:rPr>
          <w:color w:val="444444"/>
          <w:sz w:val="32"/>
        </w:rPr>
        <w:t>Request for Information (AI-Assisted)</w:t>
      </w:r>
    </w:p>
    <w:p>
      <w:pPr>
        <w:spacing w:before="160"/>
        <w:jc w:val="center"/>
      </w:pPr>
      <w:r>
        <w:rPr>
          <w:sz w:val="22"/>
        </w:rPr>
        <w:t>February 28, 2026</w:t>
      </w:r>
    </w:p>
    <w:p>
      <w:r>
        <w:br w:type="page"/>
      </w:r>
    </w:p>
    <w:p>
      <w:pPr>
        <w:pStyle w:val="Heading1"/>
        <w:spacing w:before="0" w:after="160"/>
      </w:pPr>
      <w:r>
        <w:t>1. Document Overview</w:t>
      </w:r>
    </w:p>
    <w:p>
      <w:r>
        <w:t>This RFI seeks industry input to support the SEP Smoke Test program’s implementation of a Modular Open Systems Approach (MOSA) for a small Unmanned Aerial System (sUAS) capability, validating modular decompositions, interface definitions, data rights strategies, and sustainment approaches. The intent is to collect technical solutions, commercial-off-the-shelf (COTS) candidates, interface control drafts, and data-rights commitments to inform a follow-on acquisition strategy and an MOSA-conformant RFP.</w:t>
      </w:r>
    </w:p>
    <w:p>
      <w:r>
        <w:br w:type="page"/>
      </w:r>
    </w:p>
    <w:p>
      <w:pPr>
        <w:pStyle w:val="Heading1"/>
        <w:spacing w:before="0" w:after="160"/>
      </w:pPr>
      <w:r>
        <w:t>2. RFI Purpose</w:t>
      </w:r>
    </w:p>
    <w:p>
      <w:r>
        <w:t>This RFI is issued to satisfy statutory and DoD policy expectations for early market engagement and MOSA implementation planning, including capturing industry capability and data-rights postures to meet requirements for Government Purpose Rights (GPR) (referencing the MOSA MVP guidance captured in program artifacts). The RFI informs a future RFP and supports compliance with program guidance requiring GPR as a minimum on interfaces and acquisition approaches that preserve competition and reuse across services and partner nations.</w:t>
      </w:r>
    </w:p>
    <w:p>
      <w:r>
        <w:br w:type="page"/>
      </w:r>
    </w:p>
    <w:p>
      <w:pPr>
        <w:pStyle w:val="Heading1"/>
        <w:spacing w:before="0" w:after="160"/>
      </w:pPr>
      <w:r>
        <w:t>3. Program Context</w:t>
      </w:r>
    </w:p>
    <w:p>
      <w:r>
        <w:t>SEP Smoke Test is a program-of-record demonstration designed to validate MOSA concepts for a small UAS capability intended to fill an organic unit-level ISR/strike gap and be leveraged across services and partner nations. The program will adopt the existing UAS Family of Systems (FoS) Architecture that has been vetted with industry during prior UAS procurements to minimize integration risk and encourage alignment with commercially available architectures. The program will be limited in scope for this initial test: establish module boundaries, validate multi-vendor integration and repair scenarios, and confirm data-rights approaches that enable Government sustainment and multivendor competition.</w:t>
      </w:r>
    </w:p>
    <w:p>
      <w:r>
        <w:t>Per the program acquisition strategy, SEP Smoke Test will favor cross-service standards and architectures (notably PAE C3BM and PAE C3N-derived transport and datalink practices) to reduce lifecycle disruption and maximize reuse. Deviations from the FoS architecture must be justified; the program expects industry to show how proposed deviations still meet interoperability and sustainment goals. The program specifically intends to limit procurement of proprietary unlimited data rights inside modules and will pursue Technical Data Package (TDP) and data rights sufficient for depot-level repair and diagnostics where MOSA scenarios require it.</w:t>
      </w:r>
    </w:p>
    <w:p>
      <w:r>
        <w:t>The MOSA objectives for SEP Smoke Test include: (1) defining draft modules and interfaces to enable multivendor competition at the module level, (2) requiring GPR (as a minimum) on module-to-module interfaces to support cross-vendor integration and partner-nation reuse, and (3) demonstrating practical obsolescence and sustainment strategies (including selective use of SNLR where appropriate). Industry input is sought on technical approaches, COTS candidates, test approaches for multivendor integration, and data-rights/license templates that balance Government needs and vendor commerciality.</w:t>
      </w:r>
    </w:p>
    <w:p>
      <w:r>
        <w:br w:type="page"/>
      </w:r>
    </w:p>
    <w:p>
      <w:pPr>
        <w:pStyle w:val="Heading1"/>
        <w:spacing w:before="0" w:after="160"/>
      </w:pPr>
      <w:r>
        <w:t>4. MOSA Requirements</w:t>
      </w:r>
    </w:p>
    <w:p>
      <w:r>
        <w:t>This acquisition will be structured in accordance with a Modular Open Systems Approach (MOSA) as required by 10 U.S.C. § 4401. The following requirements apply to this specific program:</w:t>
      </w:r>
    </w:p>
    <w:p>
      <w:pPr>
        <w:pStyle w:val="ListBullet"/>
      </w:pPr>
      <w:r>
        <w:t>Provide a proposed module decomposition and explicit Interface Control Documents (ICDs) for each module consistent with the UAS Family of Systems architecture used by SEP Smoke Test; ICDs must identify physical, electrical, data, and cyber-security interfaces.</w:t>
      </w:r>
    </w:p>
    <w:p>
      <w:pPr>
        <w:pStyle w:val="ListBullet"/>
      </w:pPr>
      <w:r>
        <w:t>All module-to-module interfaces must be deliverable with Government Purpose Rights (GPR) as a minimum; where vendors assert alternative rights, provide justification and propose SNLR-based limited rights sufficient for required sustainment scenarios.</w:t>
      </w:r>
    </w:p>
    <w:p>
      <w:pPr>
        <w:pStyle w:val="ListBullet"/>
      </w:pPr>
      <w:r>
        <w:t>Deliver draft MOSA test scenarios (integration, upgrade/replace, repair, multivendor mission load, and partner-nation interoperability) and a pass/fail criteria matrix for each scenario.</w:t>
      </w:r>
    </w:p>
    <w:p>
      <w:pPr>
        <w:pStyle w:val="ListBullet"/>
      </w:pPr>
      <w:r>
        <w:t>Conform to PAE C3BM / PAE C3N interoperability expectations for communications/datalink and higher-echelon integration; document any standards gaps and proposed mitigations.</w:t>
      </w:r>
    </w:p>
    <w:p>
      <w:pPr>
        <w:pStyle w:val="ListBullet"/>
      </w:pPr>
      <w:r>
        <w:t>Provide a Model-Based Systems Engineering (MBSE) description at a level sufficient to simulate interface behavior and dependency impacts for integration testing.</w:t>
      </w:r>
    </w:p>
    <w:p>
      <w:pPr>
        <w:pStyle w:val="ListBullet"/>
      </w:pPr>
      <w:r>
        <w:t>Supply TDP scope for modules where the program requires depot repair or capability transfer; specify deliverable artifacts, format, and delivery schedule.</w:t>
      </w:r>
    </w:p>
    <w:p>
      <w:pPr>
        <w:pStyle w:val="ListBullet"/>
      </w:pPr>
      <w:r>
        <w:t>Identify security and information assurance controls for each interface (including encrypted datalinks, key management approach, and cross-domain considerations for partner nations).</w:t>
      </w:r>
    </w:p>
    <w:p>
      <w:pPr>
        <w:pStyle w:val="ListBullet"/>
      </w:pPr>
      <w:r>
        <w:t>Supply an obsolescence mitigation plan per module including expected refresh cadence, identified long-lead items, and lifecycle sustainment approach.</w:t>
      </w:r>
    </w:p>
    <w:p>
      <w:pPr>
        <w:pStyle w:val="ListBullet"/>
      </w:pPr>
      <w:r>
        <w:t>Define acceptance criteria and test fixtures required to demonstrate compliance with MOSA scenarios in a multi-vendor lab and field smoke test.</w:t>
      </w:r>
    </w:p>
    <w:p>
      <w:r>
        <w:br w:type="page"/>
      </w:r>
    </w:p>
    <w:p>
      <w:pPr>
        <w:pStyle w:val="Heading1"/>
        <w:spacing w:before="0" w:after="160"/>
      </w:pPr>
      <w:r>
        <w:t>5. Candidate Module Summary</w:t>
      </w:r>
    </w:p>
    <w:p>
      <w:r>
        <w:t>The Government has identified the following candidate modules as a starting point for the modular architecture. Respondents are encouraged to propose alternative decompositions.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96"/>
            <w:shd w:val="clear" w:color="auto" w:fill="D9E1F2"/>
          </w:tcPr>
          <w:p>
            <w:r>
              <w:rPr>
                <w:b/>
                <w:sz w:val="20"/>
              </w:rPr>
              <w:t>Module</w:t>
            </w:r>
          </w:p>
        </w:tc>
        <w:tc>
          <w:tcPr>
            <w:tcW w:type="dxa" w:w="1728"/>
            <w:shd w:val="clear" w:color="auto" w:fill="D9E1F2"/>
          </w:tcPr>
          <w:p>
            <w:r>
              <w:rPr>
                <w:b/>
                <w:sz w:val="20"/>
              </w:rPr>
              <w:t>Rationale</w:t>
            </w:r>
          </w:p>
        </w:tc>
        <w:tc>
          <w:tcPr>
            <w:tcW w:type="dxa" w:w="1440"/>
            <w:shd w:val="clear" w:color="auto" w:fill="D9E1F2"/>
          </w:tcPr>
          <w:p>
            <w:r>
              <w:rPr>
                <w:b/>
                <w:sz w:val="20"/>
              </w:rPr>
              <w:t>Key Interfaces</w:t>
            </w:r>
          </w:p>
        </w:tc>
        <w:tc>
          <w:tcPr>
            <w:tcW w:type="dxa" w:w="1296"/>
            <w:shd w:val="clear" w:color="auto" w:fill="D9E1F2"/>
          </w:tcPr>
          <w:p>
            <w:r>
              <w:rPr>
                <w:b/>
                <w:sz w:val="20"/>
              </w:rPr>
              <w:t>Standards</w:t>
            </w:r>
          </w:p>
        </w:tc>
        <w:tc>
          <w:tcPr>
            <w:tcW w:type="dxa" w:w="864"/>
            <w:shd w:val="clear" w:color="auto" w:fill="D9E1F2"/>
          </w:tcPr>
          <w:p>
            <w:r>
              <w:rPr>
                <w:b/>
                <w:sz w:val="20"/>
              </w:rPr>
              <w:t>Tech Risk</w:t>
            </w:r>
          </w:p>
        </w:tc>
        <w:tc>
          <w:tcPr>
            <w:tcW w:type="dxa" w:w="1152"/>
            <w:shd w:val="clear" w:color="auto" w:fill="D9E1F2"/>
          </w:tcPr>
          <w:p>
            <w:r>
              <w:rPr>
                <w:b/>
                <w:sz w:val="20"/>
              </w:rPr>
              <w:t>Obsolescence Risk</w:t>
            </w:r>
          </w:p>
        </w:tc>
        <w:tc>
          <w:tcPr>
            <w:tcW w:type="dxa" w:w="864"/>
            <w:shd w:val="clear" w:color="auto" w:fill="D9E1F2"/>
          </w:tcPr>
          <w:p>
            <w:r>
              <w:rPr>
                <w:b/>
                <w:sz w:val="20"/>
              </w:rPr>
              <w:t>COTS Candidate</w:t>
            </w:r>
          </w:p>
        </w:tc>
      </w:tr>
      <w:tr>
        <w:tc>
          <w:tcPr>
            <w:tcW w:type="dxa" w:w="1296"/>
          </w:tcPr>
          <w:p>
            <w:r>
              <w:rPr>
                <w:b w:val="0"/>
                <w:sz w:val="20"/>
              </w:rPr>
              <w:t>Air Vehicle Platform (Airframe &amp; Mechanical)</w:t>
            </w:r>
          </w:p>
        </w:tc>
        <w:tc>
          <w:tcPr>
            <w:tcW w:type="dxa" w:w="1728"/>
          </w:tcPr>
          <w:p>
            <w:r>
              <w:rPr>
                <w:b w:val="0"/>
                <w:sz w:val="20"/>
              </w:rPr>
              <w:t>Primary structural and aerodynamic element for the SEP Smoke Test sUAS; defines mechanical mounting and environmental envelope for all other modules and ensures multi-vendor payload compatibility.</w:t>
            </w:r>
          </w:p>
        </w:tc>
        <w:tc>
          <w:tcPr>
            <w:tcW w:type="dxa" w:w="1440"/>
          </w:tcPr>
          <w:p>
            <w:r>
              <w:rPr>
                <w:b w:val="0"/>
                <w:sz w:val="20"/>
              </w:rPr>
              <w:t>Mechanical mounts and alignment datum, power distribution interface, mission data bus physical connector, environmental sensor mount points, ballistic and EMI zoning.</w:t>
            </w:r>
          </w:p>
        </w:tc>
        <w:tc>
          <w:tcPr>
            <w:tcW w:type="dxa" w:w="1296"/>
          </w:tcPr>
          <w:p>
            <w:r>
              <w:rPr>
                <w:b w:val="0"/>
                <w:sz w:val="20"/>
              </w:rPr>
              <w:t>UAS Family of Systems mechanical interface conventions; PAE C3BM mechanical guidance where applicable; program ICD for mounting and environmental limits.</w:t>
            </w:r>
          </w:p>
        </w:tc>
        <w:tc>
          <w:tcPr>
            <w:tcW w:type="dxa" w:w="864"/>
          </w:tcPr>
          <w:p>
            <w:pPr>
              <w:jc w:val="center"/>
            </w:pPr>
            <w:r>
              <w:rPr>
                <w:b w:val="0"/>
                <w:sz w:val="20"/>
              </w:rPr>
              <w:t>Moderate — integration of diverse payloads requires validated mounting and balance procedures</w:t>
            </w:r>
          </w:p>
        </w:tc>
        <w:tc>
          <w:tcPr>
            <w:tcW w:type="dxa" w:w="1152"/>
          </w:tcPr>
          <w:p>
            <w:pPr>
              <w:jc w:val="center"/>
            </w:pPr>
            <w:r>
              <w:rPr>
                <w:b w:val="0"/>
                <w:sz w:val="20"/>
              </w:rPr>
              <w:t>Low — airframe form factors are stable but can change with propulsion advances</w:t>
            </w:r>
          </w:p>
        </w:tc>
        <w:tc>
          <w:tcPr>
            <w:tcW w:type="dxa" w:w="864"/>
          </w:tcPr>
          <w:p>
            <w:pPr>
              <w:jc w:val="center"/>
            </w:pPr>
            <w:r>
              <w:rPr>
                <w:b w:val="0"/>
                <w:sz w:val="20"/>
              </w:rPr>
              <w:t>Yes — several COTS small-airframe options exist that conform to FoS conventions</w:t>
            </w:r>
          </w:p>
        </w:tc>
      </w:tr>
      <w:tr>
        <w:tc>
          <w:tcPr>
            <w:tcW w:type="dxa" w:w="1296"/>
          </w:tcPr>
          <w:p>
            <w:r>
              <w:rPr>
                <w:b w:val="0"/>
                <w:sz w:val="20"/>
              </w:rPr>
              <w:t>Avionics &amp; Flight Control (FCS)</w:t>
            </w:r>
          </w:p>
        </w:tc>
        <w:tc>
          <w:tcPr>
            <w:tcW w:type="dxa" w:w="1728"/>
          </w:tcPr>
          <w:p>
            <w:r>
              <w:rPr>
                <w:b w:val="0"/>
                <w:sz w:val="20"/>
              </w:rPr>
              <w:t>Provides core flight management, autopilot, navigation (GPS/INS), and safety-critical functions; central to MOSA because it mediates mission commands and payload control.</w:t>
            </w:r>
          </w:p>
        </w:tc>
        <w:tc>
          <w:tcPr>
            <w:tcW w:type="dxa" w:w="1440"/>
          </w:tcPr>
          <w:p>
            <w:r>
              <w:rPr>
                <w:b w:val="0"/>
                <w:sz w:val="20"/>
              </w:rPr>
              <w:t>Mission data bus, sensor and actuator buses (e.g., CAN/serial/ARINC-like), GNSS/INS inputs, power, health/diagnostics port, and ground control telemetry.</w:t>
            </w:r>
          </w:p>
        </w:tc>
        <w:tc>
          <w:tcPr>
            <w:tcW w:type="dxa" w:w="1296"/>
          </w:tcPr>
          <w:p>
            <w:r>
              <w:rPr>
                <w:b w:val="0"/>
                <w:sz w:val="20"/>
              </w:rPr>
              <w:t>UAS FoS avionics interface patterns; encrypted datalink expectations from PAE C3N; ICD must specify message sets and timing.</w:t>
            </w:r>
          </w:p>
        </w:tc>
        <w:tc>
          <w:tcPr>
            <w:tcW w:type="dxa" w:w="864"/>
          </w:tcPr>
          <w:p>
            <w:pPr>
              <w:jc w:val="center"/>
            </w:pPr>
            <w:r>
              <w:rPr>
                <w:b w:val="0"/>
                <w:sz w:val="20"/>
              </w:rPr>
              <w:t>Moderate — safety-critical certification of modified open components may be challenging</w:t>
            </w:r>
          </w:p>
        </w:tc>
        <w:tc>
          <w:tcPr>
            <w:tcW w:type="dxa" w:w="1152"/>
          </w:tcPr>
          <w:p>
            <w:pPr>
              <w:jc w:val="center"/>
            </w:pPr>
            <w:r>
              <w:rPr>
                <w:b w:val="0"/>
                <w:sz w:val="20"/>
              </w:rPr>
              <w:t>Yes — silicon/processor obsolescence and rapid software evolution are likely</w:t>
            </w:r>
          </w:p>
        </w:tc>
        <w:tc>
          <w:tcPr>
            <w:tcW w:type="dxa" w:w="864"/>
          </w:tcPr>
          <w:p>
            <w:pPr>
              <w:jc w:val="center"/>
            </w:pPr>
            <w:r>
              <w:rPr>
                <w:b w:val="0"/>
                <w:sz w:val="20"/>
              </w:rPr>
              <w:t>Yes — commercial flight-control stacks exist but must be assessed for GPR and security</w:t>
            </w:r>
          </w:p>
        </w:tc>
      </w:tr>
      <w:tr>
        <w:tc>
          <w:tcPr>
            <w:tcW w:type="dxa" w:w="1296"/>
          </w:tcPr>
          <w:p>
            <w:r>
              <w:rPr>
                <w:b w:val="0"/>
                <w:sz w:val="20"/>
              </w:rPr>
              <w:t>Payload Sensor Suite (EO/IR, SIGINT optional)</w:t>
            </w:r>
          </w:p>
        </w:tc>
        <w:tc>
          <w:tcPr>
            <w:tcW w:type="dxa" w:w="1728"/>
          </w:tcPr>
          <w:p>
            <w:r>
              <w:rPr>
                <w:b w:val="0"/>
                <w:sz w:val="20"/>
              </w:rPr>
              <w:t>Primary mission payloads for ISR and targeting; modular payloads enable mission tailoring and multivendor competition at the payload level.</w:t>
            </w:r>
          </w:p>
        </w:tc>
        <w:tc>
          <w:tcPr>
            <w:tcW w:type="dxa" w:w="1440"/>
          </w:tcPr>
          <w:p>
            <w:r>
              <w:rPr>
                <w:b w:val="0"/>
                <w:sz w:val="20"/>
              </w:rPr>
              <w:t>Mechanical mounting, power draw profile, high-speed data link to mission computer, control message set, metadata formats, and cooling/thermal accommodations.</w:t>
            </w:r>
          </w:p>
        </w:tc>
        <w:tc>
          <w:tcPr>
            <w:tcW w:type="dxa" w:w="1296"/>
          </w:tcPr>
          <w:p>
            <w:r>
              <w:rPr>
                <w:b w:val="0"/>
                <w:sz w:val="20"/>
              </w:rPr>
              <w:t>FoS payload mounting and data formats; recommended use of standardized metadata schemas and timestamping; GPR for payload control interfaces.</w:t>
            </w:r>
          </w:p>
        </w:tc>
        <w:tc>
          <w:tcPr>
            <w:tcW w:type="dxa" w:w="864"/>
          </w:tcPr>
          <w:p>
            <w:pPr>
              <w:jc w:val="center"/>
            </w:pPr>
            <w:r>
              <w:rPr>
                <w:b w:val="0"/>
                <w:sz w:val="20"/>
              </w:rPr>
              <w:t>Yes — sensor performance integration (alignment/calibration) risks exist for multi-vendor combos</w:t>
            </w:r>
          </w:p>
        </w:tc>
        <w:tc>
          <w:tcPr>
            <w:tcW w:type="dxa" w:w="1152"/>
          </w:tcPr>
          <w:p>
            <w:pPr>
              <w:jc w:val="center"/>
            </w:pPr>
            <w:r>
              <w:rPr>
                <w:b w:val="0"/>
                <w:sz w:val="20"/>
              </w:rPr>
              <w:t>High — sensor electronics and detectors advance rapidly</w:t>
            </w:r>
          </w:p>
        </w:tc>
        <w:tc>
          <w:tcPr>
            <w:tcW w:type="dxa" w:w="864"/>
          </w:tcPr>
          <w:p>
            <w:pPr>
              <w:jc w:val="center"/>
            </w:pPr>
            <w:r>
              <w:rPr>
                <w:b w:val="0"/>
                <w:sz w:val="20"/>
              </w:rPr>
              <w:t>Yes — multiple COTS EO/IR payloads available, but custom integration needed for full interoperability</w:t>
            </w:r>
          </w:p>
        </w:tc>
      </w:tr>
      <w:tr>
        <w:tc>
          <w:tcPr>
            <w:tcW w:type="dxa" w:w="1296"/>
          </w:tcPr>
          <w:p>
            <w:r>
              <w:rPr>
                <w:b w:val="0"/>
                <w:sz w:val="20"/>
              </w:rPr>
              <w:t>Communications / Datalink</w:t>
            </w:r>
          </w:p>
        </w:tc>
        <w:tc>
          <w:tcPr>
            <w:tcW w:type="dxa" w:w="1728"/>
          </w:tcPr>
          <w:p>
            <w:r>
              <w:rPr>
                <w:b w:val="0"/>
                <w:sz w:val="20"/>
              </w:rPr>
              <w:t>Enables ground control, payload downlink, and higher-echelon integration; must meet cross-service and partner-nation interoperability and security requirements.</w:t>
            </w:r>
          </w:p>
        </w:tc>
        <w:tc>
          <w:tcPr>
            <w:tcW w:type="dxa" w:w="1440"/>
          </w:tcPr>
          <w:p>
            <w:r>
              <w:rPr>
                <w:b w:val="0"/>
                <w:sz w:val="20"/>
              </w:rPr>
              <w:t>RF antenna and modem interface, message transport API to mission computer, crypto boundary and key management interface, SATCOM or LOS handover interface.</w:t>
            </w:r>
          </w:p>
        </w:tc>
        <w:tc>
          <w:tcPr>
            <w:tcW w:type="dxa" w:w="1296"/>
          </w:tcPr>
          <w:p>
            <w:r>
              <w:rPr>
                <w:b w:val="0"/>
                <w:sz w:val="20"/>
              </w:rPr>
              <w:t>PAE C3N-derived datalink expectations, standardized message sets per program ICD, crypto standards per program IA guidance.</w:t>
            </w:r>
          </w:p>
        </w:tc>
        <w:tc>
          <w:tcPr>
            <w:tcW w:type="dxa" w:w="864"/>
          </w:tcPr>
          <w:p>
            <w:pPr>
              <w:jc w:val="center"/>
            </w:pPr>
            <w:r>
              <w:rPr>
                <w:b w:val="0"/>
                <w:sz w:val="20"/>
              </w:rPr>
              <w:t>Yes — secure handover and multi-band interoperability are technically complex</w:t>
            </w:r>
          </w:p>
        </w:tc>
        <w:tc>
          <w:tcPr>
            <w:tcW w:type="dxa" w:w="1152"/>
          </w:tcPr>
          <w:p>
            <w:pPr>
              <w:jc w:val="center"/>
            </w:pPr>
            <w:r>
              <w:rPr>
                <w:b w:val="0"/>
                <w:sz w:val="20"/>
              </w:rPr>
              <w:t>Moderate — RF module obsolescence occurs with changing spectrum and waveform standards</w:t>
            </w:r>
          </w:p>
        </w:tc>
        <w:tc>
          <w:tcPr>
            <w:tcW w:type="dxa" w:w="864"/>
          </w:tcPr>
          <w:p>
            <w:pPr>
              <w:jc w:val="center"/>
            </w:pPr>
            <w:r>
              <w:rPr>
                <w:b w:val="0"/>
                <w:sz w:val="20"/>
              </w:rPr>
              <w:t>Yes — commercial modems available but must support required crypto and GPR on protocol interfaces</w:t>
            </w:r>
          </w:p>
        </w:tc>
      </w:tr>
      <w:tr>
        <w:tc>
          <w:tcPr>
            <w:tcW w:type="dxa" w:w="1296"/>
          </w:tcPr>
          <w:p>
            <w:r>
              <w:rPr>
                <w:b w:val="0"/>
                <w:sz w:val="20"/>
              </w:rPr>
              <w:t>Ground Control Station (GCS) Hardware &amp; Software</w:t>
            </w:r>
          </w:p>
        </w:tc>
        <w:tc>
          <w:tcPr>
            <w:tcW w:type="dxa" w:w="1728"/>
          </w:tcPr>
          <w:p>
            <w:r>
              <w:rPr>
                <w:b w:val="0"/>
                <w:sz w:val="20"/>
              </w:rPr>
              <w:t>Operator control, mission planning, and sink for sensor data; must interoperate with multiple vendors’ modules and support partner-nation use cases.</w:t>
            </w:r>
          </w:p>
        </w:tc>
        <w:tc>
          <w:tcPr>
            <w:tcW w:type="dxa" w:w="1440"/>
          </w:tcPr>
          <w:p>
            <w:r>
              <w:rPr>
                <w:b w:val="0"/>
                <w:sz w:val="20"/>
              </w:rPr>
              <w:t>Datalink protocol stacks, mission file/package format, user authorization/API for payload control, and export-control constraints on software builds.</w:t>
            </w:r>
          </w:p>
        </w:tc>
        <w:tc>
          <w:tcPr>
            <w:tcW w:type="dxa" w:w="1296"/>
          </w:tcPr>
          <w:p>
            <w:r>
              <w:rPr>
                <w:b w:val="0"/>
                <w:sz w:val="20"/>
              </w:rPr>
              <w:t>GCS APIs aligned to UAS FoS mission management patterns; recommended use of open command/telemetry APIs and GPR for interface definitions.</w:t>
            </w:r>
          </w:p>
        </w:tc>
        <w:tc>
          <w:tcPr>
            <w:tcW w:type="dxa" w:w="864"/>
          </w:tcPr>
          <w:p>
            <w:pPr>
              <w:jc w:val="center"/>
            </w:pPr>
            <w:r>
              <w:rPr>
                <w:b w:val="0"/>
                <w:sz w:val="20"/>
              </w:rPr>
              <w:t>Low — many mature GCS solutions exist but integration to diverse modules requires validation</w:t>
            </w:r>
          </w:p>
        </w:tc>
        <w:tc>
          <w:tcPr>
            <w:tcW w:type="dxa" w:w="1152"/>
          </w:tcPr>
          <w:p>
            <w:pPr>
              <w:jc w:val="center"/>
            </w:pPr>
            <w:r>
              <w:rPr>
                <w:b w:val="0"/>
                <w:sz w:val="20"/>
              </w:rPr>
              <w:t>Moderate — commercial software refresh cycles and OS dependencies drive obsolescence</w:t>
            </w:r>
          </w:p>
        </w:tc>
        <w:tc>
          <w:tcPr>
            <w:tcW w:type="dxa" w:w="864"/>
          </w:tcPr>
          <w:p>
            <w:pPr>
              <w:jc w:val="center"/>
            </w:pPr>
            <w:r>
              <w:rPr>
                <w:b w:val="0"/>
                <w:sz w:val="20"/>
              </w:rPr>
              <w:t>Yes — commercial GCS suites exist; prefer modular, API-driven products</w:t>
            </w:r>
          </w:p>
        </w:tc>
      </w:tr>
      <w:tr>
        <w:tc>
          <w:tcPr>
            <w:tcW w:type="dxa" w:w="1296"/>
          </w:tcPr>
          <w:p>
            <w:r>
              <w:rPr>
                <w:b w:val="0"/>
                <w:sz w:val="20"/>
              </w:rPr>
              <w:t>Power &amp; Propulsion (Batteries, Motors, ESC)</w:t>
            </w:r>
          </w:p>
        </w:tc>
        <w:tc>
          <w:tcPr>
            <w:tcW w:type="dxa" w:w="1728"/>
          </w:tcPr>
          <w:p>
            <w:r>
              <w:rPr>
                <w:b w:val="0"/>
                <w:sz w:val="20"/>
              </w:rPr>
              <w:t>Provides energy and thrust; electrical and thermal interfaces affect payload endurance and mission timelines and are common points of failure/obsolescence.</w:t>
            </w:r>
          </w:p>
        </w:tc>
        <w:tc>
          <w:tcPr>
            <w:tcW w:type="dxa" w:w="1440"/>
          </w:tcPr>
          <w:p>
            <w:r>
              <w:rPr>
                <w:b w:val="0"/>
                <w:sz w:val="20"/>
              </w:rPr>
              <w:t>Electrical power bus (voltage, connector), thermal dissipation interfaces, fuel/battery monitoring telemetry, mechanical mounts to airframe.</w:t>
            </w:r>
          </w:p>
        </w:tc>
        <w:tc>
          <w:tcPr>
            <w:tcW w:type="dxa" w:w="1296"/>
          </w:tcPr>
          <w:p>
            <w:r>
              <w:rPr>
                <w:b w:val="0"/>
                <w:sz w:val="20"/>
              </w:rPr>
              <w:t>Electrical interface spec per program ICD; battery management expectations to support diagnostics and sustainment.</w:t>
            </w:r>
          </w:p>
        </w:tc>
        <w:tc>
          <w:tcPr>
            <w:tcW w:type="dxa" w:w="864"/>
          </w:tcPr>
          <w:p>
            <w:pPr>
              <w:jc w:val="center"/>
            </w:pPr>
            <w:r>
              <w:rPr>
                <w:b w:val="0"/>
                <w:sz w:val="20"/>
              </w:rPr>
              <w:t>Moderate — energy-density demands and thermal management create integration risk</w:t>
            </w:r>
          </w:p>
        </w:tc>
        <w:tc>
          <w:tcPr>
            <w:tcW w:type="dxa" w:w="1152"/>
          </w:tcPr>
          <w:p>
            <w:pPr>
              <w:jc w:val="center"/>
            </w:pPr>
            <w:r>
              <w:rPr>
                <w:b w:val="0"/>
                <w:sz w:val="20"/>
              </w:rPr>
              <w:t>High — battery chemistries and motor controllers refresh frequently</w:t>
            </w:r>
          </w:p>
        </w:tc>
        <w:tc>
          <w:tcPr>
            <w:tcW w:type="dxa" w:w="864"/>
          </w:tcPr>
          <w:p>
            <w:pPr>
              <w:jc w:val="center"/>
            </w:pPr>
            <w:r>
              <w:rPr>
                <w:b w:val="0"/>
                <w:sz w:val="20"/>
              </w:rPr>
              <w:t>Yes — COTS batteries and ESCs available but must be specified for safety and lifecycle</w:t>
            </w:r>
          </w:p>
        </w:tc>
      </w:tr>
      <w:tr>
        <w:tc>
          <w:tcPr>
            <w:tcW w:type="dxa" w:w="1296"/>
          </w:tcPr>
          <w:p>
            <w:r>
              <w:rPr>
                <w:b w:val="0"/>
                <w:sz w:val="20"/>
              </w:rPr>
              <w:t>Maintenance, Diagnostics &amp; Support Tools (Sustainment Module)</w:t>
            </w:r>
          </w:p>
        </w:tc>
        <w:tc>
          <w:tcPr>
            <w:tcW w:type="dxa" w:w="1728"/>
          </w:tcPr>
          <w:p>
            <w:r>
              <w:rPr>
                <w:b w:val="0"/>
                <w:sz w:val="20"/>
              </w:rPr>
              <w:t>Provides the TDP and tools required for repair, diagnostics, and sustainment at unit and depot levels; critical to realizing MOSA sustainment objectives.</w:t>
            </w:r>
          </w:p>
        </w:tc>
        <w:tc>
          <w:tcPr>
            <w:tcW w:type="dxa" w:w="1440"/>
          </w:tcPr>
          <w:p>
            <w:r>
              <w:rPr>
                <w:b w:val="0"/>
                <w:sz w:val="20"/>
              </w:rPr>
              <w:t>Diagnostics bus and test points, SW flashing/programming interface, TDP delivery format, spare parts lists and SBOM links.</w:t>
            </w:r>
          </w:p>
        </w:tc>
        <w:tc>
          <w:tcPr>
            <w:tcW w:type="dxa" w:w="1296"/>
          </w:tcPr>
          <w:p>
            <w:r>
              <w:rPr>
                <w:b w:val="0"/>
                <w:sz w:val="20"/>
              </w:rPr>
              <w:t>Program TDP requirements per acquisition strategy; GPR minimum for MSIs and support interfaces; standardized maintenance data formats.</w:t>
            </w:r>
          </w:p>
        </w:tc>
        <w:tc>
          <w:tcPr>
            <w:tcW w:type="dxa" w:w="864"/>
          </w:tcPr>
          <w:p>
            <w:pPr>
              <w:jc w:val="center"/>
            </w:pPr>
            <w:r>
              <w:rPr>
                <w:b w:val="0"/>
                <w:sz w:val="20"/>
              </w:rPr>
              <w:t>No — conceptually straightforward but dependent on vendor-provided artifacts</w:t>
            </w:r>
          </w:p>
        </w:tc>
        <w:tc>
          <w:tcPr>
            <w:tcW w:type="dxa" w:w="1152"/>
          </w:tcPr>
          <w:p>
            <w:pPr>
              <w:jc w:val="center"/>
            </w:pPr>
            <w:r>
              <w:rPr>
                <w:b w:val="0"/>
                <w:sz w:val="20"/>
              </w:rPr>
              <w:t>Low — documentation practices are stable though toolchain dependencies can age</w:t>
            </w:r>
          </w:p>
        </w:tc>
        <w:tc>
          <w:tcPr>
            <w:tcW w:type="dxa" w:w="864"/>
          </w:tcPr>
          <w:p>
            <w:pPr>
              <w:jc w:val="center"/>
            </w:pPr>
            <w:r>
              <w:rPr>
                <w:b w:val="0"/>
                <w:sz w:val="20"/>
              </w:rPr>
              <w:t>No — sustainment and TDP artifacts are often program-unique though some COTS support tools may be used</w:t>
            </w:r>
          </w:p>
        </w:tc>
      </w:tr>
    </w:tbl>
    <w:p>
      <w:r>
        <w:br w:type="page"/>
      </w:r>
    </w:p>
    <w:p>
      <w:pPr>
        <w:pStyle w:val="Heading1"/>
        <w:spacing w:before="0" w:after="160"/>
      </w:pPr>
      <w:r>
        <w:t>6. Questions to Industry</w:t>
      </w:r>
    </w:p>
    <w:p>
      <w:r>
        <w:t>Industry respondents are requested to address the following questions. Responses are for market research purposes only and do not constitute a commitment to procure.</w:t>
      </w:r>
    </w:p>
    <w:p>
      <w:pPr>
        <w:pStyle w:val="ListBullet"/>
      </w:pPr>
      <w:r>
        <w:t>Confirm whether your proposed solution(s) align with the UAS Family of Systems architecture and PAE C3BM/C3N-derived interface expectations; identify any deviations and provide technical rationale.</w:t>
      </w:r>
    </w:p>
    <w:p>
      <w:pPr>
        <w:pStyle w:val="ListBullet"/>
      </w:pPr>
      <w:r>
        <w:t>For each proposed module, provide the proposed ICD (or a summary) listing physical connectors, pinouts, data bus protocols, message sets, timing constraints, and security boundary descriptions.</w:t>
      </w:r>
    </w:p>
    <w:p>
      <w:pPr>
        <w:pStyle w:val="ListBullet"/>
      </w:pPr>
      <w:r>
        <w:t>State your willingness to deliver GPR for all module-to-module interfaces and list any interface elements for which you cannot provide GPR; for those elements, identify the minimum data rights you would accept to support program MOSA scenarios (e.g., SNLR) and proposed justification.</w:t>
      </w:r>
    </w:p>
    <w:p>
      <w:pPr>
        <w:pStyle w:val="ListBullet"/>
      </w:pPr>
      <w:r>
        <w:t>Provide draft TDP content lists for modules you propose to supply if the program requires depot-level repair; include file formats, toolchain dependencies, and any third-party license constraints.</w:t>
      </w:r>
    </w:p>
    <w:p>
      <w:pPr>
        <w:pStyle w:val="ListBullet"/>
      </w:pPr>
      <w:r>
        <w:t>Identify candidate COTS products (part numbers and vendors) by module and indicate expected production lead time, typical lifespan, and known obsolescence mechanics.</w:t>
      </w:r>
    </w:p>
    <w:p>
      <w:pPr>
        <w:pStyle w:val="ListBullet"/>
      </w:pPr>
      <w:r>
        <w:t>Describe how your design supports rapid module replacement and software update in the field (including estimated mean time to replace/update and dependencies on proprietary tools).</w:t>
      </w:r>
    </w:p>
    <w:p>
      <w:pPr>
        <w:pStyle w:val="ListBullet"/>
      </w:pPr>
      <w:r>
        <w:t>Provide a proposed conformance and interoperability test plan (lab and field) to validate multivendor integration during the SEP Smoke Test (include required test fixtures and acceptance criteria).</w:t>
      </w:r>
    </w:p>
    <w:p>
      <w:pPr>
        <w:pStyle w:val="ListBullet"/>
      </w:pPr>
      <w:r>
        <w:t>List the cybersecurity and IA controls implemented at the interface boundary (crypto algorithms, key management, authentication, BC/DR behavior) and any certifications (e.g., FIPS, STIGs) achieved or planned.</w:t>
      </w:r>
    </w:p>
    <w:p>
      <w:pPr>
        <w:pStyle w:val="ListBullet"/>
      </w:pPr>
      <w:r>
        <w:t>For software-intensive modules, describe your configuration management, build reproducibility, and SBOM (Software Bill of Materials) practices to support sustainment and supply-chain risk management.</w:t>
      </w:r>
    </w:p>
    <w:p>
      <w:pPr>
        <w:pStyle w:val="ListBullet"/>
      </w:pPr>
      <w:r>
        <w:t>Explain any export-control, ITAR, or foreign-national access constraints on module technology that would affect partner-nation reuse or multivendor integration.</w:t>
      </w:r>
    </w:p>
    <w:p>
      <w:pPr>
        <w:pStyle w:val="ListBullet"/>
      </w:pPr>
      <w:r>
        <w:t>Provide cost ranges (order-of-magnitude) for single-module procurements and for integrated system buys; specify quantity breaks (prototype, low-rate, full-rate) and any assumptions used.</w:t>
      </w:r>
    </w:p>
    <w:p>
      <w:pPr>
        <w:pStyle w:val="ListBullet"/>
      </w:pPr>
      <w:r>
        <w:t>Describe how you would use SNLR to limit data rights disclosure while providing the Government the rights necessary for MOSA scenarios; provide a sample SNLR clause or reference.</w:t>
      </w:r>
    </w:p>
    <w:p>
      <w:pPr>
        <w:pStyle w:val="ListBullet"/>
      </w:pPr>
      <w:r>
        <w:t>Identify high-risk technologies and single-source components in your module and propose mitigation strategies (e.g., dual-sourcing, form-fit-function alternatives, phased migration paths).</w:t>
      </w:r>
    </w:p>
    <w:p>
      <w:pPr>
        <w:pStyle w:val="ListBullet"/>
      </w:pPr>
      <w:r>
        <w:t>Provide your recommended minimum interface test harness and an itemized list of hardware and software test assets required to participate in the program’s smoke test.</w:t>
      </w:r>
    </w:p>
    <w:p>
      <w:pPr>
        <w:pStyle w:val="ListBullet"/>
      </w:pPr>
      <w:r>
        <w:t>Provide a proposed delivery and integration schedule (calendar days) for each module from contract award to readiness for field smoke test, including major milestones.</w:t>
      </w:r>
    </w:p>
    <w:p>
      <w:r>
        <w:br w:type="page"/>
      </w:r>
    </w:p>
    <w:p>
      <w:pPr>
        <w:pStyle w:val="Heading1"/>
        <w:spacing w:before="0" w:after="160"/>
      </w:pPr>
      <w:r>
        <w:t>7. Requested Deliverables</w:t>
      </w:r>
    </w:p>
    <w:p>
      <w:r>
        <w:t>Please provide the following items in your response:</w:t>
      </w:r>
    </w:p>
    <w:p>
      <w:pPr>
        <w:pStyle w:val="ListBullet"/>
      </w:pPr>
      <w:r>
        <w:t>Module decomposition diagram and a completed module-to-module Interface Control Document (ICD) draft per proposed module.</w:t>
      </w:r>
    </w:p>
    <w:p>
      <w:pPr>
        <w:pStyle w:val="ListBullet"/>
      </w:pPr>
      <w:r>
        <w:t>GPR/data-rights assertion table for each interface and module, plus any proposed SNLR language and justification for exceptions.</w:t>
      </w:r>
    </w:p>
    <w:p>
      <w:pPr>
        <w:pStyle w:val="ListBullet"/>
      </w:pPr>
      <w:r>
        <w:t>MBSE model artifacts (SysML or exportable model) representing the proposed architecture and module interfaces.</w:t>
      </w:r>
    </w:p>
    <w:p>
      <w:pPr>
        <w:pStyle w:val="ListBullet"/>
      </w:pPr>
      <w:r>
        <w:t>Draft TDP table of contents for modules where depot-level repair is proposed, and sample TDP excerpts (mechanical drawings, schematics, maintenance steps).</w:t>
      </w:r>
    </w:p>
    <w:p>
      <w:pPr>
        <w:pStyle w:val="ListBullet"/>
      </w:pPr>
      <w:r>
        <w:t>Conformance/interoperability test plan with pass/fail criteria and required test fixtures list.</w:t>
      </w:r>
    </w:p>
    <w:p>
      <w:pPr>
        <w:pStyle w:val="ListBullet"/>
      </w:pPr>
      <w:r>
        <w:t>COTS candidate list with part numbers, vendor details, life-cycle/obsolescence notes, unit cost ranges, and lead times.</w:t>
      </w:r>
    </w:p>
    <w:p>
      <w:pPr>
        <w:pStyle w:val="ListBullet"/>
      </w:pPr>
      <w:r>
        <w:t>Obsolescence mitigation plan and supply-chain risk assessment per module (including SBOM for software modules where available).</w:t>
      </w:r>
    </w:p>
    <w:p>
      <w:pPr>
        <w:pStyle w:val="ListBullet"/>
      </w:pPr>
      <w:r>
        <w:t>Cybersecurity/IA compliance summary for each module (certifications, applied standards, key management approach).</w:t>
      </w:r>
    </w:p>
    <w:p>
      <w:pPr>
        <w:pStyle w:val="ListBullet"/>
      </w:pPr>
      <w:r>
        <w:t>Preliminary cost and schedule estimates by module and for an integrated system path to field smoke test readiness.</w:t>
      </w:r>
    </w:p>
    <w:p>
      <w:pPr>
        <w:pStyle w:val="ListBullet"/>
      </w:pPr>
      <w:r>
        <w:t>Statement of export-control, ITAR, or foreign disclosure constraints and proposed mitigation for partner-nation reuse.</w:t>
      </w:r>
    </w:p>
    <w:p>
      <w:r>
        <w:br w:type="page"/>
      </w:r>
    </w:p>
    <w:p>
      <w:pPr>
        <w:pStyle w:val="Heading1"/>
        <w:spacing w:before="0" w:after="160"/>
      </w:pPr>
      <w:r>
        <w:t>8. Submission Instructions</w:t>
      </w:r>
    </w:p>
    <w:p>
      <w:pPr>
        <w:pStyle w:val="ListBullet"/>
      </w:pPr>
      <w:r>
        <w:t>Submissions must be provided electronically to SEP_SmokeTest_RFI@dod.example.mil in PDF format for narrative deliverables and ZIP for model/TDP artifacts; include a single point of contact with phone and email.</w:t>
      </w:r>
    </w:p>
    <w:p>
      <w:pPr>
        <w:pStyle w:val="ListBullet"/>
      </w:pPr>
      <w:r>
        <w:t>Limit narrative responses to 25 pages maximum (excluding appendices and model/TDP artifacts). Provide a one-page executive summary and a one-page module compliance matrix as the first attachments.</w:t>
      </w:r>
    </w:p>
    <w:p>
      <w:pPr>
        <w:pStyle w:val="ListBullet"/>
      </w:pPr>
      <w:r>
        <w:t>Label file names as: SEPST_RFI_[Company]_[Deliverable]_v1.pdf (or .zip for models/TDPs). MBSE models must be submitted in a non-proprietary exchange format where possible (SysML XMI or equivalent) and include a model viewer if proprietary.</w:t>
      </w:r>
    </w:p>
    <w:p>
      <w:pPr>
        <w:pStyle w:val="ListBullet"/>
      </w:pPr>
      <w:r>
        <w:t>Response deadline: submissions must be received within 30 calendar days of RFI release. Questions about the RFI may be submitted to the same mailbox; responses to questions will be posted to the program bulletin at least 10 days prior to the submission deadline.</w:t>
      </w:r>
    </w:p>
    <w:p>
      <w:pPr>
        <w:pStyle w:val="ListBullet"/>
      </w:pPr>
      <w:r>
        <w:t>Include redactions where necessary for proprietary data, but provide sufficient unclassified, non-proprietary detail for Government evaluation. Indicate any deliverables that would require an NDA before detailed review.</w:t>
      </w:r>
    </w:p>
    <w:p>
      <w:r>
        <w:br w:type="page"/>
      </w:r>
    </w:p>
    <w:p>
      <w:pPr>
        <w:pStyle w:val="Heading1"/>
        <w:spacing w:before="0" w:after="160"/>
      </w:pPr>
      <w:r>
        <w:t>Appendix A: Sources Used</w:t>
      </w:r>
    </w:p>
    <w:p>
      <w:r>
        <w:t>The following uploaded program documents were consulted in preparing this AI-assisted RFI:</w:t>
      </w:r>
    </w:p>
    <w:p>
      <w:pPr>
        <w:pStyle w:val="ListBullet"/>
      </w:pPr>
      <w:r>
        <w:rPr>
          <w:b/>
        </w:rPr>
        <w:t>EXAMPLE for MOSA_RFI.docx</w:t>
      </w:r>
      <w:r>
        <w:t xml:space="preserve"> — MVP for MOSA (for all programs) Must define draft Modules and expected interfaces Must define high level MOSA scenarios Must define data rights strategy with a min requirement of GPR for all interfaces.</w:t>
      </w:r>
    </w:p>
    <w:p>
      <w:pPr>
        <w:pStyle w:val="ListBullet"/>
      </w:pPr>
      <w:r>
        <w:rPr>
          <w:b/>
        </w:rPr>
        <w:t>EXAEMPLAR_Acquisition Strategy .docx</w:t>
      </w:r>
      <w:r>
        <w:t xml:space="preserve"> — Due to the MOSA intended for this program, the technical approach will be leverage the existing UAS Family of Systems Architecture that has been robustly vetted with industry during past UAS programs and as such has resulted in much of industry aligning commercial solutions with this architecture.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8"/>
      </w:rPr>
      <w:t>SEP Smoke Test</w:t>
    </w:r>
  </w:p>
  <w:p>
    <w:pPr>
      <w:jc w:val="center"/>
    </w:pPr>
    <w:r>
      <w:rPr>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