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E3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bookmarkStart w:id="0" w:name="_GoBack"/>
      <w:bookmarkEnd w:id="0"/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国网电策通建设背景与成效</w:t>
      </w:r>
    </w:p>
    <w:p w14:paraId="30BEE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880" w:firstLineChars="200"/>
        <w:jc w:val="both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 w14:paraId="4DD80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 建设背景</w:t>
      </w:r>
    </w:p>
    <w:p w14:paraId="2040C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在国家能源转型深化与新型电力系统建设加速推进的背景下，各类电力规程、输配电价机制、“十五五”电网数字化规划及新旧《供电营业规则》交替执行，业务规程日趋繁复，边界判定极度严密。基层一线在日常服务与管理中长期面临以下深层业务痛点：</w:t>
      </w:r>
    </w:p>
    <w:p w14:paraId="48642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 规程查阅繁琐，跨版本穿透难度大</w:t>
      </w:r>
    </w:p>
    <w:p w14:paraId="69711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红头制度与业务规章分散在不同部门条线与多套独立系统中，基层查阅高度依赖人工翻书和关键词死板匹配，不仅耗时繁琐且查全率低。在规章更替期，人工难以快速比对细微条款变化，极易造成版本混淆与误读。 </w:t>
      </w:r>
    </w:p>
    <w:p w14:paraId="7B714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（二） 合规诊断要求严苛，业务容错空间极小</w:t>
      </w:r>
    </w:p>
    <w:p w14:paraId="22CB1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电力业务涉及安规红线、容量边界及电价执行纪律。常规通用大模型直接应用极易产生事实幻觉，且缺乏可精准核验的条款溯源机制；任何无据可查的推论，都会给基层带来直接的合规问责与纠纷风险。 </w:t>
      </w:r>
    </w:p>
    <w:p w14:paraId="655E4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（三） 业务链路断裂，窗口难以实现即时办结</w:t>
      </w:r>
    </w:p>
    <w:p w14:paraId="42554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从接收客户诉求、多轮翻查核实规程，到判定合规性并出具书面答复，传统业务流转通常需要 30 分钟以上。现有检索工具功能单一，仅能提供信息片段，无法直接完成“诉求—诊断—方案公文”的一站式闭环。 </w:t>
      </w:r>
    </w:p>
    <w:p w14:paraId="0E7B6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 建设成效与业务收益</w:t>
      </w:r>
    </w:p>
    <w:p w14:paraId="346C7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系统秉承“让每一条电力规章触手可及，让每一次合规诊断绝对可信”的理念，围绕基层减负与合规管控打造全流程闭环沙盘，取得了显著的业务成效： </w:t>
      </w:r>
    </w:p>
    <w:p w14:paraId="1AB88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 核心业务闭环效能突破</w:t>
      </w:r>
    </w:p>
    <w:p w14:paraId="5D447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实现一站式高置信业务闭环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：面对客户提出的模糊诉求或要素缺失情况（如工业客户申请临时减容），系统通过主动交互补齐核心参数，100% 依据现行规程开展合规诊断，并即时完成原生物档条款的精准高亮与红头公文生成，达成单次会话内的一站式高效办结。 </w:t>
      </w:r>
    </w:p>
    <w:p w14:paraId="64E09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业务流转周期大幅压缩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：从诉求受理、要素澄清、合规审查到公文生成的全过程耗时，由传统的 </w:t>
      </w:r>
      <w:r>
        <w:rPr>
          <w:rFonts w:hint="eastAsia" w:ascii="仿宋_GB2312" w:hAnsi="仿宋_GB2312" w:eastAsia="仿宋_GB2312" w:cs="仿宋_GB2312"/>
          <w:sz w:val="32"/>
          <w:szCs w:val="32"/>
        </w:rPr>
        <w:t>30 分钟以上缩短至 1 分钟以内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，整体办理效能提升数十倍。 </w:t>
      </w:r>
    </w:p>
    <w:p w14:paraId="3D9A1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（二） 关键服务指标显著提升</w:t>
      </w:r>
    </w:p>
    <w:p w14:paraId="60110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诉求要素澄清率达到 95% 以上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：针对缺少行业性质、容量、期限等核心要素的提问，通过引导式表单主动捕获业务参数，确保诊断前置条件的完备性。 </w:t>
      </w:r>
    </w:p>
    <w:p w14:paraId="3A866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条款行级精准溯源率达到 100%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：点击诊断结果中的引用角标，系统自动平滑定位至原文件对应条款并调阅原文，彻底消除生成幻觉，做到决策“字字有据、行行可溯”。 </w:t>
      </w:r>
    </w:p>
    <w:p w14:paraId="3A4AE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合规诊断保持零差错</w:t>
      </w:r>
      <w:r>
        <w:rPr>
          <w:rFonts w:hint="eastAsia" w:ascii="仿宋_GB2312" w:hAnsi="仿宋_GB2312" w:eastAsia="仿宋_GB2312" w:cs="仿宋_GB2312"/>
          <w:sz w:val="32"/>
          <w:szCs w:val="32"/>
        </w:rPr>
        <w:t>：严格依托现行有效制度进行穿透式核验，确保输出的方案与现行规章完全一致，有效筑牢合规底线，保护一线免受考核风险。</w:t>
      </w:r>
    </w:p>
    <w:p w14:paraId="2C3C3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（三） 典型业务场景应用收益</w:t>
      </w:r>
    </w:p>
    <w:p w14:paraId="3ADB0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营业窗口合规研判与公文直出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：自动核算安规与容量红线，支撑营业前台现场“一分钟办结”，直接导出格式规范的标准答复函件，助力优化电力营商环境。 </w:t>
      </w:r>
    </w:p>
    <w:p w14:paraId="539CB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输配电价与分时计费精确核算</w:t>
      </w:r>
      <w:r>
        <w:rPr>
          <w:rFonts w:hint="eastAsia" w:ascii="仿宋_GB2312" w:hAnsi="仿宋_GB2312" w:eastAsia="仿宋_GB2312" w:cs="仿宋_GB2312"/>
          <w:sz w:val="32"/>
          <w:szCs w:val="32"/>
        </w:rPr>
        <w:t>：精准穿透监管周期电价政策、峰谷时段划分及阶梯标准，规避人工计算偏差，秒级生成可视化测算看板。</w:t>
      </w:r>
    </w:p>
    <w:p w14:paraId="7FAE0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新旧制度差异对比与规范执行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：实现新旧《供电营业规则》条款的并排对照与差异标记，让条款删改与执行边界清晰可见，为基层业务提供精准适用的随身政策智囊。 </w:t>
      </w:r>
    </w:p>
    <w:p w14:paraId="54C94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儷黑 Pro">
    <w:panose1 w:val="020B0500000000000000"/>
    <w:charset w:val="88"/>
    <w:family w:val="auto"/>
    <w:pitch w:val="default"/>
    <w:sig w:usb0="80000001" w:usb1="28091800" w:usb2="00000016" w:usb3="00000000" w:csb0="001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C025"/>
    <w:rsid w:val="1FF95FF6"/>
    <w:rsid w:val="2BFF7F85"/>
    <w:rsid w:val="3AD7BEE3"/>
    <w:rsid w:val="3E4FE1DF"/>
    <w:rsid w:val="55FF3FE9"/>
    <w:rsid w:val="5DAD24AF"/>
    <w:rsid w:val="763766F3"/>
    <w:rsid w:val="77BF4F0D"/>
    <w:rsid w:val="77BFD265"/>
    <w:rsid w:val="78FFDF45"/>
    <w:rsid w:val="7B1FB41F"/>
    <w:rsid w:val="7EFB4460"/>
    <w:rsid w:val="7F7F0D74"/>
    <w:rsid w:val="7FA3A8B5"/>
    <w:rsid w:val="B7DF1D9A"/>
    <w:rsid w:val="BB7B23AB"/>
    <w:rsid w:val="BEFFD371"/>
    <w:rsid w:val="BFB3ABDB"/>
    <w:rsid w:val="BFDF13E7"/>
    <w:rsid w:val="BFFDD8B2"/>
    <w:rsid w:val="EF9DF64B"/>
    <w:rsid w:val="EFDD0F29"/>
    <w:rsid w:val="EFFA40F6"/>
    <w:rsid w:val="F5F504B8"/>
    <w:rsid w:val="FB7F694E"/>
    <w:rsid w:val="FFFD9E92"/>
    <w:rsid w:val="FFFFC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2026-09-03T00:57:00Z</dcterms:created>
  <dc:creator>wangshuo</dc:creator>
  <cp:lastModifiedBy>硕仔</cp:lastModifiedBy>
  <dcterms:modified xsi:type="dcterms:W3CDTF">2026-09-03T11:05:44Z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0B9568AAEA70705CF0E4976AA55EF257_41</vt:lpwstr>
  </property>
</Properties>
</file>