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36D94">
      <w:pPr>
        <w:pStyle w:val="2"/>
        <w:keepNext w:val="0"/>
        <w:keepLines w:val="0"/>
        <w:widowControl/>
        <w:suppressLineNumbers w:val="0"/>
        <w:shd w:val="clear" w:fill="FFFFFF"/>
        <w:spacing w:before="0" w:beforeAutospacing="0" w:after="120" w:afterAutospacing="0" w:line="25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Materials</w:t>
      </w:r>
    </w:p>
    <w:p w14:paraId="33F5B62B">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Methods</w:t>
      </w:r>
    </w:p>
    <w:p w14:paraId="3E3F369F">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Data Sources and Preprocessing</w:t>
      </w:r>
    </w:p>
    <w:p w14:paraId="0ACB8BF3">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9"/>
          <w:rFonts w:hint="default" w:ascii="Times New Roman" w:hAnsi="Times New Roman" w:eastAsia="Segoe UI" w:cs="Times New Roman"/>
          <w:b/>
          <w:bCs/>
          <w:i w:val="0"/>
          <w:iCs w:val="0"/>
          <w:caps w:val="0"/>
          <w:color w:val="0F1115"/>
          <w:spacing w:val="0"/>
          <w:sz w:val="21"/>
          <w:szCs w:val="21"/>
          <w:shd w:val="clear" w:fill="FFFFFF"/>
        </w:rPr>
        <w:t>Immune cell GWAS</w:t>
      </w:r>
      <w:r>
        <w:rPr>
          <w:rFonts w:hint="default" w:ascii="Times New Roman" w:hAnsi="Times New Roman" w:eastAsia="Segoe UI" w:cs="Times New Roman"/>
          <w:i w:val="0"/>
          <w:iCs w:val="0"/>
          <w:caps w:val="0"/>
          <w:color w:val="0F1115"/>
          <w:spacing w:val="0"/>
          <w:sz w:val="21"/>
          <w:szCs w:val="21"/>
          <w:shd w:val="clear" w:fill="FFFFFF"/>
        </w:rPr>
        <w:t>: Publicly available summary statistics were obtained from IEU OpenGWAS and Blood Cell Consortium for six immune traits: lymphocyte count, monocyte count, IL</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1β, IL</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18, TNF</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α, and an inflammation composite index. All datasets were harmonized to genome build GRCh37/hg19, alleles were aligned, and palindromic SNPs with ambiguous strand were removed. For each trait, genome</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wide significant SNPs (P &lt; 5×10⁻⁸) were selected and clumped to obtain independent instruments (r² &lt; 0.001, window 10,000 kb) using PLINK with 1000 Genomes European reference panel. Instrument strength was assessed by F</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statistic; SNPs with F &lt; 10 were excluded.</w:t>
      </w:r>
    </w:p>
    <w:p w14:paraId="23A17706">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9"/>
          <w:rFonts w:hint="default" w:ascii="Times New Roman" w:hAnsi="Times New Roman" w:eastAsia="Segoe UI" w:cs="Times New Roman"/>
          <w:b/>
          <w:bCs/>
          <w:i w:val="0"/>
          <w:iCs w:val="0"/>
          <w:caps w:val="0"/>
          <w:color w:val="0F1115"/>
          <w:spacing w:val="0"/>
          <w:sz w:val="21"/>
          <w:szCs w:val="21"/>
          <w:shd w:val="clear" w:fill="FFFFFF"/>
        </w:rPr>
        <w:t>TCGA eQTL data</w:t>
      </w:r>
      <w:r>
        <w:rPr>
          <w:rFonts w:hint="default" w:ascii="Times New Roman" w:hAnsi="Times New Roman" w:eastAsia="Segoe UI" w:cs="Times New Roman"/>
          <w:i w:val="0"/>
          <w:iCs w:val="0"/>
          <w:caps w:val="0"/>
          <w:color w:val="0F1115"/>
          <w:spacing w:val="0"/>
          <w:sz w:val="21"/>
          <w:szCs w:val="21"/>
          <w:shd w:val="clear" w:fill="FFFFFF"/>
        </w:rPr>
        <w:t>: Cis</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eQTL summary statistics for lung adenocarcinoma (LUAD) and lung squamous cell carcinoma (LUSC) were obtained from the PancanQTL database. Only eQTLs with FDR &lt; 0.05 located within 1 Mb of the target gene were retained.</w:t>
      </w:r>
    </w:p>
    <w:p w14:paraId="465E953D">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9"/>
          <w:rFonts w:hint="default" w:ascii="Times New Roman" w:hAnsi="Times New Roman" w:eastAsia="Segoe UI" w:cs="Times New Roman"/>
          <w:b/>
          <w:bCs/>
          <w:i w:val="0"/>
          <w:iCs w:val="0"/>
          <w:caps w:val="0"/>
          <w:color w:val="0F1115"/>
          <w:spacing w:val="0"/>
          <w:sz w:val="21"/>
          <w:szCs w:val="21"/>
          <w:shd w:val="clear" w:fill="FFFFFF"/>
        </w:rPr>
        <w:t>Lung cancer GWAS</w:t>
      </w:r>
      <w:r>
        <w:rPr>
          <w:rFonts w:hint="default" w:ascii="Times New Roman" w:hAnsi="Times New Roman" w:eastAsia="Segoe UI" w:cs="Times New Roman"/>
          <w:i w:val="0"/>
          <w:iCs w:val="0"/>
          <w:caps w:val="0"/>
          <w:color w:val="0F1115"/>
          <w:spacing w:val="0"/>
          <w:sz w:val="21"/>
          <w:szCs w:val="21"/>
          <w:shd w:val="clear" w:fill="FFFFFF"/>
        </w:rPr>
        <w:t>: UK Biobank lung cancer GWAS (ID: ukb</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b</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14521, N = 361,194) and FinnGen R10 non</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small cell lung cancer GWAS (N = 319,508) were used as outcome datasets.</w:t>
      </w:r>
    </w:p>
    <w:p w14:paraId="5ACF1E3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Machine Learning for Immune Toxicity Subtyping</w:t>
      </w:r>
    </w:p>
    <w:p w14:paraId="6C873C9A">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A consensus clustering approach was applied to the SNP</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effect matrix of the six immune traits. For each iteration (N = 50), 80% of SNPs were randomly sampled with replacement, and K</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means clustering was performed on the transposed matrix (traits × sampled SNPs). The consensus matrix was built by averaging cluster assignments across iterations. The optimal number of clusters (k = 4) was determined by the silhouette score (mean = 0.494). Final cluster labels were obtained by applying K</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means to the full standardized trait matrix.</w:t>
      </w:r>
    </w:p>
    <w:p w14:paraId="04E90EC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Mendelian Randomization Analyses</w:t>
      </w:r>
    </w:p>
    <w:p w14:paraId="6BFCE35B">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9"/>
          <w:rFonts w:hint="default" w:ascii="Times New Roman" w:hAnsi="Times New Roman" w:eastAsia="Segoe UI" w:cs="Times New Roman"/>
          <w:b/>
          <w:bCs/>
          <w:i w:val="0"/>
          <w:iCs w:val="0"/>
          <w:caps w:val="0"/>
          <w:color w:val="0F1115"/>
          <w:spacing w:val="0"/>
          <w:sz w:val="21"/>
          <w:szCs w:val="21"/>
          <w:shd w:val="clear" w:fill="FFFFFF"/>
        </w:rPr>
        <w:t>Two</w:t>
      </w:r>
      <w:r>
        <w:rPr>
          <w:rStyle w:val="9"/>
          <w:rFonts w:hint="default" w:ascii="Times New Roman" w:hAnsi="Times New Roman" w:eastAsia="Segoe UI" w:cs="Times New Roman"/>
          <w:b/>
          <w:bCs/>
          <w:i w:val="0"/>
          <w:iCs w:val="0"/>
          <w:caps w:val="0"/>
          <w:color w:val="0F1115"/>
          <w:spacing w:val="0"/>
          <w:sz w:val="21"/>
          <w:szCs w:val="21"/>
          <w:shd w:val="clear" w:fill="FFFFFF"/>
        </w:rPr>
        <w:noBreakHyphen/>
      </w:r>
      <w:r>
        <w:rPr>
          <w:rStyle w:val="9"/>
          <w:rFonts w:hint="default" w:ascii="Times New Roman" w:hAnsi="Times New Roman" w:eastAsia="Segoe UI" w:cs="Times New Roman"/>
          <w:b/>
          <w:bCs/>
          <w:i w:val="0"/>
          <w:iCs w:val="0"/>
          <w:caps w:val="0"/>
          <w:color w:val="0F1115"/>
          <w:spacing w:val="0"/>
          <w:sz w:val="21"/>
          <w:szCs w:val="21"/>
          <w:shd w:val="clear" w:fill="FFFFFF"/>
        </w:rPr>
        <w:t>sample MR</w:t>
      </w:r>
      <w:r>
        <w:rPr>
          <w:rFonts w:hint="default" w:ascii="Times New Roman" w:hAnsi="Times New Roman" w:eastAsia="Segoe UI" w:cs="Times New Roman"/>
          <w:i w:val="0"/>
          <w:iCs w:val="0"/>
          <w:caps w:val="0"/>
          <w:color w:val="0F1115"/>
          <w:spacing w:val="0"/>
          <w:sz w:val="21"/>
          <w:szCs w:val="21"/>
          <w:shd w:val="clear" w:fill="FFFFFF"/>
        </w:rPr>
        <w:t>: The primary method was inverse</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variance weighted (IVW) with fixed effects. Sensitivity analyses included MR</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Egger (to test directional pleiotropy), weighted median (robust to up to 50% invalid instruments), and a simplified MR</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PRESSO (to detect and remove outliers).</w:t>
      </w:r>
    </w:p>
    <w:p w14:paraId="7CD7CA30">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9"/>
          <w:rFonts w:hint="default" w:ascii="Times New Roman" w:hAnsi="Times New Roman" w:eastAsia="Segoe UI" w:cs="Times New Roman"/>
          <w:b/>
          <w:bCs/>
          <w:i w:val="0"/>
          <w:iCs w:val="0"/>
          <w:caps w:val="0"/>
          <w:color w:val="0F1115"/>
          <w:spacing w:val="0"/>
          <w:sz w:val="21"/>
          <w:szCs w:val="21"/>
          <w:shd w:val="clear" w:fill="FFFFFF"/>
        </w:rPr>
        <w:t>Multivariable MR</w:t>
      </w:r>
      <w:r>
        <w:rPr>
          <w:rFonts w:hint="default" w:ascii="Times New Roman" w:hAnsi="Times New Roman" w:eastAsia="Segoe UI" w:cs="Times New Roman"/>
          <w:i w:val="0"/>
          <w:iCs w:val="0"/>
          <w:caps w:val="0"/>
          <w:color w:val="0F1115"/>
          <w:spacing w:val="0"/>
          <w:sz w:val="21"/>
          <w:szCs w:val="21"/>
          <w:shd w:val="clear" w:fill="FFFFFF"/>
        </w:rPr>
        <w:t>: For the pro</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inflammatory cytokine subtype (subtype 0), MVMR was performed using weighted linear regression to estimate the independent causal effects of IL1B, IL18, and TNFa on lung cancer, adjusting for mutual correlation.</w:t>
      </w:r>
    </w:p>
    <w:p w14:paraId="0CC56367">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9"/>
          <w:rFonts w:hint="default" w:ascii="Times New Roman" w:hAnsi="Times New Roman" w:eastAsia="Segoe UI" w:cs="Times New Roman"/>
          <w:b/>
          <w:bCs/>
          <w:i w:val="0"/>
          <w:iCs w:val="0"/>
          <w:caps w:val="0"/>
          <w:color w:val="0F1115"/>
          <w:spacing w:val="0"/>
          <w:sz w:val="21"/>
          <w:szCs w:val="21"/>
          <w:shd w:val="clear" w:fill="FFFFFF"/>
        </w:rPr>
        <w:t>Mediation MR</w:t>
      </w:r>
      <w:r>
        <w:rPr>
          <w:rFonts w:hint="default" w:ascii="Times New Roman" w:hAnsi="Times New Roman" w:eastAsia="Segoe UI" w:cs="Times New Roman"/>
          <w:i w:val="0"/>
          <w:iCs w:val="0"/>
          <w:caps w:val="0"/>
          <w:color w:val="0F1115"/>
          <w:spacing w:val="0"/>
          <w:sz w:val="21"/>
          <w:szCs w:val="21"/>
          <w:shd w:val="clear" w:fill="FFFFFF"/>
        </w:rPr>
        <w:t>: A two</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step approach was used. First, the effect of IL18 eQTLs on each immune cell count (path a) was estimated by IVW. Second, the effect of each immune cell count on lung cancer (path b) was estimated, also by IVW. The indirect effect was calculated as a × b, with 95% confidence intervals obtained from 1,000 bootstrap iterations. The proportion mediated was indirect effect divided by total effect (IL18 eQTL → lung cancer).</w:t>
      </w:r>
    </w:p>
    <w:p w14:paraId="0718264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Co</w:t>
      </w:r>
      <w:r>
        <w:rPr>
          <w:rFonts w:hint="default" w:ascii="Times New Roman" w:hAnsi="Times New Roman" w:eastAsia="Segoe UI" w:cs="Times New Roman"/>
          <w:b/>
          <w:bCs/>
          <w:caps w:val="0"/>
          <w:color w:val="0F1115"/>
          <w:spacing w:val="0"/>
          <w:sz w:val="21"/>
          <w:szCs w:val="21"/>
          <w:shd w:val="clear" w:fill="FFFFFF"/>
        </w:rPr>
        <w:noBreakHyphen/>
      </w:r>
      <w:r>
        <w:rPr>
          <w:rFonts w:hint="default" w:ascii="Times New Roman" w:hAnsi="Times New Roman" w:eastAsia="Segoe UI" w:cs="Times New Roman"/>
          <w:b/>
          <w:bCs/>
          <w:caps w:val="0"/>
          <w:color w:val="0F1115"/>
          <w:spacing w:val="0"/>
          <w:sz w:val="21"/>
          <w:szCs w:val="21"/>
          <w:shd w:val="clear" w:fill="FFFFFF"/>
        </w:rPr>
        <w:t>localization and SMR</w:t>
      </w:r>
    </w:p>
    <w:p w14:paraId="74DC5D43">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Bayesian co</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localization was performed using the </w:t>
      </w: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coloc</w:t>
      </w:r>
      <w:r>
        <w:rPr>
          <w:rFonts w:hint="default" w:ascii="Times New Roman" w:hAnsi="Times New Roman" w:eastAsia="Segoe UI" w:cs="Times New Roman"/>
          <w:i w:val="0"/>
          <w:iCs w:val="0"/>
          <w:caps w:val="0"/>
          <w:color w:val="0F1115"/>
          <w:spacing w:val="0"/>
          <w:sz w:val="21"/>
          <w:szCs w:val="21"/>
          <w:shd w:val="clear" w:fill="FFFFFF"/>
        </w:rPr>
        <w:t> R package (abf method) with default priors (p₁ = 1×10⁻⁴, p₂ = 1×10⁻⁴, p₁₂ = 5×10⁻⁵). Summary</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data</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based Mendelian randomization (SMR) was implemented in Python using the Wald ratio of the most significant eQTL SNP for each gene, with HEIDI</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like heterogeneity assessment approximated by Cochran’s Q.</w:t>
      </w:r>
    </w:p>
    <w:p w14:paraId="369D588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External Validation</w:t>
      </w:r>
    </w:p>
    <w:p w14:paraId="0C0C36A5">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GTEx v8 lung tissue eQTLs for IL18 were downloaded and processed. The same IVW method was applied to estimate the effect of genetically predicted IL18 expression on lung cancer risk in UK Biobank.</w:t>
      </w:r>
    </w:p>
    <w:p w14:paraId="22B77FFE">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Software</w:t>
      </w:r>
    </w:p>
    <w:p w14:paraId="20A849FB">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All analyses were performed using Python 3.9 (with libraries pandas, numpy, scipy, statsmodels, scikit</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learn, matplotlib, seaborn) and R 4.1 (with packages TwoSampleMR, coloc, ieugwasr). Custom scripts are available at </w:t>
      </w:r>
      <w:r>
        <w:rPr>
          <w:rFonts w:hint="default" w:ascii="Times New Roman" w:hAnsi="Times New Roman" w:eastAsia="Segoe UI" w:cs="Times New Roman"/>
          <w:i w:val="0"/>
          <w:iCs w:val="0"/>
          <w:caps w:val="0"/>
          <w:color w:val="3964FE"/>
          <w:spacing w:val="0"/>
          <w:sz w:val="21"/>
          <w:szCs w:val="21"/>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1"/>
          <w:szCs w:val="21"/>
          <w:u w:val="none"/>
          <w:bdr w:val="single" w:color="auto" w:sz="8" w:space="0"/>
          <w:shd w:val="clear" w:fill="FFFFFF"/>
        </w:rPr>
        <w:instrText xml:space="preserve"> HYPERLINK "https://github.com/immunoMR/itPRS" \t "https://chat.deepseek.com/a/chat/s/_blank" </w:instrText>
      </w:r>
      <w:r>
        <w:rPr>
          <w:rFonts w:hint="default" w:ascii="Times New Roman" w:hAnsi="Times New Roman" w:eastAsia="Segoe UI" w:cs="Times New Roman"/>
          <w:i w:val="0"/>
          <w:iCs w:val="0"/>
          <w:caps w:val="0"/>
          <w:color w:val="3964FE"/>
          <w:spacing w:val="0"/>
          <w:sz w:val="21"/>
          <w:szCs w:val="21"/>
          <w:u w:val="none"/>
          <w:bdr w:val="single" w:color="auto" w:sz="8" w:space="0"/>
          <w:shd w:val="clear" w:fill="FFFFFF"/>
        </w:rPr>
        <w:fldChar w:fldCharType="separate"/>
      </w:r>
      <w:r>
        <w:rPr>
          <w:rStyle w:val="11"/>
          <w:rFonts w:hint="default" w:ascii="Times New Roman" w:hAnsi="Times New Roman" w:eastAsia="Segoe UI" w:cs="Times New Roman"/>
          <w:i w:val="0"/>
          <w:iCs w:val="0"/>
          <w:caps w:val="0"/>
          <w:color w:val="3964FE"/>
          <w:spacing w:val="0"/>
          <w:sz w:val="21"/>
          <w:szCs w:val="21"/>
          <w:u w:val="none"/>
          <w:shd w:val="clear" w:fill="FFFFFF"/>
        </w:rPr>
        <w:t>GitHub repository</w:t>
      </w:r>
      <w:r>
        <w:rPr>
          <w:rFonts w:hint="default" w:ascii="Times New Roman" w:hAnsi="Times New Roman" w:eastAsia="Segoe UI" w:cs="Times New Roman"/>
          <w:i w:val="0"/>
          <w:iCs w:val="0"/>
          <w:caps w:val="0"/>
          <w:color w:val="3964FE"/>
          <w:spacing w:val="0"/>
          <w:sz w:val="21"/>
          <w:szCs w:val="21"/>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1"/>
          <w:szCs w:val="21"/>
          <w:shd w:val="clear" w:fill="FFFFFF"/>
        </w:rPr>
        <w:t>.</w:t>
      </w:r>
    </w:p>
    <w:p w14:paraId="4EC6FBA3">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5358EFE">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Tables</w:t>
      </w:r>
    </w:p>
    <w:p w14:paraId="2D6431A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S1. Complete list of IL18 eQTL instruments in LUAD and LUSC</w:t>
      </w:r>
    </w:p>
    <w:tbl>
      <w:tblPr>
        <w:tblW w:w="84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6"/>
        <w:gridCol w:w="1127"/>
        <w:gridCol w:w="602"/>
        <w:gridCol w:w="1185"/>
        <w:gridCol w:w="888"/>
        <w:gridCol w:w="847"/>
        <w:gridCol w:w="1133"/>
        <w:gridCol w:w="1127"/>
      </w:tblGrid>
      <w:tr w14:paraId="04134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noWrap w:val="0"/>
            <w:tcMar>
              <w:top w:w="75" w:type="dxa"/>
              <w:left w:w="-1" w:type="dxa"/>
              <w:bottom w:w="75" w:type="dxa"/>
              <w:right w:w="120" w:type="dxa"/>
            </w:tcMar>
            <w:vAlign w:val="center"/>
          </w:tcPr>
          <w:p w14:paraId="73417EB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Cancer</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25F0109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SNP</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325D132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Chr</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3851DFD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Pos (hg38)</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0D860E2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Beta</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2DA963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SE</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6CB370E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P-value</w:t>
            </w:r>
          </w:p>
        </w:tc>
        <w:tc>
          <w:tcPr>
            <w:tcW w:w="1127"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7F68E6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F-statistic</w:t>
            </w:r>
          </w:p>
        </w:tc>
      </w:tr>
      <w:tr w14:paraId="6D13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noWrap w:val="0"/>
            <w:tcMar>
              <w:top w:w="75" w:type="dxa"/>
              <w:left w:w="-1" w:type="dxa"/>
              <w:bottom w:w="75" w:type="dxa"/>
              <w:right w:w="120" w:type="dxa"/>
            </w:tcMar>
            <w:vAlign w:val="center"/>
          </w:tcPr>
          <w:p w14:paraId="3E5DB1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3E8BF7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rs1834481</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70F0CE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4D927F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112023827</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263925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0.2939</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54EB67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0.0418</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1BCBB3F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6.69×10⁻¹²</w:t>
            </w:r>
          </w:p>
        </w:tc>
        <w:tc>
          <w:tcPr>
            <w:tcW w:w="1127" w:type="dxa"/>
            <w:tcBorders>
              <w:top w:val="single" w:color="auto" w:sz="4" w:space="0"/>
              <w:left w:val="nil"/>
              <w:bottom w:val="nil"/>
              <w:right w:val="nil"/>
            </w:tcBorders>
            <w:shd w:val="clear"/>
            <w:noWrap w:val="0"/>
            <w:tcMar>
              <w:top w:w="75" w:type="dxa"/>
              <w:left w:w="120" w:type="dxa"/>
              <w:bottom w:w="75" w:type="dxa"/>
              <w:right w:w="-1" w:type="dxa"/>
            </w:tcMar>
            <w:vAlign w:val="center"/>
          </w:tcPr>
          <w:p w14:paraId="237BA0E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49.51</w:t>
            </w:r>
          </w:p>
        </w:tc>
      </w:tr>
      <w:tr w14:paraId="40C0C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388BA1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4157EA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rs5744256</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F8C81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36AF3B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112022848</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7F2A72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-0.2872</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7E5842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0.0423</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9CC7A0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3.23×10⁻¹¹</w:t>
            </w:r>
          </w:p>
        </w:tc>
        <w:tc>
          <w:tcPr>
            <w:tcW w:w="1127" w:type="dxa"/>
            <w:tcBorders>
              <w:top w:val="nil"/>
              <w:left w:val="nil"/>
              <w:bottom w:val="nil"/>
              <w:right w:val="nil"/>
            </w:tcBorders>
            <w:shd w:val="clear"/>
            <w:noWrap w:val="0"/>
            <w:tcMar>
              <w:top w:w="75" w:type="dxa"/>
              <w:left w:w="120" w:type="dxa"/>
              <w:bottom w:w="75" w:type="dxa"/>
              <w:right w:w="-1" w:type="dxa"/>
            </w:tcMar>
            <w:vAlign w:val="center"/>
          </w:tcPr>
          <w:p w14:paraId="64FF687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46.13</w:t>
            </w:r>
          </w:p>
        </w:tc>
      </w:tr>
      <w:tr w14:paraId="7CBF0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266D84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 (full list in attached CSV)</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79155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2B8E127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D09F85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75A603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84FBD3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5EC2B5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7" w:type="dxa"/>
            <w:tcBorders>
              <w:top w:val="nil"/>
              <w:left w:val="nil"/>
              <w:bottom w:val="nil"/>
              <w:right w:val="nil"/>
            </w:tcBorders>
            <w:shd w:val="clear"/>
            <w:noWrap w:val="0"/>
            <w:tcMar>
              <w:top w:w="75" w:type="dxa"/>
              <w:left w:w="120" w:type="dxa"/>
              <w:bottom w:w="75" w:type="dxa"/>
              <w:right w:w="-1" w:type="dxa"/>
            </w:tcMar>
            <w:vAlign w:val="center"/>
          </w:tcPr>
          <w:p w14:paraId="070FDB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65C56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5D5809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F9EFB7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rs5744258</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2B83A6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FD4936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112021767</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69769E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-0.2459</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5976AC4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0.0544</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B256A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7.74×10⁻⁶</w:t>
            </w:r>
          </w:p>
        </w:tc>
        <w:tc>
          <w:tcPr>
            <w:tcW w:w="1127" w:type="dxa"/>
            <w:tcBorders>
              <w:top w:val="nil"/>
              <w:left w:val="nil"/>
              <w:bottom w:val="nil"/>
              <w:right w:val="nil"/>
            </w:tcBorders>
            <w:shd w:val="clear"/>
            <w:noWrap w:val="0"/>
            <w:tcMar>
              <w:top w:w="75" w:type="dxa"/>
              <w:left w:w="120" w:type="dxa"/>
              <w:bottom w:w="75" w:type="dxa"/>
              <w:right w:w="-1" w:type="dxa"/>
            </w:tcMar>
            <w:vAlign w:val="center"/>
          </w:tcPr>
          <w:p w14:paraId="6CFED2E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20.45</w:t>
            </w:r>
          </w:p>
        </w:tc>
      </w:tr>
      <w:tr w14:paraId="37CC9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2999B9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CD9A7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rs5744256</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53C5A5D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32479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112022848</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6779FF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-0.2459</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E58C8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0.0544</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B6EE4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7.74×10⁻⁶</w:t>
            </w:r>
          </w:p>
        </w:tc>
        <w:tc>
          <w:tcPr>
            <w:tcW w:w="1127" w:type="dxa"/>
            <w:tcBorders>
              <w:top w:val="nil"/>
              <w:left w:val="nil"/>
              <w:bottom w:val="nil"/>
              <w:right w:val="nil"/>
            </w:tcBorders>
            <w:shd w:val="clear"/>
            <w:noWrap w:val="0"/>
            <w:tcMar>
              <w:top w:w="75" w:type="dxa"/>
              <w:left w:w="120" w:type="dxa"/>
              <w:bottom w:w="75" w:type="dxa"/>
              <w:right w:w="-1" w:type="dxa"/>
            </w:tcMar>
            <w:vAlign w:val="center"/>
          </w:tcPr>
          <w:p w14:paraId="64BD00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20.45</w:t>
            </w:r>
          </w:p>
        </w:tc>
      </w:tr>
      <w:tr w14:paraId="2680D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46"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37E8519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7"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819D6F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602"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5BB2CA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85"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F4E745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88"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256D78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47"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50ACA8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33"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F488E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7"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790F96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bl>
    <w:p w14:paraId="0C5C8464">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t>Note: Full list is provided in the accompanying CSV file </w:t>
      </w: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IL18_eQTL_instruments.csv</w:t>
      </w:r>
      <w:r>
        <w:rPr>
          <w:rStyle w:val="10"/>
          <w:rFonts w:hint="default" w:ascii="Times New Roman" w:hAnsi="Times New Roman" w:eastAsia="Segoe UI" w:cs="Times New Roman"/>
          <w:i w:val="0"/>
          <w:iCs w:val="0"/>
          <w:caps w:val="0"/>
          <w:color w:val="0F1115"/>
          <w:spacing w:val="0"/>
          <w:sz w:val="21"/>
          <w:szCs w:val="21"/>
          <w:shd w:val="clear" w:fill="FFFFFF"/>
        </w:rPr>
        <w:t>.</w:t>
      </w:r>
    </w:p>
    <w:p w14:paraId="52074CF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F3C3200">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S2. Genetic correlation matrix of immune traits</w:t>
      </w:r>
    </w:p>
    <w:tbl>
      <w:tblPr>
        <w:tblW w:w="84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9"/>
        <w:gridCol w:w="1273"/>
        <w:gridCol w:w="1099"/>
        <w:gridCol w:w="1135"/>
        <w:gridCol w:w="1093"/>
        <w:gridCol w:w="1135"/>
        <w:gridCol w:w="1447"/>
      </w:tblGrid>
      <w:tr w14:paraId="0A854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noWrap w:val="0"/>
            <w:tcMar>
              <w:top w:w="75" w:type="dxa"/>
              <w:left w:w="-1" w:type="dxa"/>
              <w:bottom w:w="75" w:type="dxa"/>
              <w:right w:w="120" w:type="dxa"/>
            </w:tcMar>
            <w:vAlign w:val="center"/>
          </w:tcPr>
          <w:p w14:paraId="428B70C4">
            <w:pPr>
              <w:snapToGrid w:val="0"/>
              <w:ind w:left="0" w:leftChars="0" w:right="0" w:rightChars="0" w:firstLine="0" w:firstLineChars="0"/>
              <w:jc w:val="center"/>
              <w:rPr>
                <w:rFonts w:hint="default" w:ascii="Times New Roman" w:hAnsi="Times New Roman" w:eastAsia="Segoe UI" w:cs="Times New Roman"/>
                <w:b/>
                <w:sz w:val="21"/>
                <w:szCs w:val="21"/>
              </w:rPr>
            </w:pP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084D99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lymphocyte</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4DB93B8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monocyte</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2EAE73E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IL1B</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2FC2A0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IL18</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79D8916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TNFa</w:t>
            </w:r>
          </w:p>
        </w:tc>
        <w:tc>
          <w:tcPr>
            <w:tcW w:w="1447"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1C5FD6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inflammation</w:t>
            </w:r>
          </w:p>
        </w:tc>
      </w:tr>
      <w:tr w14:paraId="016BD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noWrap w:val="0"/>
            <w:tcMar>
              <w:top w:w="75" w:type="dxa"/>
              <w:left w:w="-1" w:type="dxa"/>
              <w:bottom w:w="75" w:type="dxa"/>
              <w:right w:w="120" w:type="dxa"/>
            </w:tcMar>
            <w:vAlign w:val="center"/>
          </w:tcPr>
          <w:p w14:paraId="669D624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lymphocyte</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2E0DCE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1.000</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1CBAD4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0.358</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7DEB29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0.00066</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2BF0A30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-0.000062</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2385CF0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-0.00019</w:t>
            </w:r>
          </w:p>
        </w:tc>
        <w:tc>
          <w:tcPr>
            <w:tcW w:w="1447" w:type="dxa"/>
            <w:tcBorders>
              <w:top w:val="single" w:color="auto" w:sz="4" w:space="0"/>
              <w:left w:val="nil"/>
              <w:bottom w:val="nil"/>
              <w:right w:val="nil"/>
            </w:tcBorders>
            <w:shd w:val="clear"/>
            <w:noWrap w:val="0"/>
            <w:tcMar>
              <w:top w:w="75" w:type="dxa"/>
              <w:left w:w="120" w:type="dxa"/>
              <w:bottom w:w="75" w:type="dxa"/>
              <w:right w:w="-1" w:type="dxa"/>
            </w:tcMar>
            <w:vAlign w:val="center"/>
          </w:tcPr>
          <w:p w14:paraId="0B72AEA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-0.00058</w:t>
            </w:r>
          </w:p>
        </w:tc>
      </w:tr>
      <w:tr w14:paraId="22C3E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5A3D79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monocyte</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9316B9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0.358</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29A3017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1.000</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435489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0.000042</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33B310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0.00024</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729DA2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-0.00031</w:t>
            </w:r>
          </w:p>
        </w:tc>
        <w:tc>
          <w:tcPr>
            <w:tcW w:w="1447" w:type="dxa"/>
            <w:tcBorders>
              <w:top w:val="nil"/>
              <w:left w:val="nil"/>
              <w:bottom w:val="nil"/>
              <w:right w:val="nil"/>
            </w:tcBorders>
            <w:shd w:val="clear"/>
            <w:noWrap w:val="0"/>
            <w:tcMar>
              <w:top w:w="75" w:type="dxa"/>
              <w:left w:w="120" w:type="dxa"/>
              <w:bottom w:w="75" w:type="dxa"/>
              <w:right w:w="-1" w:type="dxa"/>
            </w:tcMar>
            <w:vAlign w:val="center"/>
          </w:tcPr>
          <w:p w14:paraId="38FE56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-0.00012</w:t>
            </w:r>
          </w:p>
        </w:tc>
      </w:tr>
      <w:tr w14:paraId="7EF1E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29336F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IL1B</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3B5CB3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0.00066</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497BEC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0.000042</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EBD78D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1.000</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083574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3.42×10⁻⁸</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5DCBB06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-2.03×10⁻⁸</w:t>
            </w:r>
          </w:p>
        </w:tc>
        <w:tc>
          <w:tcPr>
            <w:tcW w:w="1447" w:type="dxa"/>
            <w:tcBorders>
              <w:top w:val="nil"/>
              <w:left w:val="nil"/>
              <w:bottom w:val="nil"/>
              <w:right w:val="nil"/>
            </w:tcBorders>
            <w:shd w:val="clear"/>
            <w:noWrap w:val="0"/>
            <w:tcMar>
              <w:top w:w="75" w:type="dxa"/>
              <w:left w:w="120" w:type="dxa"/>
              <w:bottom w:w="75" w:type="dxa"/>
              <w:right w:w="-1" w:type="dxa"/>
            </w:tcMar>
            <w:vAlign w:val="center"/>
          </w:tcPr>
          <w:p w14:paraId="241AE1F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1.94×10⁻⁶</w:t>
            </w:r>
          </w:p>
        </w:tc>
      </w:tr>
      <w:tr w14:paraId="16F6C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0737CB7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IL18</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2938BA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-0.000062</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7E63C4E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0.00024</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2FB113C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3.42×10⁻⁸</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DDDBC6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1.000</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1146E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5.31×10⁻⁸</w:t>
            </w:r>
          </w:p>
        </w:tc>
        <w:tc>
          <w:tcPr>
            <w:tcW w:w="1447" w:type="dxa"/>
            <w:tcBorders>
              <w:top w:val="nil"/>
              <w:left w:val="nil"/>
              <w:bottom w:val="nil"/>
              <w:right w:val="nil"/>
            </w:tcBorders>
            <w:shd w:val="clear"/>
            <w:noWrap w:val="0"/>
            <w:tcMar>
              <w:top w:w="75" w:type="dxa"/>
              <w:left w:w="120" w:type="dxa"/>
              <w:bottom w:w="75" w:type="dxa"/>
              <w:right w:w="-1" w:type="dxa"/>
            </w:tcMar>
            <w:vAlign w:val="center"/>
          </w:tcPr>
          <w:p w14:paraId="6B9A271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2.00×10⁻⁵</w:t>
            </w:r>
          </w:p>
        </w:tc>
      </w:tr>
      <w:tr w14:paraId="3F45D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5DC212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TNFa</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7BCB42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-0.00019</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4A8516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-0.00031</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20074D3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-2.03×10⁻⁸</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71B314F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5.31×10⁻⁸</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F5872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1.000</w:t>
            </w:r>
          </w:p>
        </w:tc>
        <w:tc>
          <w:tcPr>
            <w:tcW w:w="1447" w:type="dxa"/>
            <w:tcBorders>
              <w:top w:val="nil"/>
              <w:left w:val="nil"/>
              <w:bottom w:val="nil"/>
              <w:right w:val="nil"/>
            </w:tcBorders>
            <w:shd w:val="clear"/>
            <w:noWrap w:val="0"/>
            <w:tcMar>
              <w:top w:w="75" w:type="dxa"/>
              <w:left w:w="120" w:type="dxa"/>
              <w:bottom w:w="75" w:type="dxa"/>
              <w:right w:w="-1" w:type="dxa"/>
            </w:tcMar>
            <w:vAlign w:val="center"/>
          </w:tcPr>
          <w:p w14:paraId="40FCE1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1.97×10⁻⁵</w:t>
            </w:r>
          </w:p>
        </w:tc>
      </w:tr>
      <w:tr w14:paraId="661C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244"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203F56D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inflammation</w:t>
            </w:r>
          </w:p>
        </w:tc>
        <w:tc>
          <w:tcPr>
            <w:tcW w:w="1273"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1BDC0B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-0.00058</w:t>
            </w:r>
          </w:p>
        </w:tc>
        <w:tc>
          <w:tcPr>
            <w:tcW w:w="109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527AB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-0.00012</w:t>
            </w:r>
          </w:p>
        </w:tc>
        <w:tc>
          <w:tcPr>
            <w:tcW w:w="1135"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159D62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1.94×10⁻⁶</w:t>
            </w:r>
          </w:p>
        </w:tc>
        <w:tc>
          <w:tcPr>
            <w:tcW w:w="1093"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FA377B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2.00×10⁻⁵</w:t>
            </w:r>
          </w:p>
        </w:tc>
        <w:tc>
          <w:tcPr>
            <w:tcW w:w="1135"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6D9183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1.97×10⁻⁵</w:t>
            </w:r>
          </w:p>
        </w:tc>
        <w:tc>
          <w:tcPr>
            <w:tcW w:w="1447"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2BBED18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1.000</w:t>
            </w:r>
          </w:p>
        </w:tc>
      </w:tr>
    </w:tbl>
    <w:p w14:paraId="2F2981E5">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t>Values are Pearson correlations between SNP effect vectors.</w:t>
      </w:r>
    </w:p>
    <w:p w14:paraId="4268BF6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4E8103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S3. Summary of Mendelian randomization results for IL18 expression on lung cancer risk</w:t>
      </w:r>
    </w:p>
    <w:tbl>
      <w:tblPr>
        <w:tblW w:w="87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0"/>
        <w:gridCol w:w="1588"/>
        <w:gridCol w:w="806"/>
        <w:gridCol w:w="765"/>
        <w:gridCol w:w="2099"/>
        <w:gridCol w:w="1028"/>
        <w:gridCol w:w="800"/>
        <w:gridCol w:w="894"/>
      </w:tblGrid>
      <w:tr w14:paraId="465DC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803" w:type="dxa"/>
            <w:tcBorders>
              <w:top w:val="single" w:color="auto" w:sz="12" w:space="0"/>
              <w:left w:val="nil"/>
              <w:bottom w:val="nil"/>
              <w:right w:val="nil"/>
            </w:tcBorders>
            <w:shd w:val="clear"/>
            <w:noWrap w:val="0"/>
            <w:tcMar>
              <w:top w:w="75" w:type="dxa"/>
              <w:left w:w="-1" w:type="dxa"/>
              <w:bottom w:w="75" w:type="dxa"/>
              <w:right w:w="120" w:type="dxa"/>
            </w:tcMar>
            <w:vAlign w:val="center"/>
          </w:tcPr>
          <w:p w14:paraId="4CFFD1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Cancer</w:t>
            </w:r>
          </w:p>
        </w:tc>
        <w:tc>
          <w:tcPr>
            <w:tcW w:w="1636"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6B6C4B6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Method</w:t>
            </w:r>
          </w:p>
        </w:tc>
        <w:tc>
          <w:tcPr>
            <w:tcW w:w="82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610FAEF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N SNPs</w:t>
            </w:r>
          </w:p>
        </w:tc>
        <w:tc>
          <w:tcPr>
            <w:tcW w:w="674"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208CA79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F-stat</w:t>
            </w:r>
          </w:p>
        </w:tc>
        <w:tc>
          <w:tcPr>
            <w:tcW w:w="238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7D631E7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β (95% CI)</w:t>
            </w:r>
          </w:p>
        </w:tc>
        <w:tc>
          <w:tcPr>
            <w:tcW w:w="937"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1A0EE2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P-value</w:t>
            </w:r>
          </w:p>
        </w:tc>
        <w:tc>
          <w:tcPr>
            <w:tcW w:w="70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42ECD7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Q-stat</w:t>
            </w:r>
          </w:p>
        </w:tc>
        <w:tc>
          <w:tcPr>
            <w:tcW w:w="803"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70EB645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Q_pval</w:t>
            </w:r>
          </w:p>
        </w:tc>
      </w:tr>
      <w:tr w14:paraId="4D407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single" w:color="auto" w:sz="4" w:space="0"/>
              <w:left w:val="nil"/>
              <w:bottom w:val="nil"/>
              <w:right w:val="nil"/>
            </w:tcBorders>
            <w:shd w:val="clear"/>
            <w:noWrap w:val="0"/>
            <w:tcMar>
              <w:top w:w="75" w:type="dxa"/>
              <w:left w:w="-1" w:type="dxa"/>
              <w:bottom w:w="75" w:type="dxa"/>
              <w:right w:w="120" w:type="dxa"/>
            </w:tcMar>
            <w:vAlign w:val="center"/>
          </w:tcPr>
          <w:p w14:paraId="76844C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636"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1E7F02E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IVW</w:t>
            </w:r>
          </w:p>
        </w:tc>
        <w:tc>
          <w:tcPr>
            <w:tcW w:w="829"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311A886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28</w:t>
            </w:r>
          </w:p>
        </w:tc>
        <w:tc>
          <w:tcPr>
            <w:tcW w:w="674"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462F10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36.6</w:t>
            </w:r>
          </w:p>
        </w:tc>
        <w:tc>
          <w:tcPr>
            <w:tcW w:w="2389"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2571FA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-0.0052 (-0.0064, -0.0041)</w:t>
            </w:r>
          </w:p>
        </w:tc>
        <w:tc>
          <w:tcPr>
            <w:tcW w:w="937"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3CF5E99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2.2×10⁻¹⁶</w:t>
            </w:r>
          </w:p>
        </w:tc>
        <w:tc>
          <w:tcPr>
            <w:tcW w:w="709"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5BBC3A5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25.3</w:t>
            </w:r>
          </w:p>
        </w:tc>
        <w:tc>
          <w:tcPr>
            <w:tcW w:w="803" w:type="dxa"/>
            <w:tcBorders>
              <w:top w:val="single" w:color="auto" w:sz="4" w:space="0"/>
              <w:left w:val="nil"/>
              <w:bottom w:val="nil"/>
              <w:right w:val="nil"/>
            </w:tcBorders>
            <w:shd w:val="clear"/>
            <w:noWrap w:val="0"/>
            <w:tcMar>
              <w:top w:w="75" w:type="dxa"/>
              <w:left w:w="120" w:type="dxa"/>
              <w:bottom w:w="75" w:type="dxa"/>
              <w:right w:w="-1" w:type="dxa"/>
            </w:tcMar>
            <w:vAlign w:val="center"/>
          </w:tcPr>
          <w:p w14:paraId="5E76E10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0.50</w:t>
            </w:r>
          </w:p>
        </w:tc>
      </w:tr>
      <w:tr w14:paraId="14263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57C991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636" w:type="dxa"/>
            <w:tcBorders>
              <w:top w:val="nil"/>
              <w:left w:val="nil"/>
              <w:bottom w:val="nil"/>
              <w:right w:val="nil"/>
            </w:tcBorders>
            <w:shd w:val="clear"/>
            <w:noWrap w:val="0"/>
            <w:tcMar>
              <w:top w:w="75" w:type="dxa"/>
              <w:left w:w="120" w:type="dxa"/>
              <w:bottom w:w="75" w:type="dxa"/>
              <w:right w:w="120" w:type="dxa"/>
            </w:tcMar>
            <w:vAlign w:val="center"/>
          </w:tcPr>
          <w:p w14:paraId="0820669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MR-Egger</w:t>
            </w:r>
          </w:p>
        </w:tc>
        <w:tc>
          <w:tcPr>
            <w:tcW w:w="829" w:type="dxa"/>
            <w:tcBorders>
              <w:top w:val="nil"/>
              <w:left w:val="nil"/>
              <w:bottom w:val="nil"/>
              <w:right w:val="nil"/>
            </w:tcBorders>
            <w:shd w:val="clear"/>
            <w:noWrap w:val="0"/>
            <w:tcMar>
              <w:top w:w="75" w:type="dxa"/>
              <w:left w:w="120" w:type="dxa"/>
              <w:bottom w:w="75" w:type="dxa"/>
              <w:right w:w="120" w:type="dxa"/>
            </w:tcMar>
            <w:vAlign w:val="center"/>
          </w:tcPr>
          <w:p w14:paraId="6DCAB96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28</w:t>
            </w:r>
          </w:p>
        </w:tc>
        <w:tc>
          <w:tcPr>
            <w:tcW w:w="674" w:type="dxa"/>
            <w:tcBorders>
              <w:top w:val="nil"/>
              <w:left w:val="nil"/>
              <w:bottom w:val="nil"/>
              <w:right w:val="nil"/>
            </w:tcBorders>
            <w:shd w:val="clear"/>
            <w:noWrap w:val="0"/>
            <w:tcMar>
              <w:top w:w="75" w:type="dxa"/>
              <w:left w:w="120" w:type="dxa"/>
              <w:bottom w:w="75" w:type="dxa"/>
              <w:right w:w="120" w:type="dxa"/>
            </w:tcMar>
            <w:vAlign w:val="center"/>
          </w:tcPr>
          <w:p w14:paraId="1ED7AD4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2389" w:type="dxa"/>
            <w:tcBorders>
              <w:top w:val="nil"/>
              <w:left w:val="nil"/>
              <w:bottom w:val="nil"/>
              <w:right w:val="nil"/>
            </w:tcBorders>
            <w:shd w:val="clear"/>
            <w:noWrap w:val="0"/>
            <w:tcMar>
              <w:top w:w="75" w:type="dxa"/>
              <w:left w:w="120" w:type="dxa"/>
              <w:bottom w:w="75" w:type="dxa"/>
              <w:right w:w="120" w:type="dxa"/>
            </w:tcMar>
            <w:vAlign w:val="center"/>
          </w:tcPr>
          <w:p w14:paraId="26F075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-0.0026 (-0.0044, -0.0007)</w:t>
            </w:r>
          </w:p>
        </w:tc>
        <w:tc>
          <w:tcPr>
            <w:tcW w:w="937" w:type="dxa"/>
            <w:tcBorders>
              <w:top w:val="nil"/>
              <w:left w:val="nil"/>
              <w:bottom w:val="nil"/>
              <w:right w:val="nil"/>
            </w:tcBorders>
            <w:shd w:val="clear"/>
            <w:noWrap w:val="0"/>
            <w:tcMar>
              <w:top w:w="75" w:type="dxa"/>
              <w:left w:w="120" w:type="dxa"/>
              <w:bottom w:w="75" w:type="dxa"/>
              <w:right w:w="120" w:type="dxa"/>
            </w:tcMar>
            <w:vAlign w:val="center"/>
          </w:tcPr>
          <w:p w14:paraId="59826D4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0.0065</w:t>
            </w:r>
          </w:p>
        </w:tc>
        <w:tc>
          <w:tcPr>
            <w:tcW w:w="709" w:type="dxa"/>
            <w:tcBorders>
              <w:top w:val="nil"/>
              <w:left w:val="nil"/>
              <w:bottom w:val="nil"/>
              <w:right w:val="nil"/>
            </w:tcBorders>
            <w:shd w:val="clear"/>
            <w:noWrap w:val="0"/>
            <w:tcMar>
              <w:top w:w="75" w:type="dxa"/>
              <w:left w:w="120" w:type="dxa"/>
              <w:bottom w:w="75" w:type="dxa"/>
              <w:right w:w="120" w:type="dxa"/>
            </w:tcMar>
            <w:vAlign w:val="center"/>
          </w:tcPr>
          <w:p w14:paraId="716DF4D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03" w:type="dxa"/>
            <w:tcBorders>
              <w:top w:val="nil"/>
              <w:left w:val="nil"/>
              <w:bottom w:val="nil"/>
              <w:right w:val="nil"/>
            </w:tcBorders>
            <w:shd w:val="clear"/>
            <w:noWrap w:val="0"/>
            <w:tcMar>
              <w:top w:w="75" w:type="dxa"/>
              <w:left w:w="120" w:type="dxa"/>
              <w:bottom w:w="75" w:type="dxa"/>
              <w:right w:w="-1" w:type="dxa"/>
            </w:tcMar>
            <w:vAlign w:val="center"/>
          </w:tcPr>
          <w:p w14:paraId="02DDECF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0FC5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72AB06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636" w:type="dxa"/>
            <w:tcBorders>
              <w:top w:val="nil"/>
              <w:left w:val="nil"/>
              <w:bottom w:val="nil"/>
              <w:right w:val="nil"/>
            </w:tcBorders>
            <w:shd w:val="clear"/>
            <w:noWrap w:val="0"/>
            <w:tcMar>
              <w:top w:w="75" w:type="dxa"/>
              <w:left w:w="120" w:type="dxa"/>
              <w:bottom w:w="75" w:type="dxa"/>
              <w:right w:w="120" w:type="dxa"/>
            </w:tcMar>
            <w:vAlign w:val="center"/>
          </w:tcPr>
          <w:p w14:paraId="5D32E74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Weighted median</w:t>
            </w:r>
          </w:p>
        </w:tc>
        <w:tc>
          <w:tcPr>
            <w:tcW w:w="829" w:type="dxa"/>
            <w:tcBorders>
              <w:top w:val="nil"/>
              <w:left w:val="nil"/>
              <w:bottom w:val="nil"/>
              <w:right w:val="nil"/>
            </w:tcBorders>
            <w:shd w:val="clear"/>
            <w:noWrap w:val="0"/>
            <w:tcMar>
              <w:top w:w="75" w:type="dxa"/>
              <w:left w:w="120" w:type="dxa"/>
              <w:bottom w:w="75" w:type="dxa"/>
              <w:right w:w="120" w:type="dxa"/>
            </w:tcMar>
            <w:vAlign w:val="center"/>
          </w:tcPr>
          <w:p w14:paraId="71A02A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28</w:t>
            </w:r>
          </w:p>
        </w:tc>
        <w:tc>
          <w:tcPr>
            <w:tcW w:w="674" w:type="dxa"/>
            <w:tcBorders>
              <w:top w:val="nil"/>
              <w:left w:val="nil"/>
              <w:bottom w:val="nil"/>
              <w:right w:val="nil"/>
            </w:tcBorders>
            <w:shd w:val="clear"/>
            <w:noWrap w:val="0"/>
            <w:tcMar>
              <w:top w:w="75" w:type="dxa"/>
              <w:left w:w="120" w:type="dxa"/>
              <w:bottom w:w="75" w:type="dxa"/>
              <w:right w:w="120" w:type="dxa"/>
            </w:tcMar>
            <w:vAlign w:val="center"/>
          </w:tcPr>
          <w:p w14:paraId="26BE55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2389" w:type="dxa"/>
            <w:tcBorders>
              <w:top w:val="nil"/>
              <w:left w:val="nil"/>
              <w:bottom w:val="nil"/>
              <w:right w:val="nil"/>
            </w:tcBorders>
            <w:shd w:val="clear"/>
            <w:noWrap w:val="0"/>
            <w:tcMar>
              <w:top w:w="75" w:type="dxa"/>
              <w:left w:w="120" w:type="dxa"/>
              <w:bottom w:w="75" w:type="dxa"/>
              <w:right w:w="120" w:type="dxa"/>
            </w:tcMar>
            <w:vAlign w:val="center"/>
          </w:tcPr>
          <w:p w14:paraId="56525BA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-0.0064 (-0.0069, -0.0058)</w:t>
            </w:r>
          </w:p>
        </w:tc>
        <w:tc>
          <w:tcPr>
            <w:tcW w:w="937" w:type="dxa"/>
            <w:tcBorders>
              <w:top w:val="nil"/>
              <w:left w:val="nil"/>
              <w:bottom w:val="nil"/>
              <w:right w:val="nil"/>
            </w:tcBorders>
            <w:shd w:val="clear"/>
            <w:noWrap w:val="0"/>
            <w:tcMar>
              <w:top w:w="75" w:type="dxa"/>
              <w:left w:w="120" w:type="dxa"/>
              <w:bottom w:w="75" w:type="dxa"/>
              <w:right w:w="120" w:type="dxa"/>
            </w:tcMar>
            <w:vAlign w:val="center"/>
          </w:tcPr>
          <w:p w14:paraId="6772C006">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709" w:type="dxa"/>
            <w:tcBorders>
              <w:top w:val="nil"/>
              <w:left w:val="nil"/>
              <w:bottom w:val="nil"/>
              <w:right w:val="nil"/>
            </w:tcBorders>
            <w:shd w:val="clear"/>
            <w:noWrap w:val="0"/>
            <w:tcMar>
              <w:top w:w="75" w:type="dxa"/>
              <w:left w:w="120" w:type="dxa"/>
              <w:bottom w:w="75" w:type="dxa"/>
              <w:right w:w="120" w:type="dxa"/>
            </w:tcMar>
            <w:vAlign w:val="center"/>
          </w:tcPr>
          <w:p w14:paraId="1A99BA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03" w:type="dxa"/>
            <w:tcBorders>
              <w:top w:val="nil"/>
              <w:left w:val="nil"/>
              <w:bottom w:val="nil"/>
              <w:right w:val="nil"/>
            </w:tcBorders>
            <w:shd w:val="clear"/>
            <w:noWrap w:val="0"/>
            <w:tcMar>
              <w:top w:w="75" w:type="dxa"/>
              <w:left w:w="120" w:type="dxa"/>
              <w:bottom w:w="75" w:type="dxa"/>
              <w:right w:w="-1" w:type="dxa"/>
            </w:tcMar>
            <w:vAlign w:val="center"/>
          </w:tcPr>
          <w:p w14:paraId="30BE60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5AD55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03325B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636" w:type="dxa"/>
            <w:tcBorders>
              <w:top w:val="nil"/>
              <w:left w:val="nil"/>
              <w:bottom w:val="nil"/>
              <w:right w:val="nil"/>
            </w:tcBorders>
            <w:shd w:val="clear"/>
            <w:noWrap w:val="0"/>
            <w:tcMar>
              <w:top w:w="75" w:type="dxa"/>
              <w:left w:w="120" w:type="dxa"/>
              <w:bottom w:w="75" w:type="dxa"/>
              <w:right w:w="120" w:type="dxa"/>
            </w:tcMar>
            <w:vAlign w:val="center"/>
          </w:tcPr>
          <w:p w14:paraId="066431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MR-PRESSO (corrected)</w:t>
            </w:r>
          </w:p>
        </w:tc>
        <w:tc>
          <w:tcPr>
            <w:tcW w:w="829" w:type="dxa"/>
            <w:tcBorders>
              <w:top w:val="nil"/>
              <w:left w:val="nil"/>
              <w:bottom w:val="nil"/>
              <w:right w:val="nil"/>
            </w:tcBorders>
            <w:shd w:val="clear"/>
            <w:noWrap w:val="0"/>
            <w:tcMar>
              <w:top w:w="75" w:type="dxa"/>
              <w:left w:w="120" w:type="dxa"/>
              <w:bottom w:w="75" w:type="dxa"/>
              <w:right w:w="120" w:type="dxa"/>
            </w:tcMar>
            <w:vAlign w:val="center"/>
          </w:tcPr>
          <w:p w14:paraId="488657E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27</w:t>
            </w:r>
          </w:p>
        </w:tc>
        <w:tc>
          <w:tcPr>
            <w:tcW w:w="674" w:type="dxa"/>
            <w:tcBorders>
              <w:top w:val="nil"/>
              <w:left w:val="nil"/>
              <w:bottom w:val="nil"/>
              <w:right w:val="nil"/>
            </w:tcBorders>
            <w:shd w:val="clear"/>
            <w:noWrap w:val="0"/>
            <w:tcMar>
              <w:top w:w="75" w:type="dxa"/>
              <w:left w:w="120" w:type="dxa"/>
              <w:bottom w:w="75" w:type="dxa"/>
              <w:right w:w="120" w:type="dxa"/>
            </w:tcMar>
            <w:vAlign w:val="center"/>
          </w:tcPr>
          <w:p w14:paraId="50FEC66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2389" w:type="dxa"/>
            <w:tcBorders>
              <w:top w:val="nil"/>
              <w:left w:val="nil"/>
              <w:bottom w:val="nil"/>
              <w:right w:val="nil"/>
            </w:tcBorders>
            <w:shd w:val="clear"/>
            <w:noWrap w:val="0"/>
            <w:tcMar>
              <w:top w:w="75" w:type="dxa"/>
              <w:left w:w="120" w:type="dxa"/>
              <w:bottom w:w="75" w:type="dxa"/>
              <w:right w:w="120" w:type="dxa"/>
            </w:tcMar>
            <w:vAlign w:val="center"/>
          </w:tcPr>
          <w:p w14:paraId="2D150B3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-0.0058 (-0.0069, -0.0047)</w:t>
            </w:r>
          </w:p>
        </w:tc>
        <w:tc>
          <w:tcPr>
            <w:tcW w:w="937" w:type="dxa"/>
            <w:tcBorders>
              <w:top w:val="nil"/>
              <w:left w:val="nil"/>
              <w:bottom w:val="nil"/>
              <w:right w:val="nil"/>
            </w:tcBorders>
            <w:shd w:val="clear"/>
            <w:noWrap w:val="0"/>
            <w:tcMar>
              <w:top w:w="75" w:type="dxa"/>
              <w:left w:w="120" w:type="dxa"/>
              <w:bottom w:w="75" w:type="dxa"/>
              <w:right w:w="120" w:type="dxa"/>
            </w:tcMar>
            <w:vAlign w:val="center"/>
          </w:tcPr>
          <w:p w14:paraId="3BDB762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709" w:type="dxa"/>
            <w:tcBorders>
              <w:top w:val="nil"/>
              <w:left w:val="nil"/>
              <w:bottom w:val="nil"/>
              <w:right w:val="nil"/>
            </w:tcBorders>
            <w:shd w:val="clear"/>
            <w:noWrap w:val="0"/>
            <w:tcMar>
              <w:top w:w="75" w:type="dxa"/>
              <w:left w:w="120" w:type="dxa"/>
              <w:bottom w:w="75" w:type="dxa"/>
              <w:right w:w="120" w:type="dxa"/>
            </w:tcMar>
            <w:vAlign w:val="center"/>
          </w:tcPr>
          <w:p w14:paraId="129AF46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03" w:type="dxa"/>
            <w:tcBorders>
              <w:top w:val="nil"/>
              <w:left w:val="nil"/>
              <w:bottom w:val="nil"/>
              <w:right w:val="nil"/>
            </w:tcBorders>
            <w:shd w:val="clear"/>
            <w:noWrap w:val="0"/>
            <w:tcMar>
              <w:top w:w="75" w:type="dxa"/>
              <w:left w:w="120" w:type="dxa"/>
              <w:bottom w:w="75" w:type="dxa"/>
              <w:right w:w="-1" w:type="dxa"/>
            </w:tcMar>
            <w:vAlign w:val="center"/>
          </w:tcPr>
          <w:p w14:paraId="21ABD4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6FFDF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2A1D2C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636" w:type="dxa"/>
            <w:tcBorders>
              <w:top w:val="nil"/>
              <w:left w:val="nil"/>
              <w:bottom w:val="nil"/>
              <w:right w:val="nil"/>
            </w:tcBorders>
            <w:shd w:val="clear"/>
            <w:noWrap w:val="0"/>
            <w:tcMar>
              <w:top w:w="75" w:type="dxa"/>
              <w:left w:w="120" w:type="dxa"/>
              <w:bottom w:w="75" w:type="dxa"/>
              <w:right w:w="120" w:type="dxa"/>
            </w:tcMar>
            <w:vAlign w:val="center"/>
          </w:tcPr>
          <w:p w14:paraId="43323FB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IVW</w:t>
            </w:r>
          </w:p>
        </w:tc>
        <w:tc>
          <w:tcPr>
            <w:tcW w:w="829" w:type="dxa"/>
            <w:tcBorders>
              <w:top w:val="nil"/>
              <w:left w:val="nil"/>
              <w:bottom w:val="nil"/>
              <w:right w:val="nil"/>
            </w:tcBorders>
            <w:shd w:val="clear"/>
            <w:noWrap w:val="0"/>
            <w:tcMar>
              <w:top w:w="75" w:type="dxa"/>
              <w:left w:w="120" w:type="dxa"/>
              <w:bottom w:w="75" w:type="dxa"/>
              <w:right w:w="120" w:type="dxa"/>
            </w:tcMar>
            <w:vAlign w:val="center"/>
          </w:tcPr>
          <w:p w14:paraId="2B2FFCC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23</w:t>
            </w:r>
          </w:p>
        </w:tc>
        <w:tc>
          <w:tcPr>
            <w:tcW w:w="674" w:type="dxa"/>
            <w:tcBorders>
              <w:top w:val="nil"/>
              <w:left w:val="nil"/>
              <w:bottom w:val="nil"/>
              <w:right w:val="nil"/>
            </w:tcBorders>
            <w:shd w:val="clear"/>
            <w:noWrap w:val="0"/>
            <w:tcMar>
              <w:top w:w="75" w:type="dxa"/>
              <w:left w:w="120" w:type="dxa"/>
              <w:bottom w:w="75" w:type="dxa"/>
              <w:right w:w="120" w:type="dxa"/>
            </w:tcMar>
            <w:vAlign w:val="center"/>
          </w:tcPr>
          <w:p w14:paraId="2B205FC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17.7</w:t>
            </w:r>
          </w:p>
        </w:tc>
        <w:tc>
          <w:tcPr>
            <w:tcW w:w="2389" w:type="dxa"/>
            <w:tcBorders>
              <w:top w:val="nil"/>
              <w:left w:val="nil"/>
              <w:bottom w:val="nil"/>
              <w:right w:val="nil"/>
            </w:tcBorders>
            <w:shd w:val="clear"/>
            <w:noWrap w:val="0"/>
            <w:tcMar>
              <w:top w:w="75" w:type="dxa"/>
              <w:left w:w="120" w:type="dxa"/>
              <w:bottom w:w="75" w:type="dxa"/>
              <w:right w:w="120" w:type="dxa"/>
            </w:tcMar>
            <w:vAlign w:val="center"/>
          </w:tcPr>
          <w:p w14:paraId="15DB24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-0.0061 (-0.0076, -0.0047)</w:t>
            </w:r>
          </w:p>
        </w:tc>
        <w:tc>
          <w:tcPr>
            <w:tcW w:w="937" w:type="dxa"/>
            <w:tcBorders>
              <w:top w:val="nil"/>
              <w:left w:val="nil"/>
              <w:bottom w:val="nil"/>
              <w:right w:val="nil"/>
            </w:tcBorders>
            <w:shd w:val="clear"/>
            <w:noWrap w:val="0"/>
            <w:tcMar>
              <w:top w:w="75" w:type="dxa"/>
              <w:left w:w="120" w:type="dxa"/>
              <w:bottom w:w="75" w:type="dxa"/>
              <w:right w:w="120" w:type="dxa"/>
            </w:tcMar>
            <w:vAlign w:val="center"/>
          </w:tcPr>
          <w:p w14:paraId="1F7CCA7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2.2×10⁻¹⁶</w:t>
            </w:r>
          </w:p>
        </w:tc>
        <w:tc>
          <w:tcPr>
            <w:tcW w:w="709" w:type="dxa"/>
            <w:tcBorders>
              <w:top w:val="nil"/>
              <w:left w:val="nil"/>
              <w:bottom w:val="nil"/>
              <w:right w:val="nil"/>
            </w:tcBorders>
            <w:shd w:val="clear"/>
            <w:noWrap w:val="0"/>
            <w:tcMar>
              <w:top w:w="75" w:type="dxa"/>
              <w:left w:w="120" w:type="dxa"/>
              <w:bottom w:w="75" w:type="dxa"/>
              <w:right w:w="120" w:type="dxa"/>
            </w:tcMar>
            <w:vAlign w:val="center"/>
          </w:tcPr>
          <w:p w14:paraId="4C7489D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19.8</w:t>
            </w:r>
          </w:p>
        </w:tc>
        <w:tc>
          <w:tcPr>
            <w:tcW w:w="803" w:type="dxa"/>
            <w:tcBorders>
              <w:top w:val="nil"/>
              <w:left w:val="nil"/>
              <w:bottom w:val="nil"/>
              <w:right w:val="nil"/>
            </w:tcBorders>
            <w:shd w:val="clear"/>
            <w:noWrap w:val="0"/>
            <w:tcMar>
              <w:top w:w="75" w:type="dxa"/>
              <w:left w:w="120" w:type="dxa"/>
              <w:bottom w:w="75" w:type="dxa"/>
              <w:right w:w="-1" w:type="dxa"/>
            </w:tcMar>
            <w:vAlign w:val="center"/>
          </w:tcPr>
          <w:p w14:paraId="450D825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0.60</w:t>
            </w:r>
          </w:p>
        </w:tc>
      </w:tr>
      <w:tr w14:paraId="1B1D7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714AEEE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636" w:type="dxa"/>
            <w:tcBorders>
              <w:top w:val="nil"/>
              <w:left w:val="nil"/>
              <w:bottom w:val="nil"/>
              <w:right w:val="nil"/>
            </w:tcBorders>
            <w:shd w:val="clear"/>
            <w:noWrap w:val="0"/>
            <w:tcMar>
              <w:top w:w="75" w:type="dxa"/>
              <w:left w:w="120" w:type="dxa"/>
              <w:bottom w:w="75" w:type="dxa"/>
              <w:right w:w="120" w:type="dxa"/>
            </w:tcMar>
            <w:vAlign w:val="center"/>
          </w:tcPr>
          <w:p w14:paraId="6EC47D0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MR-Egger</w:t>
            </w:r>
          </w:p>
        </w:tc>
        <w:tc>
          <w:tcPr>
            <w:tcW w:w="829" w:type="dxa"/>
            <w:tcBorders>
              <w:top w:val="nil"/>
              <w:left w:val="nil"/>
              <w:bottom w:val="nil"/>
              <w:right w:val="nil"/>
            </w:tcBorders>
            <w:shd w:val="clear"/>
            <w:noWrap w:val="0"/>
            <w:tcMar>
              <w:top w:w="75" w:type="dxa"/>
              <w:left w:w="120" w:type="dxa"/>
              <w:bottom w:w="75" w:type="dxa"/>
              <w:right w:w="120" w:type="dxa"/>
            </w:tcMar>
            <w:vAlign w:val="center"/>
          </w:tcPr>
          <w:p w14:paraId="6DC6B15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23</w:t>
            </w:r>
          </w:p>
        </w:tc>
        <w:tc>
          <w:tcPr>
            <w:tcW w:w="674" w:type="dxa"/>
            <w:tcBorders>
              <w:top w:val="nil"/>
              <w:left w:val="nil"/>
              <w:bottom w:val="nil"/>
              <w:right w:val="nil"/>
            </w:tcBorders>
            <w:shd w:val="clear"/>
            <w:noWrap w:val="0"/>
            <w:tcMar>
              <w:top w:w="75" w:type="dxa"/>
              <w:left w:w="120" w:type="dxa"/>
              <w:bottom w:w="75" w:type="dxa"/>
              <w:right w:w="120" w:type="dxa"/>
            </w:tcMar>
            <w:vAlign w:val="center"/>
          </w:tcPr>
          <w:p w14:paraId="5BC3F2B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2389" w:type="dxa"/>
            <w:tcBorders>
              <w:top w:val="nil"/>
              <w:left w:val="nil"/>
              <w:bottom w:val="nil"/>
              <w:right w:val="nil"/>
            </w:tcBorders>
            <w:shd w:val="clear"/>
            <w:noWrap w:val="0"/>
            <w:tcMar>
              <w:top w:w="75" w:type="dxa"/>
              <w:left w:w="120" w:type="dxa"/>
              <w:bottom w:w="75" w:type="dxa"/>
              <w:right w:w="120" w:type="dxa"/>
            </w:tcMar>
            <w:vAlign w:val="center"/>
          </w:tcPr>
          <w:p w14:paraId="17A308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-0.0016 (-0.0030, -0.0002)</w:t>
            </w:r>
          </w:p>
        </w:tc>
        <w:tc>
          <w:tcPr>
            <w:tcW w:w="937" w:type="dxa"/>
            <w:tcBorders>
              <w:top w:val="nil"/>
              <w:left w:val="nil"/>
              <w:bottom w:val="nil"/>
              <w:right w:val="nil"/>
            </w:tcBorders>
            <w:shd w:val="clear"/>
            <w:noWrap w:val="0"/>
            <w:tcMar>
              <w:top w:w="75" w:type="dxa"/>
              <w:left w:w="120" w:type="dxa"/>
              <w:bottom w:w="75" w:type="dxa"/>
              <w:right w:w="120" w:type="dxa"/>
            </w:tcMar>
            <w:vAlign w:val="center"/>
          </w:tcPr>
          <w:p w14:paraId="1C13354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0.024</w:t>
            </w:r>
          </w:p>
        </w:tc>
        <w:tc>
          <w:tcPr>
            <w:tcW w:w="709" w:type="dxa"/>
            <w:tcBorders>
              <w:top w:val="nil"/>
              <w:left w:val="nil"/>
              <w:bottom w:val="nil"/>
              <w:right w:val="nil"/>
            </w:tcBorders>
            <w:shd w:val="clear"/>
            <w:noWrap w:val="0"/>
            <w:tcMar>
              <w:top w:w="75" w:type="dxa"/>
              <w:left w:w="120" w:type="dxa"/>
              <w:bottom w:w="75" w:type="dxa"/>
              <w:right w:w="120" w:type="dxa"/>
            </w:tcMar>
            <w:vAlign w:val="center"/>
          </w:tcPr>
          <w:p w14:paraId="4718076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03" w:type="dxa"/>
            <w:tcBorders>
              <w:top w:val="nil"/>
              <w:left w:val="nil"/>
              <w:bottom w:val="nil"/>
              <w:right w:val="nil"/>
            </w:tcBorders>
            <w:shd w:val="clear"/>
            <w:noWrap w:val="0"/>
            <w:tcMar>
              <w:top w:w="75" w:type="dxa"/>
              <w:left w:w="120" w:type="dxa"/>
              <w:bottom w:w="75" w:type="dxa"/>
              <w:right w:w="-1" w:type="dxa"/>
            </w:tcMar>
            <w:vAlign w:val="center"/>
          </w:tcPr>
          <w:p w14:paraId="59C51F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2F2A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71F36E0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636" w:type="dxa"/>
            <w:tcBorders>
              <w:top w:val="nil"/>
              <w:left w:val="nil"/>
              <w:bottom w:val="nil"/>
              <w:right w:val="nil"/>
            </w:tcBorders>
            <w:shd w:val="clear"/>
            <w:noWrap w:val="0"/>
            <w:tcMar>
              <w:top w:w="75" w:type="dxa"/>
              <w:left w:w="120" w:type="dxa"/>
              <w:bottom w:w="75" w:type="dxa"/>
              <w:right w:w="120" w:type="dxa"/>
            </w:tcMar>
            <w:vAlign w:val="center"/>
          </w:tcPr>
          <w:p w14:paraId="0BE9431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Weighted median</w:t>
            </w:r>
          </w:p>
        </w:tc>
        <w:tc>
          <w:tcPr>
            <w:tcW w:w="829" w:type="dxa"/>
            <w:tcBorders>
              <w:top w:val="nil"/>
              <w:left w:val="nil"/>
              <w:bottom w:val="nil"/>
              <w:right w:val="nil"/>
            </w:tcBorders>
            <w:shd w:val="clear"/>
            <w:noWrap w:val="0"/>
            <w:tcMar>
              <w:top w:w="75" w:type="dxa"/>
              <w:left w:w="120" w:type="dxa"/>
              <w:bottom w:w="75" w:type="dxa"/>
              <w:right w:w="120" w:type="dxa"/>
            </w:tcMar>
            <w:vAlign w:val="center"/>
          </w:tcPr>
          <w:p w14:paraId="35A7D59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23</w:t>
            </w:r>
          </w:p>
        </w:tc>
        <w:tc>
          <w:tcPr>
            <w:tcW w:w="674" w:type="dxa"/>
            <w:tcBorders>
              <w:top w:val="nil"/>
              <w:left w:val="nil"/>
              <w:bottom w:val="nil"/>
              <w:right w:val="nil"/>
            </w:tcBorders>
            <w:shd w:val="clear"/>
            <w:noWrap w:val="0"/>
            <w:tcMar>
              <w:top w:w="75" w:type="dxa"/>
              <w:left w:w="120" w:type="dxa"/>
              <w:bottom w:w="75" w:type="dxa"/>
              <w:right w:w="120" w:type="dxa"/>
            </w:tcMar>
            <w:vAlign w:val="center"/>
          </w:tcPr>
          <w:p w14:paraId="5F14AF1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2389" w:type="dxa"/>
            <w:tcBorders>
              <w:top w:val="nil"/>
              <w:left w:val="nil"/>
              <w:bottom w:val="nil"/>
              <w:right w:val="nil"/>
            </w:tcBorders>
            <w:shd w:val="clear"/>
            <w:noWrap w:val="0"/>
            <w:tcMar>
              <w:top w:w="75" w:type="dxa"/>
              <w:left w:w="120" w:type="dxa"/>
              <w:bottom w:w="75" w:type="dxa"/>
              <w:right w:w="120" w:type="dxa"/>
            </w:tcMar>
            <w:vAlign w:val="center"/>
          </w:tcPr>
          <w:p w14:paraId="1EB515A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-0.0073 (-0.0082, -0.0064)</w:t>
            </w:r>
          </w:p>
        </w:tc>
        <w:tc>
          <w:tcPr>
            <w:tcW w:w="937" w:type="dxa"/>
            <w:tcBorders>
              <w:top w:val="nil"/>
              <w:left w:val="nil"/>
              <w:bottom w:val="nil"/>
              <w:right w:val="nil"/>
            </w:tcBorders>
            <w:shd w:val="clear"/>
            <w:noWrap w:val="0"/>
            <w:tcMar>
              <w:top w:w="75" w:type="dxa"/>
              <w:left w:w="120" w:type="dxa"/>
              <w:bottom w:w="75" w:type="dxa"/>
              <w:right w:w="120" w:type="dxa"/>
            </w:tcMar>
            <w:vAlign w:val="center"/>
          </w:tcPr>
          <w:p w14:paraId="09096D4A">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709" w:type="dxa"/>
            <w:tcBorders>
              <w:top w:val="nil"/>
              <w:left w:val="nil"/>
              <w:bottom w:val="nil"/>
              <w:right w:val="nil"/>
            </w:tcBorders>
            <w:shd w:val="clear"/>
            <w:noWrap w:val="0"/>
            <w:tcMar>
              <w:top w:w="75" w:type="dxa"/>
              <w:left w:w="120" w:type="dxa"/>
              <w:bottom w:w="75" w:type="dxa"/>
              <w:right w:w="120" w:type="dxa"/>
            </w:tcMar>
            <w:vAlign w:val="center"/>
          </w:tcPr>
          <w:p w14:paraId="0A7D74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03" w:type="dxa"/>
            <w:tcBorders>
              <w:top w:val="nil"/>
              <w:left w:val="nil"/>
              <w:bottom w:val="nil"/>
              <w:right w:val="nil"/>
            </w:tcBorders>
            <w:shd w:val="clear"/>
            <w:noWrap w:val="0"/>
            <w:tcMar>
              <w:top w:w="75" w:type="dxa"/>
              <w:left w:w="120" w:type="dxa"/>
              <w:bottom w:w="75" w:type="dxa"/>
              <w:right w:w="-1" w:type="dxa"/>
            </w:tcMar>
            <w:vAlign w:val="center"/>
          </w:tcPr>
          <w:p w14:paraId="3B13EB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0EDB0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0FAA6C2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636"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7287C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MR-PRESSO (corrected)</w:t>
            </w:r>
          </w:p>
        </w:tc>
        <w:tc>
          <w:tcPr>
            <w:tcW w:w="82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A8CEA5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21</w:t>
            </w:r>
          </w:p>
        </w:tc>
        <w:tc>
          <w:tcPr>
            <w:tcW w:w="674"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8D8EF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238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D8C576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-0.0071 (-0.0084, -0.0058)</w:t>
            </w:r>
          </w:p>
        </w:tc>
        <w:tc>
          <w:tcPr>
            <w:tcW w:w="937"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1425E7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70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38C66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803"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4972F6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bl>
    <w:p w14:paraId="2AD944F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cs="Times New Roman"/>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39BEB0F">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S4. Sensitivity analysis results for IL18 MR</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
        <w:gridCol w:w="1840"/>
        <w:gridCol w:w="1698"/>
        <w:gridCol w:w="917"/>
        <w:gridCol w:w="1069"/>
        <w:gridCol w:w="1120"/>
        <w:gridCol w:w="976"/>
      </w:tblGrid>
      <w:tr w14:paraId="024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904" w:type="dxa"/>
            <w:tcBorders>
              <w:top w:val="single" w:color="auto" w:sz="12" w:space="0"/>
              <w:left w:val="nil"/>
              <w:bottom w:val="nil"/>
              <w:right w:val="nil"/>
            </w:tcBorders>
            <w:shd w:val="clear"/>
            <w:noWrap w:val="0"/>
            <w:tcMar>
              <w:top w:w="75" w:type="dxa"/>
              <w:left w:w="-1" w:type="dxa"/>
              <w:bottom w:w="75" w:type="dxa"/>
              <w:right w:w="120" w:type="dxa"/>
            </w:tcMar>
            <w:vAlign w:val="center"/>
          </w:tcPr>
          <w:p w14:paraId="6B994B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Cancer</w:t>
            </w:r>
          </w:p>
        </w:tc>
        <w:tc>
          <w:tcPr>
            <w:tcW w:w="1847"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59B0116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Method</w:t>
            </w:r>
          </w:p>
        </w:tc>
        <w:tc>
          <w:tcPr>
            <w:tcW w:w="170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69BADBB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β (95% CI)</w:t>
            </w:r>
          </w:p>
        </w:tc>
        <w:tc>
          <w:tcPr>
            <w:tcW w:w="910"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776D7CF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P-value</w:t>
            </w:r>
          </w:p>
        </w:tc>
        <w:tc>
          <w:tcPr>
            <w:tcW w:w="1062"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222DE80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Intercept</w:t>
            </w:r>
          </w:p>
        </w:tc>
        <w:tc>
          <w:tcPr>
            <w:tcW w:w="1121"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3EF23DA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Intercept P</w:t>
            </w:r>
          </w:p>
        </w:tc>
        <w:tc>
          <w:tcPr>
            <w:tcW w:w="96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5402219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Outliers</w:t>
            </w:r>
          </w:p>
        </w:tc>
      </w:tr>
      <w:tr w14:paraId="490B3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04" w:type="dxa"/>
            <w:tcBorders>
              <w:top w:val="single" w:color="auto" w:sz="4" w:space="0"/>
              <w:left w:val="nil"/>
              <w:bottom w:val="nil"/>
              <w:right w:val="nil"/>
            </w:tcBorders>
            <w:shd w:val="clear"/>
            <w:noWrap w:val="0"/>
            <w:tcMar>
              <w:top w:w="75" w:type="dxa"/>
              <w:left w:w="-1" w:type="dxa"/>
              <w:bottom w:w="75" w:type="dxa"/>
              <w:right w:w="120" w:type="dxa"/>
            </w:tcMar>
            <w:vAlign w:val="center"/>
          </w:tcPr>
          <w:p w14:paraId="7C024B2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847"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2C0923B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MR-Egger</w:t>
            </w:r>
          </w:p>
        </w:tc>
        <w:tc>
          <w:tcPr>
            <w:tcW w:w="1709"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2A85A50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-0.0026 (-0.0044, -0.0007)</w:t>
            </w:r>
          </w:p>
        </w:tc>
        <w:tc>
          <w:tcPr>
            <w:tcW w:w="910"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000A78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0.0065</w:t>
            </w:r>
          </w:p>
        </w:tc>
        <w:tc>
          <w:tcPr>
            <w:tcW w:w="1062"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399D193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0.00013</w:t>
            </w:r>
          </w:p>
        </w:tc>
        <w:tc>
          <w:tcPr>
            <w:tcW w:w="1121"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03934CB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0.13</w:t>
            </w:r>
          </w:p>
        </w:tc>
        <w:tc>
          <w:tcPr>
            <w:tcW w:w="969" w:type="dxa"/>
            <w:tcBorders>
              <w:top w:val="single" w:color="auto" w:sz="4" w:space="0"/>
              <w:left w:val="nil"/>
              <w:bottom w:val="nil"/>
              <w:right w:val="nil"/>
            </w:tcBorders>
            <w:shd w:val="clear"/>
            <w:noWrap w:val="0"/>
            <w:tcMar>
              <w:top w:w="75" w:type="dxa"/>
              <w:left w:w="120" w:type="dxa"/>
              <w:bottom w:w="75" w:type="dxa"/>
              <w:right w:w="-1" w:type="dxa"/>
            </w:tcMar>
            <w:vAlign w:val="center"/>
          </w:tcPr>
          <w:p w14:paraId="6CE40B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3EC7B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04" w:type="dxa"/>
            <w:tcBorders>
              <w:top w:val="nil"/>
              <w:left w:val="nil"/>
              <w:bottom w:val="nil"/>
              <w:right w:val="nil"/>
            </w:tcBorders>
            <w:shd w:val="clear"/>
            <w:noWrap w:val="0"/>
            <w:tcMar>
              <w:top w:w="75" w:type="dxa"/>
              <w:left w:w="-1" w:type="dxa"/>
              <w:bottom w:w="75" w:type="dxa"/>
              <w:right w:w="120" w:type="dxa"/>
            </w:tcMar>
            <w:vAlign w:val="center"/>
          </w:tcPr>
          <w:p w14:paraId="7E32003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847" w:type="dxa"/>
            <w:tcBorders>
              <w:top w:val="nil"/>
              <w:left w:val="nil"/>
              <w:bottom w:val="nil"/>
              <w:right w:val="nil"/>
            </w:tcBorders>
            <w:shd w:val="clear"/>
            <w:noWrap w:val="0"/>
            <w:tcMar>
              <w:top w:w="75" w:type="dxa"/>
              <w:left w:w="120" w:type="dxa"/>
              <w:bottom w:w="75" w:type="dxa"/>
              <w:right w:w="120" w:type="dxa"/>
            </w:tcMar>
            <w:vAlign w:val="center"/>
          </w:tcPr>
          <w:p w14:paraId="0BB1F89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Weighted median</w:t>
            </w:r>
          </w:p>
        </w:tc>
        <w:tc>
          <w:tcPr>
            <w:tcW w:w="1709" w:type="dxa"/>
            <w:tcBorders>
              <w:top w:val="nil"/>
              <w:left w:val="nil"/>
              <w:bottom w:val="nil"/>
              <w:right w:val="nil"/>
            </w:tcBorders>
            <w:shd w:val="clear"/>
            <w:noWrap w:val="0"/>
            <w:tcMar>
              <w:top w:w="75" w:type="dxa"/>
              <w:left w:w="120" w:type="dxa"/>
              <w:bottom w:w="75" w:type="dxa"/>
              <w:right w:w="120" w:type="dxa"/>
            </w:tcMar>
            <w:vAlign w:val="center"/>
          </w:tcPr>
          <w:p w14:paraId="6003041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-0.0064 (-0.0069, -0.0058)</w:t>
            </w:r>
          </w:p>
        </w:tc>
        <w:tc>
          <w:tcPr>
            <w:tcW w:w="910" w:type="dxa"/>
            <w:tcBorders>
              <w:top w:val="nil"/>
              <w:left w:val="nil"/>
              <w:bottom w:val="nil"/>
              <w:right w:val="nil"/>
            </w:tcBorders>
            <w:shd w:val="clear"/>
            <w:noWrap w:val="0"/>
            <w:tcMar>
              <w:top w:w="75" w:type="dxa"/>
              <w:left w:w="120" w:type="dxa"/>
              <w:bottom w:w="75" w:type="dxa"/>
              <w:right w:w="120" w:type="dxa"/>
            </w:tcMar>
            <w:vAlign w:val="center"/>
          </w:tcPr>
          <w:p w14:paraId="7FC9AC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1062" w:type="dxa"/>
            <w:tcBorders>
              <w:top w:val="nil"/>
              <w:left w:val="nil"/>
              <w:bottom w:val="nil"/>
              <w:right w:val="nil"/>
            </w:tcBorders>
            <w:shd w:val="clear"/>
            <w:noWrap w:val="0"/>
            <w:tcMar>
              <w:top w:w="75" w:type="dxa"/>
              <w:left w:w="120" w:type="dxa"/>
              <w:bottom w:w="75" w:type="dxa"/>
              <w:right w:w="120" w:type="dxa"/>
            </w:tcMar>
            <w:vAlign w:val="center"/>
          </w:tcPr>
          <w:p w14:paraId="294A34F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1" w:type="dxa"/>
            <w:tcBorders>
              <w:top w:val="nil"/>
              <w:left w:val="nil"/>
              <w:bottom w:val="nil"/>
              <w:right w:val="nil"/>
            </w:tcBorders>
            <w:shd w:val="clear"/>
            <w:noWrap w:val="0"/>
            <w:tcMar>
              <w:top w:w="75" w:type="dxa"/>
              <w:left w:w="120" w:type="dxa"/>
              <w:bottom w:w="75" w:type="dxa"/>
              <w:right w:w="120" w:type="dxa"/>
            </w:tcMar>
            <w:vAlign w:val="center"/>
          </w:tcPr>
          <w:p w14:paraId="38A56C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969" w:type="dxa"/>
            <w:tcBorders>
              <w:top w:val="nil"/>
              <w:left w:val="nil"/>
              <w:bottom w:val="nil"/>
              <w:right w:val="nil"/>
            </w:tcBorders>
            <w:shd w:val="clear"/>
            <w:noWrap w:val="0"/>
            <w:tcMar>
              <w:top w:w="75" w:type="dxa"/>
              <w:left w:w="120" w:type="dxa"/>
              <w:bottom w:w="75" w:type="dxa"/>
              <w:right w:w="-1" w:type="dxa"/>
            </w:tcMar>
            <w:vAlign w:val="center"/>
          </w:tcPr>
          <w:p w14:paraId="1623B38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1D630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04" w:type="dxa"/>
            <w:tcBorders>
              <w:top w:val="nil"/>
              <w:left w:val="nil"/>
              <w:bottom w:val="nil"/>
              <w:right w:val="nil"/>
            </w:tcBorders>
            <w:shd w:val="clear"/>
            <w:noWrap w:val="0"/>
            <w:tcMar>
              <w:top w:w="75" w:type="dxa"/>
              <w:left w:w="-1" w:type="dxa"/>
              <w:bottom w:w="75" w:type="dxa"/>
              <w:right w:w="120" w:type="dxa"/>
            </w:tcMar>
            <w:vAlign w:val="center"/>
          </w:tcPr>
          <w:p w14:paraId="51D4B5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847" w:type="dxa"/>
            <w:tcBorders>
              <w:top w:val="nil"/>
              <w:left w:val="nil"/>
              <w:bottom w:val="nil"/>
              <w:right w:val="nil"/>
            </w:tcBorders>
            <w:shd w:val="clear"/>
            <w:noWrap w:val="0"/>
            <w:tcMar>
              <w:top w:w="75" w:type="dxa"/>
              <w:left w:w="120" w:type="dxa"/>
              <w:bottom w:w="75" w:type="dxa"/>
              <w:right w:w="120" w:type="dxa"/>
            </w:tcMar>
            <w:vAlign w:val="center"/>
          </w:tcPr>
          <w:p w14:paraId="6F5EE11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MR-PRESSO (corrected)</w:t>
            </w:r>
          </w:p>
        </w:tc>
        <w:tc>
          <w:tcPr>
            <w:tcW w:w="1709" w:type="dxa"/>
            <w:tcBorders>
              <w:top w:val="nil"/>
              <w:left w:val="nil"/>
              <w:bottom w:val="nil"/>
              <w:right w:val="nil"/>
            </w:tcBorders>
            <w:shd w:val="clear"/>
            <w:noWrap w:val="0"/>
            <w:tcMar>
              <w:top w:w="75" w:type="dxa"/>
              <w:left w:w="120" w:type="dxa"/>
              <w:bottom w:w="75" w:type="dxa"/>
              <w:right w:w="120" w:type="dxa"/>
            </w:tcMar>
            <w:vAlign w:val="center"/>
          </w:tcPr>
          <w:p w14:paraId="07A974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-0.0058 (-0.0069, -0.0047)</w:t>
            </w:r>
          </w:p>
        </w:tc>
        <w:tc>
          <w:tcPr>
            <w:tcW w:w="910" w:type="dxa"/>
            <w:tcBorders>
              <w:top w:val="nil"/>
              <w:left w:val="nil"/>
              <w:bottom w:val="nil"/>
              <w:right w:val="nil"/>
            </w:tcBorders>
            <w:shd w:val="clear"/>
            <w:noWrap w:val="0"/>
            <w:tcMar>
              <w:top w:w="75" w:type="dxa"/>
              <w:left w:w="120" w:type="dxa"/>
              <w:bottom w:w="75" w:type="dxa"/>
              <w:right w:w="120" w:type="dxa"/>
            </w:tcMar>
            <w:vAlign w:val="center"/>
          </w:tcPr>
          <w:p w14:paraId="2A50CD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1062" w:type="dxa"/>
            <w:tcBorders>
              <w:top w:val="nil"/>
              <w:left w:val="nil"/>
              <w:bottom w:val="nil"/>
              <w:right w:val="nil"/>
            </w:tcBorders>
            <w:shd w:val="clear"/>
            <w:noWrap w:val="0"/>
            <w:tcMar>
              <w:top w:w="75" w:type="dxa"/>
              <w:left w:w="120" w:type="dxa"/>
              <w:bottom w:w="75" w:type="dxa"/>
              <w:right w:w="120" w:type="dxa"/>
            </w:tcMar>
            <w:vAlign w:val="center"/>
          </w:tcPr>
          <w:p w14:paraId="3DB600C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1" w:type="dxa"/>
            <w:tcBorders>
              <w:top w:val="nil"/>
              <w:left w:val="nil"/>
              <w:bottom w:val="nil"/>
              <w:right w:val="nil"/>
            </w:tcBorders>
            <w:shd w:val="clear"/>
            <w:noWrap w:val="0"/>
            <w:tcMar>
              <w:top w:w="75" w:type="dxa"/>
              <w:left w:w="120" w:type="dxa"/>
              <w:bottom w:w="75" w:type="dxa"/>
              <w:right w:w="120" w:type="dxa"/>
            </w:tcMar>
            <w:vAlign w:val="center"/>
          </w:tcPr>
          <w:p w14:paraId="150079B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969" w:type="dxa"/>
            <w:tcBorders>
              <w:top w:val="nil"/>
              <w:left w:val="nil"/>
              <w:bottom w:val="nil"/>
              <w:right w:val="nil"/>
            </w:tcBorders>
            <w:shd w:val="clear"/>
            <w:noWrap w:val="0"/>
            <w:tcMar>
              <w:top w:w="75" w:type="dxa"/>
              <w:left w:w="120" w:type="dxa"/>
              <w:bottom w:w="75" w:type="dxa"/>
              <w:right w:w="-1" w:type="dxa"/>
            </w:tcMar>
            <w:vAlign w:val="center"/>
          </w:tcPr>
          <w:p w14:paraId="107E99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w:t>
            </w:r>
          </w:p>
        </w:tc>
      </w:tr>
      <w:tr w14:paraId="31AE7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04" w:type="dxa"/>
            <w:tcBorders>
              <w:top w:val="nil"/>
              <w:left w:val="nil"/>
              <w:bottom w:val="nil"/>
              <w:right w:val="nil"/>
            </w:tcBorders>
            <w:shd w:val="clear"/>
            <w:noWrap w:val="0"/>
            <w:tcMar>
              <w:top w:w="75" w:type="dxa"/>
              <w:left w:w="-1" w:type="dxa"/>
              <w:bottom w:w="75" w:type="dxa"/>
              <w:right w:w="120" w:type="dxa"/>
            </w:tcMar>
            <w:vAlign w:val="center"/>
          </w:tcPr>
          <w:p w14:paraId="1AE8C2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847" w:type="dxa"/>
            <w:tcBorders>
              <w:top w:val="nil"/>
              <w:left w:val="nil"/>
              <w:bottom w:val="nil"/>
              <w:right w:val="nil"/>
            </w:tcBorders>
            <w:shd w:val="clear"/>
            <w:noWrap w:val="0"/>
            <w:tcMar>
              <w:top w:w="75" w:type="dxa"/>
              <w:left w:w="120" w:type="dxa"/>
              <w:bottom w:w="75" w:type="dxa"/>
              <w:right w:w="120" w:type="dxa"/>
            </w:tcMar>
            <w:vAlign w:val="center"/>
          </w:tcPr>
          <w:p w14:paraId="3F0F3F8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MR-Egger</w:t>
            </w:r>
          </w:p>
        </w:tc>
        <w:tc>
          <w:tcPr>
            <w:tcW w:w="1709" w:type="dxa"/>
            <w:tcBorders>
              <w:top w:val="nil"/>
              <w:left w:val="nil"/>
              <w:bottom w:val="nil"/>
              <w:right w:val="nil"/>
            </w:tcBorders>
            <w:shd w:val="clear"/>
            <w:noWrap w:val="0"/>
            <w:tcMar>
              <w:top w:w="75" w:type="dxa"/>
              <w:left w:w="120" w:type="dxa"/>
              <w:bottom w:w="75" w:type="dxa"/>
              <w:right w:w="120" w:type="dxa"/>
            </w:tcMar>
            <w:vAlign w:val="center"/>
          </w:tcPr>
          <w:p w14:paraId="35E75B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-0.0016 (-0.0030, -0.0002)</w:t>
            </w:r>
          </w:p>
        </w:tc>
        <w:tc>
          <w:tcPr>
            <w:tcW w:w="910" w:type="dxa"/>
            <w:tcBorders>
              <w:top w:val="nil"/>
              <w:left w:val="nil"/>
              <w:bottom w:val="nil"/>
              <w:right w:val="nil"/>
            </w:tcBorders>
            <w:shd w:val="clear"/>
            <w:noWrap w:val="0"/>
            <w:tcMar>
              <w:top w:w="75" w:type="dxa"/>
              <w:left w:w="120" w:type="dxa"/>
              <w:bottom w:w="75" w:type="dxa"/>
              <w:right w:w="120" w:type="dxa"/>
            </w:tcMar>
            <w:vAlign w:val="center"/>
          </w:tcPr>
          <w:p w14:paraId="5A57F3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0.024</w:t>
            </w:r>
          </w:p>
        </w:tc>
        <w:tc>
          <w:tcPr>
            <w:tcW w:w="1062" w:type="dxa"/>
            <w:tcBorders>
              <w:top w:val="nil"/>
              <w:left w:val="nil"/>
              <w:bottom w:val="nil"/>
              <w:right w:val="nil"/>
            </w:tcBorders>
            <w:shd w:val="clear"/>
            <w:noWrap w:val="0"/>
            <w:tcMar>
              <w:top w:w="75" w:type="dxa"/>
              <w:left w:w="120" w:type="dxa"/>
              <w:bottom w:w="75" w:type="dxa"/>
              <w:right w:w="120" w:type="dxa"/>
            </w:tcMar>
            <w:vAlign w:val="center"/>
          </w:tcPr>
          <w:p w14:paraId="604CFD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0.00021</w:t>
            </w:r>
          </w:p>
        </w:tc>
        <w:tc>
          <w:tcPr>
            <w:tcW w:w="1121" w:type="dxa"/>
            <w:tcBorders>
              <w:top w:val="nil"/>
              <w:left w:val="nil"/>
              <w:bottom w:val="nil"/>
              <w:right w:val="nil"/>
            </w:tcBorders>
            <w:shd w:val="clear"/>
            <w:noWrap w:val="0"/>
            <w:tcMar>
              <w:top w:w="75" w:type="dxa"/>
              <w:left w:w="120" w:type="dxa"/>
              <w:bottom w:w="75" w:type="dxa"/>
              <w:right w:w="120" w:type="dxa"/>
            </w:tcMar>
            <w:vAlign w:val="center"/>
          </w:tcPr>
          <w:p w14:paraId="740187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0.02</w:t>
            </w:r>
          </w:p>
        </w:tc>
        <w:tc>
          <w:tcPr>
            <w:tcW w:w="969" w:type="dxa"/>
            <w:tcBorders>
              <w:top w:val="nil"/>
              <w:left w:val="nil"/>
              <w:bottom w:val="nil"/>
              <w:right w:val="nil"/>
            </w:tcBorders>
            <w:shd w:val="clear"/>
            <w:noWrap w:val="0"/>
            <w:tcMar>
              <w:top w:w="75" w:type="dxa"/>
              <w:left w:w="120" w:type="dxa"/>
              <w:bottom w:w="75" w:type="dxa"/>
              <w:right w:w="-1" w:type="dxa"/>
            </w:tcMar>
            <w:vAlign w:val="center"/>
          </w:tcPr>
          <w:p w14:paraId="59899A9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55ADA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04" w:type="dxa"/>
            <w:tcBorders>
              <w:top w:val="nil"/>
              <w:left w:val="nil"/>
              <w:bottom w:val="nil"/>
              <w:right w:val="nil"/>
            </w:tcBorders>
            <w:shd w:val="clear"/>
            <w:noWrap w:val="0"/>
            <w:tcMar>
              <w:top w:w="75" w:type="dxa"/>
              <w:left w:w="-1" w:type="dxa"/>
              <w:bottom w:w="75" w:type="dxa"/>
              <w:right w:w="120" w:type="dxa"/>
            </w:tcMar>
            <w:vAlign w:val="center"/>
          </w:tcPr>
          <w:p w14:paraId="664D928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847" w:type="dxa"/>
            <w:tcBorders>
              <w:top w:val="nil"/>
              <w:left w:val="nil"/>
              <w:bottom w:val="nil"/>
              <w:right w:val="nil"/>
            </w:tcBorders>
            <w:shd w:val="clear"/>
            <w:noWrap w:val="0"/>
            <w:tcMar>
              <w:top w:w="75" w:type="dxa"/>
              <w:left w:w="120" w:type="dxa"/>
              <w:bottom w:w="75" w:type="dxa"/>
              <w:right w:w="120" w:type="dxa"/>
            </w:tcMar>
            <w:vAlign w:val="center"/>
          </w:tcPr>
          <w:p w14:paraId="02C853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Weighted median</w:t>
            </w:r>
          </w:p>
        </w:tc>
        <w:tc>
          <w:tcPr>
            <w:tcW w:w="1709" w:type="dxa"/>
            <w:tcBorders>
              <w:top w:val="nil"/>
              <w:left w:val="nil"/>
              <w:bottom w:val="nil"/>
              <w:right w:val="nil"/>
            </w:tcBorders>
            <w:shd w:val="clear"/>
            <w:noWrap w:val="0"/>
            <w:tcMar>
              <w:top w:w="75" w:type="dxa"/>
              <w:left w:w="120" w:type="dxa"/>
              <w:bottom w:w="75" w:type="dxa"/>
              <w:right w:w="120" w:type="dxa"/>
            </w:tcMar>
            <w:vAlign w:val="center"/>
          </w:tcPr>
          <w:p w14:paraId="72F852A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-0.0073 (-0.0082, -0.0064)</w:t>
            </w:r>
          </w:p>
        </w:tc>
        <w:tc>
          <w:tcPr>
            <w:tcW w:w="910" w:type="dxa"/>
            <w:tcBorders>
              <w:top w:val="nil"/>
              <w:left w:val="nil"/>
              <w:bottom w:val="nil"/>
              <w:right w:val="nil"/>
            </w:tcBorders>
            <w:shd w:val="clear"/>
            <w:noWrap w:val="0"/>
            <w:tcMar>
              <w:top w:w="75" w:type="dxa"/>
              <w:left w:w="120" w:type="dxa"/>
              <w:bottom w:w="75" w:type="dxa"/>
              <w:right w:w="120" w:type="dxa"/>
            </w:tcMar>
            <w:vAlign w:val="center"/>
          </w:tcPr>
          <w:p w14:paraId="5A850EF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1062" w:type="dxa"/>
            <w:tcBorders>
              <w:top w:val="nil"/>
              <w:left w:val="nil"/>
              <w:bottom w:val="nil"/>
              <w:right w:val="nil"/>
            </w:tcBorders>
            <w:shd w:val="clear"/>
            <w:noWrap w:val="0"/>
            <w:tcMar>
              <w:top w:w="75" w:type="dxa"/>
              <w:left w:w="120" w:type="dxa"/>
              <w:bottom w:w="75" w:type="dxa"/>
              <w:right w:w="120" w:type="dxa"/>
            </w:tcMar>
            <w:vAlign w:val="center"/>
          </w:tcPr>
          <w:p w14:paraId="0ABEC93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1" w:type="dxa"/>
            <w:tcBorders>
              <w:top w:val="nil"/>
              <w:left w:val="nil"/>
              <w:bottom w:val="nil"/>
              <w:right w:val="nil"/>
            </w:tcBorders>
            <w:shd w:val="clear"/>
            <w:noWrap w:val="0"/>
            <w:tcMar>
              <w:top w:w="75" w:type="dxa"/>
              <w:left w:w="120" w:type="dxa"/>
              <w:bottom w:w="75" w:type="dxa"/>
              <w:right w:w="120" w:type="dxa"/>
            </w:tcMar>
            <w:vAlign w:val="center"/>
          </w:tcPr>
          <w:p w14:paraId="0346D97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969" w:type="dxa"/>
            <w:tcBorders>
              <w:top w:val="nil"/>
              <w:left w:val="nil"/>
              <w:bottom w:val="nil"/>
              <w:right w:val="nil"/>
            </w:tcBorders>
            <w:shd w:val="clear"/>
            <w:noWrap w:val="0"/>
            <w:tcMar>
              <w:top w:w="75" w:type="dxa"/>
              <w:left w:w="120" w:type="dxa"/>
              <w:bottom w:w="75" w:type="dxa"/>
              <w:right w:w="-1" w:type="dxa"/>
            </w:tcMar>
            <w:vAlign w:val="center"/>
          </w:tcPr>
          <w:p w14:paraId="366195D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r>
      <w:tr w14:paraId="7E3B3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04"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29F89A8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847"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92F24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MR-PRESSO (corrected)</w:t>
            </w:r>
          </w:p>
        </w:tc>
        <w:tc>
          <w:tcPr>
            <w:tcW w:w="170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50EB7F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-0.0071 (-0.0084, -0.0058)</w:t>
            </w:r>
          </w:p>
        </w:tc>
        <w:tc>
          <w:tcPr>
            <w:tcW w:w="910"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D48B0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&lt;0.001</w:t>
            </w:r>
          </w:p>
        </w:tc>
        <w:tc>
          <w:tcPr>
            <w:tcW w:w="1062"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65607D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1121"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18021A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w:t>
            </w:r>
          </w:p>
        </w:tc>
        <w:tc>
          <w:tcPr>
            <w:tcW w:w="969"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7271E32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w:t>
            </w:r>
          </w:p>
        </w:tc>
      </w:tr>
    </w:tbl>
    <w:p w14:paraId="634FCC8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cs="Times New Roman"/>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336036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S5. Mediation analysis results for IL18 effect via immune cell counts</w:t>
      </w:r>
    </w:p>
    <w:tbl>
      <w:tblPr>
        <w:tblW w:w="92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2"/>
        <w:gridCol w:w="1302"/>
        <w:gridCol w:w="1624"/>
        <w:gridCol w:w="1671"/>
        <w:gridCol w:w="2618"/>
        <w:gridCol w:w="1232"/>
      </w:tblGrid>
      <w:tr w14:paraId="01F21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803" w:type="dxa"/>
            <w:tcBorders>
              <w:top w:val="single" w:color="auto" w:sz="12" w:space="0"/>
              <w:left w:val="nil"/>
              <w:bottom w:val="nil"/>
              <w:right w:val="nil"/>
            </w:tcBorders>
            <w:shd w:val="clear"/>
            <w:noWrap w:val="0"/>
            <w:tcMar>
              <w:top w:w="75" w:type="dxa"/>
              <w:left w:w="-1" w:type="dxa"/>
              <w:bottom w:w="75" w:type="dxa"/>
              <w:right w:w="120" w:type="dxa"/>
            </w:tcMar>
            <w:vAlign w:val="center"/>
          </w:tcPr>
          <w:p w14:paraId="5C673B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Cancer</w:t>
            </w:r>
          </w:p>
        </w:tc>
        <w:tc>
          <w:tcPr>
            <w:tcW w:w="1211"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0052D98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Mediator</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18A9E9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kern w:val="0"/>
                <w:sz w:val="21"/>
                <w:szCs w:val="21"/>
                <w:bdr w:val="none" w:color="auto" w:sz="0" w:space="0"/>
                <w:lang w:val="en-US" w:eastAsia="zh-CN" w:bidi="ar"/>
              </w:rPr>
            </w:pPr>
            <w:r>
              <w:rPr>
                <w:rFonts w:hint="default" w:ascii="Times New Roman" w:hAnsi="Times New Roman" w:eastAsia="Segoe UI" w:cs="Times New Roman"/>
                <w:b/>
                <w:kern w:val="0"/>
                <w:sz w:val="21"/>
                <w:szCs w:val="21"/>
                <w:bdr w:val="none" w:color="auto" w:sz="0" w:space="0"/>
                <w:lang w:val="en-US" w:eastAsia="zh-CN" w:bidi="ar"/>
              </w:rPr>
              <w:t xml:space="preserve">a (IL18→Med) β </w:t>
            </w:r>
          </w:p>
          <w:p w14:paraId="4C765CD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(SE)</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645E31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kern w:val="0"/>
                <w:sz w:val="21"/>
                <w:szCs w:val="21"/>
                <w:bdr w:val="none" w:color="auto" w:sz="0" w:space="0"/>
                <w:lang w:val="en-US" w:eastAsia="zh-CN" w:bidi="ar"/>
              </w:rPr>
            </w:pPr>
            <w:r>
              <w:rPr>
                <w:rFonts w:hint="default" w:ascii="Times New Roman" w:hAnsi="Times New Roman" w:eastAsia="Segoe UI" w:cs="Times New Roman"/>
                <w:b/>
                <w:kern w:val="0"/>
                <w:sz w:val="21"/>
                <w:szCs w:val="21"/>
                <w:bdr w:val="none" w:color="auto" w:sz="0" w:space="0"/>
                <w:lang w:val="en-US" w:eastAsia="zh-CN" w:bidi="ar"/>
              </w:rPr>
              <w:t xml:space="preserve">b (Med→Lung) β </w:t>
            </w:r>
          </w:p>
          <w:p w14:paraId="763EAC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(SE)</w:t>
            </w:r>
          </w:p>
        </w:tc>
        <w:tc>
          <w:tcPr>
            <w:tcW w:w="2704"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00181BF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kern w:val="0"/>
                <w:sz w:val="21"/>
                <w:szCs w:val="21"/>
                <w:bdr w:val="none" w:color="auto" w:sz="0" w:space="0"/>
                <w:lang w:val="en-US" w:eastAsia="zh-CN" w:bidi="ar"/>
              </w:rPr>
            </w:pPr>
            <w:r>
              <w:rPr>
                <w:rFonts w:hint="default" w:ascii="Times New Roman" w:hAnsi="Times New Roman" w:eastAsia="Segoe UI" w:cs="Times New Roman"/>
                <w:b/>
                <w:kern w:val="0"/>
                <w:sz w:val="21"/>
                <w:szCs w:val="21"/>
                <w:bdr w:val="none" w:color="auto" w:sz="0" w:space="0"/>
                <w:lang w:val="en-US" w:eastAsia="zh-CN" w:bidi="ar"/>
              </w:rPr>
              <w:t xml:space="preserve">Indirect effect </w:t>
            </w:r>
          </w:p>
          <w:p w14:paraId="344653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(95% CI)</w:t>
            </w:r>
          </w:p>
        </w:tc>
        <w:tc>
          <w:tcPr>
            <w:tcW w:w="1214"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2B96504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Proportion mediated</w:t>
            </w:r>
          </w:p>
        </w:tc>
      </w:tr>
      <w:tr w14:paraId="5A716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single" w:color="auto" w:sz="4" w:space="0"/>
              <w:left w:val="nil"/>
              <w:bottom w:val="nil"/>
              <w:right w:val="nil"/>
            </w:tcBorders>
            <w:shd w:val="clear"/>
            <w:noWrap w:val="0"/>
            <w:tcMar>
              <w:top w:w="75" w:type="dxa"/>
              <w:left w:w="-1" w:type="dxa"/>
              <w:bottom w:w="75" w:type="dxa"/>
              <w:right w:w="120" w:type="dxa"/>
            </w:tcMar>
            <w:vAlign w:val="center"/>
          </w:tcPr>
          <w:p w14:paraId="55FAE12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211"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440406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Lymphocyte</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663630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-0.1131 (0.0079)</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1A0B3C0A">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0.0023 (0.0001)</w:t>
            </w:r>
          </w:p>
        </w:tc>
        <w:tc>
          <w:tcPr>
            <w:tcW w:w="2704"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42E4CBD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-0.00026 (-0.00030, -0.00020)</w:t>
            </w:r>
          </w:p>
        </w:tc>
        <w:tc>
          <w:tcPr>
            <w:tcW w:w="1214" w:type="dxa"/>
            <w:tcBorders>
              <w:top w:val="single" w:color="auto" w:sz="4" w:space="0"/>
              <w:left w:val="nil"/>
              <w:bottom w:val="nil"/>
              <w:right w:val="nil"/>
            </w:tcBorders>
            <w:shd w:val="clear"/>
            <w:noWrap w:val="0"/>
            <w:tcMar>
              <w:top w:w="75" w:type="dxa"/>
              <w:left w:w="120" w:type="dxa"/>
              <w:bottom w:w="75" w:type="dxa"/>
              <w:right w:w="-1" w:type="dxa"/>
            </w:tcMar>
            <w:vAlign w:val="center"/>
          </w:tcPr>
          <w:p w14:paraId="19F8DCFD">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5.0%</w:t>
            </w:r>
          </w:p>
        </w:tc>
      </w:tr>
      <w:tr w14:paraId="32FCA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6243614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211" w:type="dxa"/>
            <w:tcBorders>
              <w:top w:val="nil"/>
              <w:left w:val="nil"/>
              <w:bottom w:val="nil"/>
              <w:right w:val="nil"/>
            </w:tcBorders>
            <w:shd w:val="clear"/>
            <w:noWrap w:val="0"/>
            <w:tcMar>
              <w:top w:w="75" w:type="dxa"/>
              <w:left w:w="120" w:type="dxa"/>
              <w:bottom w:w="75" w:type="dxa"/>
              <w:right w:w="120" w:type="dxa"/>
            </w:tcMar>
            <w:vAlign w:val="center"/>
          </w:tcPr>
          <w:p w14:paraId="63997C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Lymphocyte</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9995A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-0.1303 (0.0136)</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2C6AE84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0.0023 (0.0001)</w:t>
            </w:r>
          </w:p>
        </w:tc>
        <w:tc>
          <w:tcPr>
            <w:tcW w:w="2704" w:type="dxa"/>
            <w:tcBorders>
              <w:top w:val="nil"/>
              <w:left w:val="nil"/>
              <w:bottom w:val="nil"/>
              <w:right w:val="nil"/>
            </w:tcBorders>
            <w:shd w:val="clear"/>
            <w:noWrap w:val="0"/>
            <w:tcMar>
              <w:top w:w="75" w:type="dxa"/>
              <w:left w:w="120" w:type="dxa"/>
              <w:bottom w:w="75" w:type="dxa"/>
              <w:right w:w="120" w:type="dxa"/>
            </w:tcMar>
            <w:vAlign w:val="center"/>
          </w:tcPr>
          <w:p w14:paraId="2A4DAA2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-0.00030 (-0.00035, -0.00023)</w:t>
            </w:r>
          </w:p>
        </w:tc>
        <w:tc>
          <w:tcPr>
            <w:tcW w:w="1214" w:type="dxa"/>
            <w:tcBorders>
              <w:top w:val="nil"/>
              <w:left w:val="nil"/>
              <w:bottom w:val="nil"/>
              <w:right w:val="nil"/>
            </w:tcBorders>
            <w:shd w:val="clear"/>
            <w:noWrap w:val="0"/>
            <w:tcMar>
              <w:top w:w="75" w:type="dxa"/>
              <w:left w:w="120" w:type="dxa"/>
              <w:bottom w:w="75" w:type="dxa"/>
              <w:right w:w="-1" w:type="dxa"/>
            </w:tcMar>
            <w:vAlign w:val="center"/>
          </w:tcPr>
          <w:p w14:paraId="4C447390">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4.9%</w:t>
            </w:r>
          </w:p>
        </w:tc>
      </w:tr>
      <w:tr w14:paraId="429E4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nil"/>
              <w:right w:val="nil"/>
            </w:tcBorders>
            <w:shd w:val="clear"/>
            <w:noWrap w:val="0"/>
            <w:tcMar>
              <w:top w:w="75" w:type="dxa"/>
              <w:left w:w="-1" w:type="dxa"/>
              <w:bottom w:w="75" w:type="dxa"/>
              <w:right w:w="120" w:type="dxa"/>
            </w:tcMar>
            <w:vAlign w:val="center"/>
          </w:tcPr>
          <w:p w14:paraId="3F7751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211" w:type="dxa"/>
            <w:tcBorders>
              <w:top w:val="nil"/>
              <w:left w:val="nil"/>
              <w:bottom w:val="nil"/>
              <w:right w:val="nil"/>
            </w:tcBorders>
            <w:shd w:val="clear"/>
            <w:noWrap w:val="0"/>
            <w:tcMar>
              <w:top w:w="75" w:type="dxa"/>
              <w:left w:w="120" w:type="dxa"/>
              <w:bottom w:w="75" w:type="dxa"/>
              <w:right w:w="120" w:type="dxa"/>
            </w:tcMar>
            <w:vAlign w:val="center"/>
          </w:tcPr>
          <w:p w14:paraId="6CA329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Monocyte</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464F50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-0.1013 (0.0082)</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04A04E3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0.0035 (0.0001)</w:t>
            </w:r>
          </w:p>
        </w:tc>
        <w:tc>
          <w:tcPr>
            <w:tcW w:w="2704" w:type="dxa"/>
            <w:tcBorders>
              <w:top w:val="nil"/>
              <w:left w:val="nil"/>
              <w:bottom w:val="nil"/>
              <w:right w:val="nil"/>
            </w:tcBorders>
            <w:shd w:val="clear"/>
            <w:noWrap w:val="0"/>
            <w:tcMar>
              <w:top w:w="75" w:type="dxa"/>
              <w:left w:w="120" w:type="dxa"/>
              <w:bottom w:w="75" w:type="dxa"/>
              <w:right w:w="120" w:type="dxa"/>
            </w:tcMar>
            <w:vAlign w:val="center"/>
          </w:tcPr>
          <w:p w14:paraId="179052D7">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-0.00035 (-0.00040, -0.00027)</w:t>
            </w:r>
          </w:p>
        </w:tc>
        <w:tc>
          <w:tcPr>
            <w:tcW w:w="1214" w:type="dxa"/>
            <w:tcBorders>
              <w:top w:val="nil"/>
              <w:left w:val="nil"/>
              <w:bottom w:val="nil"/>
              <w:right w:val="nil"/>
            </w:tcBorders>
            <w:shd w:val="clear"/>
            <w:noWrap w:val="0"/>
            <w:tcMar>
              <w:top w:w="75" w:type="dxa"/>
              <w:left w:w="120" w:type="dxa"/>
              <w:bottom w:w="75" w:type="dxa"/>
              <w:right w:w="-1" w:type="dxa"/>
            </w:tcMar>
            <w:vAlign w:val="center"/>
          </w:tcPr>
          <w:p w14:paraId="2D48AF8A">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6.8%</w:t>
            </w:r>
          </w:p>
        </w:tc>
      </w:tr>
      <w:tr w14:paraId="314F6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03"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37883A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211"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CDC4C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Monocyte</w:t>
            </w:r>
          </w:p>
        </w:tc>
        <w:tc>
          <w:tcPr>
            <w:tcW w:w="1635"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D655B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-0.1158 (0.0121)</w:t>
            </w:r>
          </w:p>
        </w:tc>
        <w:tc>
          <w:tcPr>
            <w:tcW w:w="1682"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5784D51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0.0035 (0.0001)</w:t>
            </w:r>
          </w:p>
        </w:tc>
        <w:tc>
          <w:tcPr>
            <w:tcW w:w="2704"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7003FB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-0.00040 (-0.00046, -0.00032)</w:t>
            </w:r>
          </w:p>
        </w:tc>
        <w:tc>
          <w:tcPr>
            <w:tcW w:w="1214"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495ECF2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6.6%</w:t>
            </w:r>
          </w:p>
        </w:tc>
      </w:tr>
    </w:tbl>
    <w:p w14:paraId="57F0B17C">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cs="Times New Roman"/>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1500D5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S6. Multivariable Mendelian randomization results for IL18 and IL18R1 in LUAD</w:t>
      </w:r>
    </w:p>
    <w:tbl>
      <w:tblPr>
        <w:tblW w:w="84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0"/>
        <w:gridCol w:w="4019"/>
        <w:gridCol w:w="1495"/>
        <w:gridCol w:w="1429"/>
      </w:tblGrid>
      <w:tr w14:paraId="7C4C6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noWrap w:val="0"/>
            <w:tcMar>
              <w:top w:w="75" w:type="dxa"/>
              <w:left w:w="-1" w:type="dxa"/>
              <w:bottom w:w="75" w:type="dxa"/>
              <w:right w:w="120" w:type="dxa"/>
            </w:tcMar>
            <w:vAlign w:val="center"/>
          </w:tcPr>
          <w:p w14:paraId="59A54CD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Exposure</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6EB47E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β (95% CI)</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719DE32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SE</w:t>
            </w:r>
          </w:p>
        </w:tc>
        <w:tc>
          <w:tcPr>
            <w:tcW w:w="142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28E1E3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P-value</w:t>
            </w:r>
          </w:p>
        </w:tc>
      </w:tr>
      <w:tr w14:paraId="235C2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noWrap w:val="0"/>
            <w:tcMar>
              <w:top w:w="75" w:type="dxa"/>
              <w:left w:w="-1" w:type="dxa"/>
              <w:bottom w:w="75" w:type="dxa"/>
              <w:right w:w="120" w:type="dxa"/>
            </w:tcMar>
            <w:vAlign w:val="center"/>
          </w:tcPr>
          <w:p w14:paraId="3EEB27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IL18</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06BA50EE">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-0.0026 (-0.0043, -0.0010)</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00AAC80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0.00086</w:t>
            </w:r>
          </w:p>
        </w:tc>
        <w:tc>
          <w:tcPr>
            <w:tcW w:w="1429" w:type="dxa"/>
            <w:tcBorders>
              <w:top w:val="single" w:color="auto" w:sz="4" w:space="0"/>
              <w:left w:val="nil"/>
              <w:bottom w:val="nil"/>
              <w:right w:val="nil"/>
            </w:tcBorders>
            <w:shd w:val="clear"/>
            <w:noWrap w:val="0"/>
            <w:tcMar>
              <w:top w:w="75" w:type="dxa"/>
              <w:left w:w="120" w:type="dxa"/>
              <w:bottom w:w="75" w:type="dxa"/>
              <w:right w:w="-1" w:type="dxa"/>
            </w:tcMar>
            <w:vAlign w:val="center"/>
          </w:tcPr>
          <w:p w14:paraId="25C53336">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0.005</w:t>
            </w:r>
          </w:p>
        </w:tc>
      </w:tr>
      <w:tr w14:paraId="7C10B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0"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709109C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IL18R1</w:t>
            </w:r>
          </w:p>
        </w:tc>
        <w:tc>
          <w:tcPr>
            <w:tcW w:w="401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27BC43A">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0.0083 (0.0028, 0.0139)</w:t>
            </w:r>
          </w:p>
        </w:tc>
        <w:tc>
          <w:tcPr>
            <w:tcW w:w="1495"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8FF5679">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0.00285</w:t>
            </w:r>
          </w:p>
        </w:tc>
        <w:tc>
          <w:tcPr>
            <w:tcW w:w="1429"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64B74508">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0.007</w:t>
            </w:r>
          </w:p>
        </w:tc>
      </w:tr>
    </w:tbl>
    <w:p w14:paraId="6F937CC1">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*Model adjusted for both exposures simultaneously using weighted linear regression. N SNPs = 31.*</w:t>
      </w:r>
    </w:p>
    <w:p w14:paraId="707FA506">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768163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S7. Immune toxicity subtype clustering results</w:t>
      </w:r>
    </w:p>
    <w:tbl>
      <w:tblPr>
        <w:tblW w:w="84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5"/>
        <w:gridCol w:w="2629"/>
        <w:gridCol w:w="4609"/>
      </w:tblGrid>
      <w:tr w14:paraId="21711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noWrap w:val="0"/>
            <w:tcMar>
              <w:top w:w="75" w:type="dxa"/>
              <w:left w:w="-1" w:type="dxa"/>
              <w:bottom w:w="75" w:type="dxa"/>
              <w:right w:w="120" w:type="dxa"/>
            </w:tcMar>
            <w:vAlign w:val="center"/>
          </w:tcPr>
          <w:p w14:paraId="6272739C">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Subtype</w:t>
            </w:r>
          </w:p>
        </w:tc>
        <w:tc>
          <w:tcPr>
            <w:tcW w:w="0" w:type="auto"/>
            <w:tcBorders>
              <w:top w:val="single" w:color="auto" w:sz="12" w:space="0"/>
              <w:left w:val="nil"/>
              <w:bottom w:val="nil"/>
              <w:right w:val="nil"/>
            </w:tcBorders>
            <w:shd w:val="clear"/>
            <w:noWrap w:val="0"/>
            <w:tcMar>
              <w:top w:w="75" w:type="dxa"/>
              <w:left w:w="120" w:type="dxa"/>
              <w:bottom w:w="75" w:type="dxa"/>
              <w:right w:w="120" w:type="dxa"/>
            </w:tcMar>
            <w:vAlign w:val="center"/>
          </w:tcPr>
          <w:p w14:paraId="5D536E55">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Included traits</w:t>
            </w:r>
          </w:p>
        </w:tc>
        <w:tc>
          <w:tcPr>
            <w:tcW w:w="4609"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044B28C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Interpretation</w:t>
            </w:r>
          </w:p>
        </w:tc>
      </w:tr>
      <w:tr w14:paraId="270D9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noWrap w:val="0"/>
            <w:tcMar>
              <w:top w:w="75" w:type="dxa"/>
              <w:left w:w="-1" w:type="dxa"/>
              <w:bottom w:w="75" w:type="dxa"/>
              <w:right w:w="120" w:type="dxa"/>
            </w:tcMar>
            <w:vAlign w:val="center"/>
          </w:tcPr>
          <w:p w14:paraId="13EF9F8E">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w:t>
            </w:r>
          </w:p>
        </w:tc>
        <w:tc>
          <w:tcPr>
            <w:tcW w:w="0" w:type="auto"/>
            <w:tcBorders>
              <w:top w:val="single" w:color="auto" w:sz="4" w:space="0"/>
              <w:left w:val="nil"/>
              <w:bottom w:val="nil"/>
              <w:right w:val="nil"/>
            </w:tcBorders>
            <w:shd w:val="clear"/>
            <w:noWrap w:val="0"/>
            <w:tcMar>
              <w:top w:w="75" w:type="dxa"/>
              <w:left w:w="120" w:type="dxa"/>
              <w:bottom w:w="75" w:type="dxa"/>
              <w:right w:w="120" w:type="dxa"/>
            </w:tcMar>
            <w:vAlign w:val="center"/>
          </w:tcPr>
          <w:p w14:paraId="0FF9C74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IL1B, IL18, TNFa</w:t>
            </w:r>
          </w:p>
        </w:tc>
        <w:tc>
          <w:tcPr>
            <w:tcW w:w="4609" w:type="dxa"/>
            <w:tcBorders>
              <w:top w:val="single" w:color="auto" w:sz="4" w:space="0"/>
              <w:left w:val="nil"/>
              <w:bottom w:val="nil"/>
              <w:right w:val="nil"/>
            </w:tcBorders>
            <w:shd w:val="clear"/>
            <w:noWrap w:val="0"/>
            <w:tcMar>
              <w:top w:w="75" w:type="dxa"/>
              <w:left w:w="120" w:type="dxa"/>
              <w:bottom w:w="75" w:type="dxa"/>
              <w:right w:w="-1" w:type="dxa"/>
            </w:tcMar>
            <w:vAlign w:val="center"/>
          </w:tcPr>
          <w:p w14:paraId="3501D205">
            <w:pPr>
              <w:keepNext/>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Pro</w:t>
            </w:r>
            <w:r>
              <w:rPr>
                <w:rFonts w:hint="default" w:ascii="Times New Roman" w:hAnsi="Times New Roman" w:eastAsia="Segoe UI" w:cs="Times New Roman"/>
                <w:kern w:val="0"/>
                <w:sz w:val="21"/>
                <w:szCs w:val="21"/>
                <w:bdr w:val="none" w:color="auto" w:sz="0" w:space="0"/>
                <w:lang w:val="en-US" w:eastAsia="zh-CN" w:bidi="ar"/>
              </w:rPr>
              <w:noBreakHyphen/>
            </w:r>
            <w:r>
              <w:rPr>
                <w:rFonts w:hint="default" w:ascii="Times New Roman" w:hAnsi="Times New Roman" w:eastAsia="Segoe UI" w:cs="Times New Roman"/>
                <w:kern w:val="0"/>
                <w:sz w:val="21"/>
                <w:szCs w:val="21"/>
                <w:bdr w:val="none" w:color="auto" w:sz="0" w:space="0"/>
                <w:lang w:val="en-US" w:eastAsia="zh-CN" w:bidi="ar"/>
              </w:rPr>
              <w:t>inflammatory cytokine subtype</w:t>
            </w:r>
          </w:p>
        </w:tc>
      </w:tr>
      <w:tr w14:paraId="01F25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7562AA63">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1</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10FFD7E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inflammation</w:t>
            </w:r>
          </w:p>
        </w:tc>
        <w:tc>
          <w:tcPr>
            <w:tcW w:w="4609" w:type="dxa"/>
            <w:tcBorders>
              <w:top w:val="nil"/>
              <w:left w:val="nil"/>
              <w:bottom w:val="nil"/>
              <w:right w:val="nil"/>
            </w:tcBorders>
            <w:shd w:val="clear"/>
            <w:noWrap w:val="0"/>
            <w:tcMar>
              <w:top w:w="75" w:type="dxa"/>
              <w:left w:w="120" w:type="dxa"/>
              <w:bottom w:w="75" w:type="dxa"/>
              <w:right w:w="-1" w:type="dxa"/>
            </w:tcMar>
            <w:vAlign w:val="center"/>
          </w:tcPr>
          <w:p w14:paraId="4D3343B7">
            <w:pPr>
              <w:keepNext/>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Inflammatory load subtype</w:t>
            </w:r>
          </w:p>
        </w:tc>
      </w:tr>
      <w:tr w14:paraId="5719D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75" w:type="dxa"/>
              <w:left w:w="-1" w:type="dxa"/>
              <w:bottom w:w="75" w:type="dxa"/>
              <w:right w:w="120" w:type="dxa"/>
            </w:tcMar>
            <w:vAlign w:val="center"/>
          </w:tcPr>
          <w:p w14:paraId="6B19F4E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2</w:t>
            </w:r>
          </w:p>
        </w:tc>
        <w:tc>
          <w:tcPr>
            <w:tcW w:w="0" w:type="auto"/>
            <w:tcBorders>
              <w:top w:val="nil"/>
              <w:left w:val="nil"/>
              <w:bottom w:val="nil"/>
              <w:right w:val="nil"/>
            </w:tcBorders>
            <w:shd w:val="clear"/>
            <w:noWrap w:val="0"/>
            <w:tcMar>
              <w:top w:w="75" w:type="dxa"/>
              <w:left w:w="120" w:type="dxa"/>
              <w:bottom w:w="75" w:type="dxa"/>
              <w:right w:w="120" w:type="dxa"/>
            </w:tcMar>
            <w:vAlign w:val="center"/>
          </w:tcPr>
          <w:p w14:paraId="68D6146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lymphocyte</w:t>
            </w:r>
          </w:p>
        </w:tc>
        <w:tc>
          <w:tcPr>
            <w:tcW w:w="4609" w:type="dxa"/>
            <w:tcBorders>
              <w:top w:val="nil"/>
              <w:left w:val="nil"/>
              <w:bottom w:val="nil"/>
              <w:right w:val="nil"/>
            </w:tcBorders>
            <w:shd w:val="clear"/>
            <w:noWrap w:val="0"/>
            <w:tcMar>
              <w:top w:w="75" w:type="dxa"/>
              <w:left w:w="120" w:type="dxa"/>
              <w:bottom w:w="75" w:type="dxa"/>
              <w:right w:w="-1" w:type="dxa"/>
            </w:tcMar>
            <w:vAlign w:val="center"/>
          </w:tcPr>
          <w:p w14:paraId="1905E440">
            <w:pPr>
              <w:keepNext/>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Adaptive immunity subtype</w:t>
            </w:r>
          </w:p>
        </w:tc>
      </w:tr>
      <w:tr w14:paraId="080B8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5"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649E2D74">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3</w:t>
            </w:r>
          </w:p>
        </w:tc>
        <w:tc>
          <w:tcPr>
            <w:tcW w:w="2629"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3D26F41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monocyte</w:t>
            </w:r>
          </w:p>
        </w:tc>
        <w:tc>
          <w:tcPr>
            <w:tcW w:w="4609"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06618DA9">
            <w:pPr>
              <w:keepNext/>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Innate myeloid subtype</w:t>
            </w:r>
          </w:p>
        </w:tc>
      </w:tr>
    </w:tbl>
    <w:p w14:paraId="4D5BDAC0">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*Silhouette score = 0.494 (moderate separation).*</w:t>
      </w:r>
    </w:p>
    <w:p w14:paraId="07D96C8E">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8FA9D3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Table S8. MR-PRESSO outlier SNP details</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1"/>
        <w:gridCol w:w="1566"/>
        <w:gridCol w:w="1125"/>
        <w:gridCol w:w="1101"/>
        <w:gridCol w:w="1383"/>
        <w:gridCol w:w="2476"/>
      </w:tblGrid>
      <w:tr w14:paraId="44537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0" w:hRule="atLeast"/>
          <w:tblHeader/>
          <w:jc w:val="center"/>
        </w:trPr>
        <w:tc>
          <w:tcPr>
            <w:tcW w:w="872" w:type="dxa"/>
            <w:tcBorders>
              <w:top w:val="single" w:color="auto" w:sz="12" w:space="0"/>
              <w:left w:val="nil"/>
              <w:bottom w:val="nil"/>
              <w:right w:val="nil"/>
            </w:tcBorders>
            <w:shd w:val="clear"/>
            <w:noWrap w:val="0"/>
            <w:tcMar>
              <w:top w:w="75" w:type="dxa"/>
              <w:left w:w="-1" w:type="dxa"/>
              <w:bottom w:w="75" w:type="dxa"/>
              <w:right w:w="120" w:type="dxa"/>
            </w:tcMar>
            <w:vAlign w:val="center"/>
          </w:tcPr>
          <w:p w14:paraId="177BC1A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Cancer</w:t>
            </w:r>
          </w:p>
        </w:tc>
        <w:tc>
          <w:tcPr>
            <w:tcW w:w="1566"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511230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Outlier SNP(s)</w:t>
            </w:r>
          </w:p>
        </w:tc>
        <w:tc>
          <w:tcPr>
            <w:tcW w:w="1125"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61BB56A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Global Test P</w:t>
            </w:r>
          </w:p>
        </w:tc>
        <w:tc>
          <w:tcPr>
            <w:tcW w:w="1101"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2668EC1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Raw IVW β</w:t>
            </w:r>
          </w:p>
        </w:tc>
        <w:tc>
          <w:tcPr>
            <w:tcW w:w="1383"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1A3DF4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Corrected IVW β</w:t>
            </w:r>
          </w:p>
        </w:tc>
        <w:tc>
          <w:tcPr>
            <w:tcW w:w="2476" w:type="dxa"/>
            <w:tcBorders>
              <w:top w:val="single" w:color="auto" w:sz="12" w:space="0"/>
              <w:left w:val="nil"/>
              <w:bottom w:val="nil"/>
              <w:right w:val="nil"/>
            </w:tcBorders>
            <w:shd w:val="clear"/>
            <w:noWrap w:val="0"/>
            <w:tcMar>
              <w:top w:w="75" w:type="dxa"/>
              <w:left w:w="120" w:type="dxa"/>
              <w:bottom w:w="75" w:type="dxa"/>
              <w:right w:w="120" w:type="dxa"/>
            </w:tcMar>
            <w:vAlign w:val="center"/>
          </w:tcPr>
          <w:p w14:paraId="382B78B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b/>
                <w:sz w:val="21"/>
                <w:szCs w:val="21"/>
              </w:rPr>
            </w:pPr>
            <w:r>
              <w:rPr>
                <w:rFonts w:hint="default" w:ascii="Times New Roman" w:hAnsi="Times New Roman" w:eastAsia="Segoe UI" w:cs="Times New Roman"/>
                <w:b/>
                <w:kern w:val="0"/>
                <w:sz w:val="21"/>
                <w:szCs w:val="21"/>
                <w:bdr w:val="none" w:color="auto" w:sz="0" w:space="0"/>
                <w:lang w:val="en-US" w:eastAsia="zh-CN" w:bidi="ar"/>
              </w:rPr>
              <w:t>Interpretation</w:t>
            </w:r>
          </w:p>
        </w:tc>
      </w:tr>
      <w:tr w14:paraId="49311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72" w:type="dxa"/>
            <w:tcBorders>
              <w:top w:val="single" w:color="auto" w:sz="4" w:space="0"/>
              <w:left w:val="nil"/>
              <w:bottom w:val="nil"/>
              <w:right w:val="nil"/>
            </w:tcBorders>
            <w:shd w:val="clear"/>
            <w:noWrap w:val="0"/>
            <w:tcMar>
              <w:top w:w="75" w:type="dxa"/>
              <w:left w:w="-1" w:type="dxa"/>
              <w:bottom w:w="75" w:type="dxa"/>
              <w:right w:w="120" w:type="dxa"/>
            </w:tcMar>
            <w:vAlign w:val="center"/>
          </w:tcPr>
          <w:p w14:paraId="4C68012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1566"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2EB4B5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rs5744249</w:t>
            </w:r>
          </w:p>
        </w:tc>
        <w:tc>
          <w:tcPr>
            <w:tcW w:w="1125"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18DC7C28">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0.012</w:t>
            </w:r>
          </w:p>
        </w:tc>
        <w:tc>
          <w:tcPr>
            <w:tcW w:w="1101"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712E17A5">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-0.0052</w:t>
            </w:r>
          </w:p>
        </w:tc>
        <w:tc>
          <w:tcPr>
            <w:tcW w:w="1383" w:type="dxa"/>
            <w:tcBorders>
              <w:top w:val="single" w:color="auto" w:sz="4" w:space="0"/>
              <w:left w:val="nil"/>
              <w:bottom w:val="nil"/>
              <w:right w:val="nil"/>
            </w:tcBorders>
            <w:shd w:val="clear"/>
            <w:noWrap w:val="0"/>
            <w:tcMar>
              <w:top w:w="75" w:type="dxa"/>
              <w:left w:w="120" w:type="dxa"/>
              <w:bottom w:w="75" w:type="dxa"/>
              <w:right w:w="120" w:type="dxa"/>
            </w:tcMar>
            <w:vAlign w:val="center"/>
          </w:tcPr>
          <w:p w14:paraId="6C26EE6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-0.0058</w:t>
            </w:r>
          </w:p>
        </w:tc>
        <w:tc>
          <w:tcPr>
            <w:tcW w:w="2476" w:type="dxa"/>
            <w:tcBorders>
              <w:top w:val="single" w:color="auto" w:sz="4" w:space="0"/>
              <w:left w:val="nil"/>
              <w:bottom w:val="nil"/>
              <w:right w:val="nil"/>
            </w:tcBorders>
            <w:shd w:val="clear"/>
            <w:noWrap w:val="0"/>
            <w:tcMar>
              <w:top w:w="75" w:type="dxa"/>
              <w:left w:w="120" w:type="dxa"/>
              <w:bottom w:w="75" w:type="dxa"/>
              <w:right w:w="-1" w:type="dxa"/>
            </w:tcMar>
            <w:vAlign w:val="center"/>
          </w:tcPr>
          <w:p w14:paraId="05ECE88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Removal did not materially change estimate</w:t>
            </w:r>
          </w:p>
        </w:tc>
      </w:tr>
      <w:tr w14:paraId="5248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72" w:type="dxa"/>
            <w:tcBorders>
              <w:top w:val="nil"/>
              <w:left w:val="nil"/>
              <w:bottom w:val="single" w:color="auto" w:sz="12" w:space="0"/>
              <w:right w:val="nil"/>
            </w:tcBorders>
            <w:shd w:val="clear"/>
            <w:noWrap w:val="0"/>
            <w:tcMar>
              <w:top w:w="75" w:type="dxa"/>
              <w:left w:w="-1" w:type="dxa"/>
              <w:bottom w:w="75" w:type="dxa"/>
              <w:right w:w="120" w:type="dxa"/>
            </w:tcMar>
            <w:vAlign w:val="center"/>
          </w:tcPr>
          <w:p w14:paraId="250663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c>
          <w:tcPr>
            <w:tcW w:w="1566"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4420F1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rs5744249, rs5744258</w:t>
            </w:r>
          </w:p>
        </w:tc>
        <w:tc>
          <w:tcPr>
            <w:tcW w:w="1125"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2098A0EC">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0.025</w:t>
            </w:r>
          </w:p>
        </w:tc>
        <w:tc>
          <w:tcPr>
            <w:tcW w:w="1101"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6576052">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-0.0061</w:t>
            </w:r>
          </w:p>
        </w:tc>
        <w:tc>
          <w:tcPr>
            <w:tcW w:w="1383" w:type="dxa"/>
            <w:tcBorders>
              <w:top w:val="nil"/>
              <w:left w:val="nil"/>
              <w:bottom w:val="single" w:color="auto" w:sz="12" w:space="0"/>
              <w:right w:val="nil"/>
            </w:tcBorders>
            <w:shd w:val="clear"/>
            <w:noWrap w:val="0"/>
            <w:tcMar>
              <w:top w:w="75" w:type="dxa"/>
              <w:left w:w="120" w:type="dxa"/>
              <w:bottom w:w="75" w:type="dxa"/>
              <w:right w:w="120" w:type="dxa"/>
            </w:tcMar>
            <w:vAlign w:val="center"/>
          </w:tcPr>
          <w:p w14:paraId="07CCF08B">
            <w:pPr>
              <w:keepNext w:val="0"/>
              <w:keepLines w:val="0"/>
              <w:widowControl/>
              <w:suppressLineNumbers w:val="0"/>
              <w:snapToGrid w:val="0"/>
              <w:spacing w:line="240" w:lineRule="auto"/>
              <w:ind w:left="0" w:leftChars="0" w:right="0" w:rightChars="0" w:firstLine="0" w:firstLineChars="0"/>
              <w:jc w:val="righ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-0.0071</w:t>
            </w:r>
          </w:p>
        </w:tc>
        <w:tc>
          <w:tcPr>
            <w:tcW w:w="2476" w:type="dxa"/>
            <w:tcBorders>
              <w:top w:val="nil"/>
              <w:left w:val="nil"/>
              <w:bottom w:val="single" w:color="auto" w:sz="12" w:space="0"/>
              <w:right w:val="nil"/>
            </w:tcBorders>
            <w:shd w:val="clear"/>
            <w:noWrap w:val="0"/>
            <w:tcMar>
              <w:top w:w="75" w:type="dxa"/>
              <w:left w:w="120" w:type="dxa"/>
              <w:bottom w:w="75" w:type="dxa"/>
              <w:right w:w="-1" w:type="dxa"/>
            </w:tcMar>
            <w:vAlign w:val="center"/>
          </w:tcPr>
          <w:p w14:paraId="6581ED4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Corrected estimate consistent with primary</w:t>
            </w:r>
          </w:p>
        </w:tc>
      </w:tr>
    </w:tbl>
    <w:p w14:paraId="4F23844E">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cs="Times New Roman"/>
          <w:sz w:val="21"/>
          <w:szCs w:val="21"/>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B08718E">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Figures</w:t>
      </w:r>
    </w:p>
    <w:p w14:paraId="17F597E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S1. Genetic correlation heatmap of immune traits</w:t>
      </w:r>
    </w:p>
    <w:p w14:paraId="47D8A7B1">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drawing>
          <wp:inline distT="0" distB="0" distL="114300" distR="114300">
            <wp:extent cx="5272405" cy="4393565"/>
            <wp:effectExtent l="0" t="0" r="4445" b="6985"/>
            <wp:docPr id="1" name="图片 1"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rrelation_heatmap"/>
                    <pic:cNvPicPr>
                      <a:picLocks noChangeAspect="1"/>
                    </pic:cNvPicPr>
                  </pic:nvPicPr>
                  <pic:blipFill>
                    <a:blip r:embed="rId4"/>
                    <a:stretch>
                      <a:fillRect/>
                    </a:stretch>
                  </pic:blipFill>
                  <pic:spPr>
                    <a:xfrm>
                      <a:off x="0" y="0"/>
                      <a:ext cx="5272405" cy="4393565"/>
                    </a:xfrm>
                    <a:prstGeom prst="rect">
                      <a:avLst/>
                    </a:prstGeom>
                  </pic:spPr>
                </pic:pic>
              </a:graphicData>
            </a:graphic>
          </wp:inline>
        </w:drawing>
      </w:r>
      <w:r>
        <w:rPr>
          <w:rFonts w:hint="default" w:ascii="Times New Roman" w:hAnsi="Times New Roman" w:eastAsia="Segoe UI" w:cs="Times New Roman"/>
          <w:i w:val="0"/>
          <w:iCs w:val="0"/>
          <w:caps w:val="0"/>
          <w:color w:val="0F1115"/>
          <w:spacing w:val="0"/>
          <w:sz w:val="21"/>
          <w:szCs w:val="21"/>
          <w:shd w:val="clear" w:fill="FFFFFF"/>
        </w:rPr>
        <w:t>*Heatmap displaying pairwise genetic correlations (Pearson) between six immune traits based on SNP effect vectors. Strong positive correlation is observed between lymphocyte and monocyte counts (r = 0.36), while correlations among cytokines are near zero, indicating largely independent genetic architectures.*</w:t>
      </w:r>
    </w:p>
    <w:p w14:paraId="0D6D325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49F63A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S2. Hierarchical clustering dendrogram of immune traits</w:t>
      </w:r>
    </w:p>
    <w:p w14:paraId="46C802E0">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drawing>
          <wp:inline distT="0" distB="0" distL="114300" distR="114300">
            <wp:extent cx="5274310" cy="3955415"/>
            <wp:effectExtent l="0" t="0" r="2540" b="6985"/>
            <wp:docPr id="2" name="图片 2" descr="correlation_cluste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rrelation_clustermap"/>
                    <pic:cNvPicPr>
                      <a:picLocks noChangeAspect="1"/>
                    </pic:cNvPicPr>
                  </pic:nvPicPr>
                  <pic:blipFill>
                    <a:blip r:embed="rId5"/>
                    <a:stretch>
                      <a:fillRect/>
                    </a:stretch>
                  </pic:blipFill>
                  <pic:spPr>
                    <a:xfrm>
                      <a:off x="0" y="0"/>
                      <a:ext cx="5274310" cy="3955415"/>
                    </a:xfrm>
                    <a:prstGeom prst="rect">
                      <a:avLst/>
                    </a:prstGeom>
                  </pic:spPr>
                </pic:pic>
              </a:graphicData>
            </a:graphic>
          </wp:inline>
        </w:drawing>
      </w:r>
      <w:r>
        <w:rPr>
          <w:rStyle w:val="10"/>
          <w:rFonts w:hint="default" w:ascii="Times New Roman" w:hAnsi="Times New Roman" w:eastAsia="Segoe UI" w:cs="Times New Roman"/>
          <w:i w:val="0"/>
          <w:iCs w:val="0"/>
          <w:caps w:val="0"/>
          <w:color w:val="0F1115"/>
          <w:spacing w:val="0"/>
          <w:sz w:val="21"/>
          <w:szCs w:val="21"/>
          <w:shd w:val="clear" w:fill="FFFFFF"/>
        </w:rPr>
        <w:t>Hierarchical clustering dendrogram of immune traits based on the genetic correlation matrix. Four distinct clusters are formed: pro</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inflammatory cytokines (IL1B, IL18, TNFa), inflammatory load index, lymphocyte, and monocyte.</w:t>
      </w:r>
    </w:p>
    <w:p w14:paraId="3FE047C6">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4EC925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S3. Forest plot of MR estimates for IL18 eQTL on lung cancer risk</w:t>
      </w:r>
    </w:p>
    <w:p w14:paraId="311A6541">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drawing>
          <wp:inline distT="0" distB="0" distL="114300" distR="114300">
            <wp:extent cx="5274310" cy="3296285"/>
            <wp:effectExtent l="0" t="0" r="2540" b="8890"/>
            <wp:docPr id="3" name="图片 3" descr="tcga_mr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cga_mr_forest"/>
                    <pic:cNvPicPr>
                      <a:picLocks noChangeAspect="1"/>
                    </pic:cNvPicPr>
                  </pic:nvPicPr>
                  <pic:blipFill>
                    <a:blip r:embed="rId6"/>
                    <a:stretch>
                      <a:fillRect/>
                    </a:stretch>
                  </pic:blipFill>
                  <pic:spPr>
                    <a:xfrm>
                      <a:off x="0" y="0"/>
                      <a:ext cx="5274310" cy="3296285"/>
                    </a:xfrm>
                    <a:prstGeom prst="rect">
                      <a:avLst/>
                    </a:prstGeom>
                  </pic:spPr>
                </pic:pic>
              </a:graphicData>
            </a:graphic>
          </wp:inline>
        </w:drawing>
      </w:r>
      <w:r>
        <w:rPr>
          <w:rStyle w:val="10"/>
          <w:rFonts w:hint="default" w:ascii="Times New Roman" w:hAnsi="Times New Roman" w:eastAsia="Segoe UI" w:cs="Times New Roman"/>
          <w:i w:val="0"/>
          <w:iCs w:val="0"/>
          <w:caps w:val="0"/>
          <w:color w:val="0F1115"/>
          <w:spacing w:val="0"/>
          <w:sz w:val="21"/>
          <w:szCs w:val="21"/>
          <w:shd w:val="clear" w:fill="FFFFFF"/>
        </w:rPr>
        <w:t>Forest plot showing Mendelian randomization estimates (IVW, MR</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Egger, weighted median, and MR</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PRESSO corrected) for the causal effect of IL18 expression on lung cancer risk in LUAD and LUSC. All methods consistently indicate a protective effect (negative beta) with narrow confidence intervals.</w:t>
      </w:r>
    </w:p>
    <w:p w14:paraId="7841ACF6">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B01917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S4. Scatter plots of SNP effects for IL18 in LUAD and LUSC</w:t>
      </w:r>
    </w:p>
    <w:tbl>
      <w:tblPr>
        <w:tblW w:w="43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50"/>
        <w:gridCol w:w="3405"/>
      </w:tblGrid>
      <w:tr w14:paraId="17B2F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35E452B3">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0" w:type="auto"/>
            <w:tcBorders>
              <w:top w:val="nil"/>
            </w:tcBorders>
            <w:shd w:val="clear"/>
            <w:tcMar>
              <w:top w:w="75" w:type="dxa"/>
              <w:left w:w="120" w:type="dxa"/>
              <w:bottom w:w="75" w:type="dxa"/>
              <w:right w:w="120" w:type="dxa"/>
            </w:tcMar>
            <w:vAlign w:val="center"/>
          </w:tcPr>
          <w:p w14:paraId="56F5BE60">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r>
      <w:tr w14:paraId="68F45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91A59C6">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sz w:val="21"/>
                <w:szCs w:val="21"/>
              </w:rPr>
              <w:drawing>
                <wp:inline distT="0" distB="0" distL="114300" distR="114300">
                  <wp:extent cx="2112010" cy="1760220"/>
                  <wp:effectExtent l="0" t="0" r="2540" b="1905"/>
                  <wp:docPr id="4" name="图片 4" descr="LUAD_IL18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UAD_IL18_scatter"/>
                          <pic:cNvPicPr>
                            <a:picLocks noChangeAspect="1"/>
                          </pic:cNvPicPr>
                        </pic:nvPicPr>
                        <pic:blipFill>
                          <a:blip r:embed="rId7"/>
                          <a:stretch>
                            <a:fillRect/>
                          </a:stretch>
                        </pic:blipFill>
                        <pic:spPr>
                          <a:xfrm>
                            <a:off x="0" y="0"/>
                            <a:ext cx="2112010" cy="1760220"/>
                          </a:xfrm>
                          <a:prstGeom prst="rect">
                            <a:avLst/>
                          </a:prstGeom>
                        </pic:spPr>
                      </pic:pic>
                    </a:graphicData>
                  </a:graphic>
                </wp:inline>
              </w:drawing>
            </w:r>
          </w:p>
        </w:tc>
        <w:tc>
          <w:tcPr>
            <w:tcW w:w="0" w:type="auto"/>
            <w:shd w:val="clear"/>
            <w:tcMar>
              <w:top w:w="75" w:type="dxa"/>
              <w:left w:w="120" w:type="dxa"/>
              <w:bottom w:w="75" w:type="dxa"/>
              <w:right w:w="0" w:type="dxa"/>
            </w:tcMar>
            <w:vAlign w:val="center"/>
          </w:tcPr>
          <w:p w14:paraId="4A004EA9">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sz w:val="21"/>
                <w:szCs w:val="21"/>
              </w:rPr>
              <w:drawing>
                <wp:inline distT="0" distB="0" distL="114300" distR="114300">
                  <wp:extent cx="2084705" cy="1737360"/>
                  <wp:effectExtent l="0" t="0" r="1270" b="5715"/>
                  <wp:docPr id="5" name="图片 5" descr="LUSC_IL18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USC_IL18_scatter"/>
                          <pic:cNvPicPr>
                            <a:picLocks noChangeAspect="1"/>
                          </pic:cNvPicPr>
                        </pic:nvPicPr>
                        <pic:blipFill>
                          <a:blip r:embed="rId8"/>
                          <a:stretch>
                            <a:fillRect/>
                          </a:stretch>
                        </pic:blipFill>
                        <pic:spPr>
                          <a:xfrm>
                            <a:off x="0" y="0"/>
                            <a:ext cx="2084705" cy="1737360"/>
                          </a:xfrm>
                          <a:prstGeom prst="rect">
                            <a:avLst/>
                          </a:prstGeom>
                        </pic:spPr>
                      </pic:pic>
                    </a:graphicData>
                  </a:graphic>
                </wp:inline>
              </w:drawing>
            </w:r>
          </w:p>
        </w:tc>
      </w:tr>
    </w:tbl>
    <w:p w14:paraId="63FBDE7D">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t>Scatter plots of SNP effects on IL18 expression (x</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axis) versus SNP effects on lung cancer risk (y</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axis) for LUAD (left) and LUSC (right). Each point represents an individual SNP; the red line shows the IVW regression slope. The consistent negative slopes confirm the protective effect.</w:t>
      </w:r>
    </w:p>
    <w:p w14:paraId="2C603425">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0221B5C">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S5. Funnel plots for IL18 MR analyses</w:t>
      </w:r>
    </w:p>
    <w:tbl>
      <w:tblPr>
        <w:tblW w:w="43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50"/>
        <w:gridCol w:w="3405"/>
      </w:tblGrid>
      <w:tr w14:paraId="48BE4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5FF9CA8">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LUAD</w:t>
            </w:r>
          </w:p>
        </w:tc>
        <w:tc>
          <w:tcPr>
            <w:tcW w:w="0" w:type="auto"/>
            <w:tcBorders>
              <w:top w:val="nil"/>
            </w:tcBorders>
            <w:shd w:val="clear"/>
            <w:tcMar>
              <w:top w:w="75" w:type="dxa"/>
              <w:left w:w="120" w:type="dxa"/>
              <w:bottom w:w="75" w:type="dxa"/>
              <w:right w:w="120" w:type="dxa"/>
            </w:tcMar>
            <w:vAlign w:val="center"/>
          </w:tcPr>
          <w:p w14:paraId="1D31EB16">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kern w:val="0"/>
                <w:sz w:val="21"/>
                <w:szCs w:val="21"/>
                <w:bdr w:val="none" w:color="auto" w:sz="0" w:space="0"/>
                <w:lang w:val="en-US" w:eastAsia="zh-CN" w:bidi="ar"/>
              </w:rPr>
              <w:t>LUSC</w:t>
            </w:r>
          </w:p>
        </w:tc>
      </w:tr>
      <w:tr w14:paraId="7C9B3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BEEAE2F">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sz w:val="21"/>
                <w:szCs w:val="21"/>
              </w:rPr>
              <w:drawing>
                <wp:inline distT="0" distB="0" distL="114300" distR="114300">
                  <wp:extent cx="2112010" cy="1760220"/>
                  <wp:effectExtent l="0" t="0" r="2540" b="1905"/>
                  <wp:docPr id="6" name="图片 6" descr="LUAD_IL18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UAD_IL18_funnel"/>
                          <pic:cNvPicPr>
                            <a:picLocks noChangeAspect="1"/>
                          </pic:cNvPicPr>
                        </pic:nvPicPr>
                        <pic:blipFill>
                          <a:blip r:embed="rId9"/>
                          <a:stretch>
                            <a:fillRect/>
                          </a:stretch>
                        </pic:blipFill>
                        <pic:spPr>
                          <a:xfrm>
                            <a:off x="0" y="0"/>
                            <a:ext cx="2112010" cy="1760220"/>
                          </a:xfrm>
                          <a:prstGeom prst="rect">
                            <a:avLst/>
                          </a:prstGeom>
                        </pic:spPr>
                      </pic:pic>
                    </a:graphicData>
                  </a:graphic>
                </wp:inline>
              </w:drawing>
            </w:r>
          </w:p>
        </w:tc>
        <w:tc>
          <w:tcPr>
            <w:tcW w:w="0" w:type="auto"/>
            <w:shd w:val="clear"/>
            <w:tcMar>
              <w:top w:w="75" w:type="dxa"/>
              <w:left w:w="120" w:type="dxa"/>
              <w:bottom w:w="75" w:type="dxa"/>
              <w:right w:w="0" w:type="dxa"/>
            </w:tcMar>
            <w:vAlign w:val="center"/>
          </w:tcPr>
          <w:p w14:paraId="2CA3A639">
            <w:pPr>
              <w:keepNext w:val="0"/>
              <w:keepLines w:val="0"/>
              <w:widowControl/>
              <w:suppressLineNumbers w:val="0"/>
              <w:spacing w:line="188" w:lineRule="atLeast"/>
              <w:jc w:val="left"/>
              <w:rPr>
                <w:rFonts w:hint="default" w:ascii="Times New Roman" w:hAnsi="Times New Roman" w:eastAsia="Segoe UI" w:cs="Times New Roman"/>
                <w:sz w:val="21"/>
                <w:szCs w:val="21"/>
              </w:rPr>
            </w:pPr>
            <w:r>
              <w:rPr>
                <w:rFonts w:hint="default" w:ascii="Times New Roman" w:hAnsi="Times New Roman" w:eastAsia="Segoe UI" w:cs="Times New Roman"/>
                <w:sz w:val="21"/>
                <w:szCs w:val="21"/>
              </w:rPr>
              <w:drawing>
                <wp:inline distT="0" distB="0" distL="114300" distR="114300">
                  <wp:extent cx="2084705" cy="1737360"/>
                  <wp:effectExtent l="0" t="0" r="1270" b="5715"/>
                  <wp:docPr id="7" name="图片 7" descr="LUSC_IL18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USC_IL18_funnel"/>
                          <pic:cNvPicPr>
                            <a:picLocks noChangeAspect="1"/>
                          </pic:cNvPicPr>
                        </pic:nvPicPr>
                        <pic:blipFill>
                          <a:blip r:embed="rId10"/>
                          <a:stretch>
                            <a:fillRect/>
                          </a:stretch>
                        </pic:blipFill>
                        <pic:spPr>
                          <a:xfrm>
                            <a:off x="0" y="0"/>
                            <a:ext cx="2084705" cy="1737360"/>
                          </a:xfrm>
                          <a:prstGeom prst="rect">
                            <a:avLst/>
                          </a:prstGeom>
                        </pic:spPr>
                      </pic:pic>
                    </a:graphicData>
                  </a:graphic>
                </wp:inline>
              </w:drawing>
            </w:r>
          </w:p>
        </w:tc>
      </w:tr>
    </w:tbl>
    <w:p w14:paraId="2B3BA875">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*Funnel plots of individual SNP causal estimates (Wald ratio) against precision (1/SE) for LUAD and LUSC. Symmetry around the vertical line (overall IVW estimate) suggests absence of directional pleiotropy.*</w:t>
      </w:r>
    </w:p>
    <w:p w14:paraId="13F6F5E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A90283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S6. Forest plot of MR estimates for immune toxicity subtypes</w:t>
      </w:r>
    </w:p>
    <w:p w14:paraId="02F770CA">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drawing>
          <wp:inline distT="0" distB="0" distL="114300" distR="114300">
            <wp:extent cx="5274310" cy="2637155"/>
            <wp:effectExtent l="0" t="0" r="2540" b="1270"/>
            <wp:docPr id="8" name="图片 8" descr="subtype_mr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ubtype_mr_forest"/>
                    <pic:cNvPicPr>
                      <a:picLocks noChangeAspect="1"/>
                    </pic:cNvPicPr>
                  </pic:nvPicPr>
                  <pic:blipFill>
                    <a:blip r:embed="rId11"/>
                    <a:stretch>
                      <a:fillRect/>
                    </a:stretch>
                  </pic:blipFill>
                  <pic:spPr>
                    <a:xfrm>
                      <a:off x="0" y="0"/>
                      <a:ext cx="5274310" cy="2637155"/>
                    </a:xfrm>
                    <a:prstGeom prst="rect">
                      <a:avLst/>
                    </a:prstGeom>
                  </pic:spPr>
                </pic:pic>
              </a:graphicData>
            </a:graphic>
          </wp:inline>
        </w:drawing>
      </w:r>
      <w:r>
        <w:rPr>
          <w:rStyle w:val="10"/>
          <w:rFonts w:hint="default" w:ascii="Times New Roman" w:hAnsi="Times New Roman" w:eastAsia="Segoe UI" w:cs="Times New Roman"/>
          <w:i w:val="0"/>
          <w:iCs w:val="0"/>
          <w:caps w:val="0"/>
          <w:color w:val="0F1115"/>
          <w:spacing w:val="0"/>
          <w:sz w:val="21"/>
          <w:szCs w:val="21"/>
          <w:shd w:val="clear" w:fill="FFFFFF"/>
        </w:rPr>
        <w:t>Forest plot displaying the causal effects of each immune toxicity subtype on lung cancer risk. For subtype 0 (pro</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inflammatory cytokines), multivariable MR estimates for individual cytokines are shown; for subtypes 1–3, IVW estimates are presented. Lymphocyte and monocyte subtypes show significant positive effects, while the pro</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inflammatory cytokine subtype shows no significant effect.</w:t>
      </w:r>
    </w:p>
    <w:p w14:paraId="679ADF00">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CCEBA7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S7. Leave</w:t>
      </w:r>
      <w:r>
        <w:rPr>
          <w:rFonts w:hint="default" w:ascii="Times New Roman" w:hAnsi="Times New Roman" w:eastAsia="Segoe UI" w:cs="Times New Roman"/>
          <w:b/>
          <w:bCs/>
          <w:caps w:val="0"/>
          <w:color w:val="0F1115"/>
          <w:spacing w:val="0"/>
          <w:sz w:val="21"/>
          <w:szCs w:val="21"/>
          <w:shd w:val="clear" w:fill="FFFFFF"/>
        </w:rPr>
        <w:noBreakHyphen/>
      </w:r>
      <w:r>
        <w:rPr>
          <w:rFonts w:hint="default" w:ascii="Times New Roman" w:hAnsi="Times New Roman" w:eastAsia="Segoe UI" w:cs="Times New Roman"/>
          <w:b/>
          <w:bCs/>
          <w:caps w:val="0"/>
          <w:color w:val="0F1115"/>
          <w:spacing w:val="0"/>
          <w:sz w:val="21"/>
          <w:szCs w:val="21"/>
          <w:shd w:val="clear" w:fill="FFFFFF"/>
        </w:rPr>
        <w:t>one</w:t>
      </w:r>
      <w:r>
        <w:rPr>
          <w:rFonts w:hint="default" w:ascii="Times New Roman" w:hAnsi="Times New Roman" w:eastAsia="Segoe UI" w:cs="Times New Roman"/>
          <w:b/>
          <w:bCs/>
          <w:caps w:val="0"/>
          <w:color w:val="0F1115"/>
          <w:spacing w:val="0"/>
          <w:sz w:val="21"/>
          <w:szCs w:val="21"/>
          <w:shd w:val="clear" w:fill="FFFFFF"/>
        </w:rPr>
        <w:noBreakHyphen/>
      </w:r>
      <w:r>
        <w:rPr>
          <w:rFonts w:hint="default" w:ascii="Times New Roman" w:hAnsi="Times New Roman" w:eastAsia="Segoe UI" w:cs="Times New Roman"/>
          <w:b/>
          <w:bCs/>
          <w:caps w:val="0"/>
          <w:color w:val="0F1115"/>
          <w:spacing w:val="0"/>
          <w:sz w:val="21"/>
          <w:szCs w:val="21"/>
          <w:shd w:val="clear" w:fill="FFFFFF"/>
        </w:rPr>
        <w:t>out sensitivity analysis for subtype 1</w:t>
      </w:r>
    </w:p>
    <w:p w14:paraId="15C8CD07">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drawing>
          <wp:inline distT="0" distB="0" distL="114300" distR="114300">
            <wp:extent cx="5274310" cy="7911465"/>
            <wp:effectExtent l="0" t="0" r="2540" b="3810"/>
            <wp:docPr id="9" name="图片 9" descr="subtype1_loo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ubtype1_loo_forest"/>
                    <pic:cNvPicPr>
                      <a:picLocks noChangeAspect="1"/>
                    </pic:cNvPicPr>
                  </pic:nvPicPr>
                  <pic:blipFill>
                    <a:blip r:embed="rId12"/>
                    <a:stretch>
                      <a:fillRect/>
                    </a:stretch>
                  </pic:blipFill>
                  <pic:spPr>
                    <a:xfrm>
                      <a:off x="0" y="0"/>
                      <a:ext cx="5274310" cy="7911465"/>
                    </a:xfrm>
                    <a:prstGeom prst="rect">
                      <a:avLst/>
                    </a:prstGeom>
                  </pic:spPr>
                </pic:pic>
              </a:graphicData>
            </a:graphic>
          </wp:inline>
        </w:drawing>
      </w:r>
      <w:r>
        <w:rPr>
          <w:rStyle w:val="10"/>
          <w:rFonts w:hint="default" w:ascii="Times New Roman" w:hAnsi="Times New Roman" w:eastAsia="Segoe UI" w:cs="Times New Roman"/>
          <w:i w:val="0"/>
          <w:iCs w:val="0"/>
          <w:caps w:val="0"/>
          <w:color w:val="0F1115"/>
          <w:spacing w:val="0"/>
          <w:sz w:val="21"/>
          <w:szCs w:val="21"/>
          <w:shd w:val="clear" w:fill="FFFFFF"/>
        </w:rPr>
        <w:t>Leave</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one</w:t>
      </w:r>
      <w:r>
        <w:rPr>
          <w:rStyle w:val="10"/>
          <w:rFonts w:hint="default" w:ascii="Times New Roman" w:hAnsi="Times New Roman" w:eastAsia="Segoe UI" w:cs="Times New Roman"/>
          <w:i w:val="0"/>
          <w:iCs w:val="0"/>
          <w:caps w:val="0"/>
          <w:color w:val="0F1115"/>
          <w:spacing w:val="0"/>
          <w:sz w:val="21"/>
          <w:szCs w:val="21"/>
          <w:shd w:val="clear" w:fill="FFFFFF"/>
        </w:rPr>
        <w:noBreakHyphen/>
      </w:r>
      <w:r>
        <w:rPr>
          <w:rStyle w:val="10"/>
          <w:rFonts w:hint="default" w:ascii="Times New Roman" w:hAnsi="Times New Roman" w:eastAsia="Segoe UI" w:cs="Times New Roman"/>
          <w:i w:val="0"/>
          <w:iCs w:val="0"/>
          <w:caps w:val="0"/>
          <w:color w:val="0F1115"/>
          <w:spacing w:val="0"/>
          <w:sz w:val="21"/>
          <w:szCs w:val="21"/>
          <w:shd w:val="clear" w:fill="FFFFFF"/>
        </w:rPr>
        <w:t>out forest plot for the MR analysis of subtype 1 (inflammation index). Each point represents the IVW estimate after removing that specific SNP. The red diamond indicates the overall IVW estimate using all SNPs. No single SNP drives the overall effect, confirming robustness.</w:t>
      </w:r>
    </w:p>
    <w:p w14:paraId="441DE02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CE2083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Supplementary Figure S8. Funnel plot for subtype 1 MR analysis</w:t>
      </w:r>
    </w:p>
    <w:p w14:paraId="5E0B8C37">
      <w:pPr>
        <w:pStyle w:val="6"/>
        <w:keepNext w:val="0"/>
        <w:keepLines w:val="0"/>
        <w:widowControl/>
        <w:suppressLineNumbers w:val="0"/>
        <w:shd w:val="clear" w:fill="FFFFFF"/>
        <w:spacing w:before="120" w:beforeAutospacing="0" w:after="120" w:afterAutospacing="0"/>
        <w:ind w:left="0" w:right="0" w:firstLine="0"/>
        <w:rPr>
          <w:rFonts w:hint="default" w:ascii="Times New Roman" w:hAnsi="Times New Roman" w:eastAsia="Segoe UI" w:cs="Times New Roman"/>
          <w:i w:val="0"/>
          <w:iCs w:val="0"/>
          <w:caps w:val="0"/>
          <w:color w:val="0F1115"/>
          <w:spacing w:val="0"/>
          <w:sz w:val="21"/>
          <w:szCs w:val="21"/>
        </w:rPr>
      </w:pPr>
      <w:r>
        <w:rPr>
          <w:rStyle w:val="10"/>
          <w:rFonts w:hint="default" w:ascii="Times New Roman" w:hAnsi="Times New Roman" w:eastAsia="Segoe UI" w:cs="Times New Roman"/>
          <w:i w:val="0"/>
          <w:iCs w:val="0"/>
          <w:caps w:val="0"/>
          <w:color w:val="0F1115"/>
          <w:spacing w:val="0"/>
          <w:sz w:val="21"/>
          <w:szCs w:val="21"/>
          <w:shd w:val="clear" w:fill="FFFFFF"/>
        </w:rPr>
        <w:drawing>
          <wp:inline distT="0" distB="0" distL="114300" distR="114300">
            <wp:extent cx="5274310" cy="3955415"/>
            <wp:effectExtent l="0" t="0" r="2540" b="6985"/>
            <wp:docPr id="10" name="图片 10" descr="subtype1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ubtype1_funnel"/>
                    <pic:cNvPicPr>
                      <a:picLocks noChangeAspect="1"/>
                    </pic:cNvPicPr>
                  </pic:nvPicPr>
                  <pic:blipFill>
                    <a:blip r:embed="rId13"/>
                    <a:stretch>
                      <a:fillRect/>
                    </a:stretch>
                  </pic:blipFill>
                  <pic:spPr>
                    <a:xfrm>
                      <a:off x="0" y="0"/>
                      <a:ext cx="5274310" cy="3955415"/>
                    </a:xfrm>
                    <a:prstGeom prst="rect">
                      <a:avLst/>
                    </a:prstGeom>
                  </pic:spPr>
                </pic:pic>
              </a:graphicData>
            </a:graphic>
          </wp:inline>
        </w:drawing>
      </w:r>
      <w:bookmarkStart w:id="0" w:name="_GoBack"/>
      <w:bookmarkEnd w:id="0"/>
      <w:r>
        <w:rPr>
          <w:rStyle w:val="10"/>
          <w:rFonts w:hint="default" w:ascii="Times New Roman" w:hAnsi="Times New Roman" w:eastAsia="Segoe UI" w:cs="Times New Roman"/>
          <w:i w:val="0"/>
          <w:iCs w:val="0"/>
          <w:caps w:val="0"/>
          <w:color w:val="0F1115"/>
          <w:spacing w:val="0"/>
          <w:sz w:val="21"/>
          <w:szCs w:val="21"/>
          <w:shd w:val="clear" w:fill="FFFFFF"/>
        </w:rPr>
        <w:t>Funnel plot for the MR analysis of subtype 1. The symmetric distribution of points around the overall estimate (vertical line) indicates no evidence of directional pleiotropy.</w:t>
      </w:r>
    </w:p>
    <w:p w14:paraId="408A6B4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Times New Roman" w:hAnsi="Times New Roman" w:eastAsia="Segoe UI" w:cs="Times New Roman"/>
          <w:i w:val="0"/>
          <w:iCs w:val="0"/>
          <w:caps w:val="0"/>
          <w:spacing w:val="0"/>
          <w:sz w:val="21"/>
          <w:szCs w:val="21"/>
        </w:rPr>
      </w:pPr>
      <w:r>
        <w:rPr>
          <w:rFonts w:hint="default" w:ascii="Times New Roman" w:hAnsi="Times New Roman" w:eastAsia="Segoe UI" w:cs="Times New Roman"/>
          <w:i w:val="0"/>
          <w:iCs w:val="0"/>
          <w:caps w:val="0"/>
          <w:color w:val="0F1115"/>
          <w:spacing w:val="0"/>
          <w:sz w:val="21"/>
          <w:szCs w:val="21"/>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791744D">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Times New Roman" w:hAnsi="Times New Roman" w:eastAsia="Segoe UI" w:cs="Times New Roman"/>
          <w:b/>
          <w:bCs/>
          <w:caps w:val="0"/>
          <w:color w:val="0F1115"/>
          <w:spacing w:val="0"/>
          <w:sz w:val="21"/>
          <w:szCs w:val="21"/>
        </w:rPr>
      </w:pPr>
      <w:r>
        <w:rPr>
          <w:rFonts w:hint="default" w:ascii="Times New Roman" w:hAnsi="Times New Roman" w:eastAsia="Segoe UI" w:cs="Times New Roman"/>
          <w:b/>
          <w:bCs/>
          <w:caps w:val="0"/>
          <w:color w:val="0F1115"/>
          <w:spacing w:val="0"/>
          <w:sz w:val="21"/>
          <w:szCs w:val="21"/>
          <w:shd w:val="clear" w:fill="FFFFFF"/>
        </w:rPr>
        <w:t>Additional Files</w:t>
      </w:r>
    </w:p>
    <w:p w14:paraId="392451D4">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immune_subtypes.csv</w:t>
      </w:r>
      <w:r>
        <w:rPr>
          <w:rFonts w:hint="default" w:ascii="Times New Roman" w:hAnsi="Times New Roman" w:eastAsia="Segoe UI" w:cs="Times New Roman"/>
          <w:i w:val="0"/>
          <w:iCs w:val="0"/>
          <w:caps w:val="0"/>
          <w:color w:val="0F1115"/>
          <w:spacing w:val="0"/>
          <w:sz w:val="21"/>
          <w:szCs w:val="21"/>
          <w:shd w:val="clear" w:fill="FFFFFF"/>
        </w:rPr>
        <w:t>: Cluster assignment for each immune trait.</w:t>
      </w:r>
    </w:p>
    <w:p w14:paraId="38CD670D">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genetic_correlation.csv</w:t>
      </w:r>
      <w:r>
        <w:rPr>
          <w:rFonts w:hint="default" w:ascii="Times New Roman" w:hAnsi="Times New Roman" w:eastAsia="Segoe UI" w:cs="Times New Roman"/>
          <w:i w:val="0"/>
          <w:iCs w:val="0"/>
          <w:caps w:val="0"/>
          <w:color w:val="0F1115"/>
          <w:spacing w:val="0"/>
          <w:sz w:val="21"/>
          <w:szCs w:val="21"/>
          <w:shd w:val="clear" w:fill="FFFFFF"/>
        </w:rPr>
        <w:t>: Full genetic correlation matrix.</w:t>
      </w:r>
    </w:p>
    <w:p w14:paraId="54B1D915">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effect_matrix.csv</w:t>
      </w:r>
      <w:r>
        <w:rPr>
          <w:rFonts w:hint="default" w:ascii="Times New Roman" w:hAnsi="Times New Roman" w:eastAsia="Segoe UI" w:cs="Times New Roman"/>
          <w:i w:val="0"/>
          <w:iCs w:val="0"/>
          <w:caps w:val="0"/>
          <w:color w:val="0F1115"/>
          <w:spacing w:val="0"/>
          <w:sz w:val="21"/>
          <w:szCs w:val="21"/>
          <w:shd w:val="clear" w:fill="FFFFFF"/>
        </w:rPr>
        <w:t>: SNP</w:t>
      </w:r>
      <w:r>
        <w:rPr>
          <w:rFonts w:hint="default" w:ascii="Times New Roman" w:hAnsi="Times New Roman" w:eastAsia="Segoe UI" w:cs="Times New Roman"/>
          <w:i w:val="0"/>
          <w:iCs w:val="0"/>
          <w:caps w:val="0"/>
          <w:color w:val="0F1115"/>
          <w:spacing w:val="0"/>
          <w:sz w:val="21"/>
          <w:szCs w:val="21"/>
          <w:shd w:val="clear" w:fill="FFFFFF"/>
        </w:rPr>
        <w:noBreakHyphen/>
      </w:r>
      <w:r>
        <w:rPr>
          <w:rFonts w:hint="default" w:ascii="Times New Roman" w:hAnsi="Times New Roman" w:eastAsia="Segoe UI" w:cs="Times New Roman"/>
          <w:i w:val="0"/>
          <w:iCs w:val="0"/>
          <w:caps w:val="0"/>
          <w:color w:val="0F1115"/>
          <w:spacing w:val="0"/>
          <w:sz w:val="21"/>
          <w:szCs w:val="21"/>
          <w:shd w:val="clear" w:fill="FFFFFF"/>
        </w:rPr>
        <w:t>effect matrix used for clustering.</w:t>
      </w:r>
    </w:p>
    <w:p w14:paraId="10D93523">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mvmr_by_subtype.csv</w:t>
      </w:r>
      <w:r>
        <w:rPr>
          <w:rFonts w:hint="default" w:ascii="Times New Roman" w:hAnsi="Times New Roman" w:eastAsia="Segoe UI" w:cs="Times New Roman"/>
          <w:i w:val="0"/>
          <w:iCs w:val="0"/>
          <w:caps w:val="0"/>
          <w:color w:val="0F1115"/>
          <w:spacing w:val="0"/>
          <w:sz w:val="21"/>
          <w:szCs w:val="21"/>
          <w:shd w:val="clear" w:fill="FFFFFF"/>
        </w:rPr>
        <w:t>: Detailed multivariable MR results for each subtype.</w:t>
      </w:r>
    </w:p>
    <w:p w14:paraId="30C733BB">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il18_sensitivity_analysis.csv</w:t>
      </w:r>
      <w:r>
        <w:rPr>
          <w:rFonts w:hint="default" w:ascii="Times New Roman" w:hAnsi="Times New Roman" w:eastAsia="Segoe UI" w:cs="Times New Roman"/>
          <w:i w:val="0"/>
          <w:iCs w:val="0"/>
          <w:caps w:val="0"/>
          <w:color w:val="0F1115"/>
          <w:spacing w:val="0"/>
          <w:sz w:val="21"/>
          <w:szCs w:val="21"/>
          <w:shd w:val="clear" w:fill="FFFFFF"/>
        </w:rPr>
        <w:t>: Complete sensitivity analysis results for IL18.</w:t>
      </w:r>
    </w:p>
    <w:p w14:paraId="08C0112B">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il18_mediation_analysis.csv</w:t>
      </w:r>
      <w:r>
        <w:rPr>
          <w:rFonts w:hint="default" w:ascii="Times New Roman" w:hAnsi="Times New Roman" w:eastAsia="Segoe UI" w:cs="Times New Roman"/>
          <w:i w:val="0"/>
          <w:iCs w:val="0"/>
          <w:caps w:val="0"/>
          <w:color w:val="0F1115"/>
          <w:spacing w:val="0"/>
          <w:sz w:val="21"/>
          <w:szCs w:val="21"/>
          <w:shd w:val="clear" w:fill="FFFFFF"/>
        </w:rPr>
        <w:t>: Full mediation analysis results.</w:t>
      </w:r>
    </w:p>
    <w:p w14:paraId="49C2EF76">
      <w:pPr>
        <w:pStyle w:val="6"/>
        <w:keepNext w:val="0"/>
        <w:keepLines w:val="0"/>
        <w:widowControl/>
        <w:suppressLineNumbers w:val="0"/>
        <w:spacing w:before="0" w:beforeAutospacing="0" w:after="0" w:afterAutospacing="0"/>
        <w:ind w:left="0" w:right="0"/>
        <w:rPr>
          <w:rFonts w:hint="default" w:ascii="Times New Roman" w:hAnsi="Times New Roman" w:cs="Times New Roman"/>
          <w:sz w:val="21"/>
          <w:szCs w:val="21"/>
        </w:rPr>
      </w:pP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mvmr_LUAD_IL18_IL18R1.csv</w:t>
      </w:r>
      <w:r>
        <w:rPr>
          <w:rFonts w:hint="default" w:ascii="Times New Roman" w:hAnsi="Times New Roman" w:eastAsia="Segoe UI" w:cs="Times New Roman"/>
          <w:i w:val="0"/>
          <w:iCs w:val="0"/>
          <w:caps w:val="0"/>
          <w:color w:val="0F1115"/>
          <w:spacing w:val="0"/>
          <w:sz w:val="21"/>
          <w:szCs w:val="21"/>
          <w:shd w:val="clear" w:fill="FFFFFF"/>
        </w:rPr>
        <w:t>: Multivariable MR results for IL18 and IL18R1.</w:t>
      </w:r>
    </w:p>
    <w:p w14:paraId="79C43A60">
      <w:pPr>
        <w:pStyle w:val="6"/>
        <w:keepNext w:val="0"/>
        <w:keepLines w:val="0"/>
        <w:widowControl/>
        <w:suppressLineNumbers w:val="0"/>
        <w:shd w:val="clear" w:fill="FFFFFF"/>
        <w:spacing w:before="120" w:beforeAutospacing="0" w:after="0" w:afterAutospacing="0"/>
        <w:ind w:left="0" w:right="0" w:firstLine="0"/>
        <w:rPr>
          <w:rFonts w:hint="default" w:ascii="Times New Roman" w:hAnsi="Times New Roman" w:eastAsia="Segoe UI" w:cs="Times New Roman"/>
          <w:i w:val="0"/>
          <w:iCs w:val="0"/>
          <w:caps w:val="0"/>
          <w:color w:val="0F1115"/>
          <w:spacing w:val="0"/>
          <w:sz w:val="21"/>
          <w:szCs w:val="21"/>
        </w:rPr>
      </w:pPr>
      <w:r>
        <w:rPr>
          <w:rFonts w:hint="default" w:ascii="Times New Roman" w:hAnsi="Times New Roman" w:eastAsia="Segoe UI" w:cs="Times New Roman"/>
          <w:i w:val="0"/>
          <w:iCs w:val="0"/>
          <w:caps w:val="0"/>
          <w:color w:val="0F1115"/>
          <w:spacing w:val="0"/>
          <w:sz w:val="21"/>
          <w:szCs w:val="21"/>
          <w:shd w:val="clear" w:fill="FFFFFF"/>
        </w:rPr>
        <w:t>These files are available in the </w:t>
      </w:r>
      <w:r>
        <w:rPr>
          <w:rStyle w:val="12"/>
          <w:rFonts w:hint="default" w:ascii="Times New Roman" w:hAnsi="Times New Roman" w:eastAsia="Consolas" w:cs="Times New Roman"/>
          <w:i w:val="0"/>
          <w:iCs w:val="0"/>
          <w:caps w:val="0"/>
          <w:color w:val="0F1115"/>
          <w:spacing w:val="0"/>
          <w:sz w:val="21"/>
          <w:szCs w:val="21"/>
          <w:bdr w:val="none" w:color="auto" w:sz="0" w:space="0"/>
          <w:shd w:val="clear" w:fill="EBEEF2"/>
        </w:rPr>
        <w:t>outputs/</w:t>
      </w:r>
      <w:r>
        <w:rPr>
          <w:rFonts w:hint="default" w:ascii="Times New Roman" w:hAnsi="Times New Roman" w:eastAsia="Segoe UI" w:cs="Times New Roman"/>
          <w:i w:val="0"/>
          <w:iCs w:val="0"/>
          <w:caps w:val="0"/>
          <w:color w:val="0F1115"/>
          <w:spacing w:val="0"/>
          <w:sz w:val="21"/>
          <w:szCs w:val="21"/>
          <w:shd w:val="clear" w:fill="FFFFFF"/>
        </w:rPr>
        <w:t> directory of the GitHub repository.</w:t>
      </w:r>
    </w:p>
    <w:p w14:paraId="1DC1E836">
      <w:pPr>
        <w:rPr>
          <w:rFonts w:hint="default" w:ascii="Times New Roman" w:hAnsi="Times New Roman" w:cs="Times New Roman"/>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0495D"/>
    <w:rsid w:val="2AC91145"/>
    <w:rsid w:val="5A294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727</Words>
  <Characters>4657</Characters>
  <Lines>0</Lines>
  <Paragraphs>0</Paragraphs>
  <TotalTime>20</TotalTime>
  <ScaleCrop>false</ScaleCrop>
  <LinksUpToDate>false</LinksUpToDate>
  <CharactersWithSpaces>4964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2026-02-21T07:35:00Z</dcterms:created>
  <dc:creator>wangning</dc:creator>
  <cp:lastModifiedBy>王宁</cp:lastModifiedBy>
  <dcterms:modified xsi:type="dcterms:W3CDTF">2026-02-22T08:22:40Z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eyJoZGlkIjoiN2MxMGI5MmQzMDBmZTI1OWM1MzEwYjMzYjQwZDNjYjkiLCJ1c2VySWQiOiI0NzIwNDI0NzYifQ==</vt:lpwstr>
  </property>
  <property fmtid="{D5CDD505-2E9C-101B-9397-08002B2CF9AE}" pid="4" name="ICV">
    <vt:lpwstr>C88A11ECF91F4D48B526385A5C39DC14_12</vt:lpwstr>
  </property>
</Properties>
</file>