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FD6E58">
      <w:pPr>
        <w:jc w:val="center"/>
        <w:rPr>
          <w:rFonts w:asciiTheme="minorEastAsia" w:hAnsiTheme="minorEastAsia"/>
          <w:sz w:val="52"/>
          <w:szCs w:val="52"/>
        </w:rPr>
      </w:pPr>
      <w:r>
        <w:t>菁选校园作品展示平台</w:t>
      </w:r>
    </w:p>
    <w:p w14:paraId="7D1C397C">
      <w:pPr>
        <w:jc w:val="center"/>
        <w:rPr>
          <w:rFonts w:hint="default" w:asciiTheme="minorEastAsia" w:hAnsiTheme="minorEastAsia"/>
          <w:sz w:val="52"/>
          <w:szCs w:val="52"/>
          <w:lang w:val="en-US" w:eastAsia="zh-CN"/>
        </w:rPr>
      </w:pPr>
      <w:r>
        <w:rPr>
          <w:rFonts w:hint="eastAsia" w:asciiTheme="minorEastAsia" w:hAnsiTheme="minorEastAsia"/>
          <w:sz w:val="52"/>
          <w:szCs w:val="52"/>
          <w:lang w:val="en-US" w:eastAsia="zh-CN"/>
        </w:rPr>
        <w:t>菁选校园作品展示平台</w:t>
      </w:r>
    </w:p>
    <w:p w14:paraId="11EE4E7F">
      <w:pPr>
        <w:jc w:val="center"/>
        <w:rPr>
          <w:rFonts w:hint="default" w:asciiTheme="minorEastAsia" w:hAnsiTheme="minorEastAsia" w:eastAsiaTheme="minorEastAsia"/>
          <w:sz w:val="52"/>
          <w:szCs w:val="52"/>
          <w:lang w:val="en-US" w:eastAsia="zh-CN"/>
        </w:rPr>
      </w:pPr>
      <w:r>
        <w:t>接口文档</w:t>
      </w:r>
    </w:p>
    <w:p w14:paraId="7E461488">
      <w:pPr>
        <w:jc w:val="center"/>
        <w:rPr>
          <w:rFonts w:asciiTheme="minorEastAsia" w:hAnsiTheme="minorEastAsia"/>
          <w:sz w:val="52"/>
          <w:szCs w:val="52"/>
        </w:rPr>
      </w:pPr>
    </w:p>
    <w:p w14:paraId="618EA0A9">
      <w:pPr>
        <w:jc w:val="center"/>
        <w:rPr>
          <w:rFonts w:asciiTheme="minorEastAsia" w:hAnsiTheme="minorEastAsia"/>
          <w:sz w:val="52"/>
          <w:szCs w:val="52"/>
        </w:rPr>
      </w:pPr>
    </w:p>
    <w:p w14:paraId="37B66BF4">
      <w:pPr>
        <w:jc w:val="center"/>
        <w:rPr>
          <w:rFonts w:asciiTheme="minorEastAsia" w:hAnsiTheme="minorEastAsia"/>
          <w:sz w:val="52"/>
          <w:szCs w:val="52"/>
        </w:rPr>
      </w:pPr>
    </w:p>
    <w:p w14:paraId="6C585371">
      <w:pPr>
        <w:rPr>
          <w:rFonts w:asciiTheme="minorEastAsia" w:hAnsiTheme="minorEastAsia"/>
          <w:sz w:val="28"/>
          <w:szCs w:val="28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891"/>
      </w:tblGrid>
      <w:tr w14:paraId="2578B11E">
        <w:tc>
          <w:tcPr>
            <w:tcW w:w="2405" w:type="dxa"/>
            <w:shd w:val="clear" w:color="auto" w:fill="CCCCCC"/>
          </w:tcPr>
          <w:p w14:paraId="6EAF1715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项目名称：</w:t>
            </w:r>
          </w:p>
        </w:tc>
        <w:tc>
          <w:tcPr>
            <w:tcW w:w="5891" w:type="dxa"/>
          </w:tcPr>
          <w:p w14:paraId="4E1562B6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t>菁选校园作品展示平台</w:t>
            </w:r>
          </w:p>
        </w:tc>
      </w:tr>
      <w:tr w14:paraId="1E924D76">
        <w:tc>
          <w:tcPr>
            <w:tcW w:w="2405" w:type="dxa"/>
            <w:shd w:val="clear" w:color="auto" w:fill="CCCCCC"/>
          </w:tcPr>
          <w:p w14:paraId="222F8CF0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作者：</w:t>
            </w:r>
          </w:p>
        </w:tc>
        <w:tc>
          <w:tcPr>
            <w:tcW w:w="5891" w:type="dxa"/>
          </w:tcPr>
          <w:p w14:paraId="153EA024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t>王士维</w:t>
            </w:r>
          </w:p>
        </w:tc>
      </w:tr>
      <w:tr w14:paraId="086CAEF3">
        <w:tc>
          <w:tcPr>
            <w:tcW w:w="2405" w:type="dxa"/>
            <w:shd w:val="clear" w:color="auto" w:fill="CCCCCC"/>
          </w:tcPr>
          <w:p w14:paraId="6DB26D2C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完成日期：</w:t>
            </w:r>
          </w:p>
        </w:tc>
        <w:tc>
          <w:tcPr>
            <w:tcW w:w="5891" w:type="dxa"/>
          </w:tcPr>
          <w:p w14:paraId="711331DC">
            <w:pPr>
              <w:rPr>
                <w:rFonts w:asciiTheme="minorEastAsia" w:hAnsiTheme="minorEastAsia"/>
                <w:sz w:val="28"/>
                <w:szCs w:val="28"/>
              </w:rPr>
            </w:pPr>
          </w:p>
        </w:tc>
      </w:tr>
      <w:tr w14:paraId="11B7C31A">
        <w:tc>
          <w:tcPr>
            <w:tcW w:w="2405" w:type="dxa"/>
            <w:shd w:val="clear" w:color="auto" w:fill="CCCCCC"/>
          </w:tcPr>
          <w:p w14:paraId="4C8054A7">
            <w:pPr>
              <w:ind w:firstLine="280" w:firstLineChars="100"/>
              <w:jc w:val="left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评审负责人：</w:t>
            </w:r>
          </w:p>
        </w:tc>
        <w:tc>
          <w:tcPr>
            <w:tcW w:w="5891" w:type="dxa"/>
          </w:tcPr>
          <w:p w14:paraId="723C633B">
            <w:pPr>
              <w:rPr>
                <w:rFonts w:asciiTheme="minorEastAsia" w:hAnsiTheme="minorEastAsia"/>
                <w:sz w:val="28"/>
                <w:szCs w:val="28"/>
              </w:rPr>
            </w:pPr>
          </w:p>
        </w:tc>
      </w:tr>
      <w:tr w14:paraId="2EEAC773">
        <w:tc>
          <w:tcPr>
            <w:tcW w:w="2405" w:type="dxa"/>
            <w:shd w:val="clear" w:color="auto" w:fill="CCCCCC"/>
          </w:tcPr>
          <w:p w14:paraId="51C468E1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审核日期：</w:t>
            </w:r>
          </w:p>
        </w:tc>
        <w:tc>
          <w:tcPr>
            <w:tcW w:w="5891" w:type="dxa"/>
          </w:tcPr>
          <w:p w14:paraId="76F84E8F">
            <w:pPr>
              <w:rPr>
                <w:rFonts w:asciiTheme="minorEastAsia" w:hAnsiTheme="minorEastAsia"/>
                <w:sz w:val="28"/>
                <w:szCs w:val="28"/>
              </w:rPr>
            </w:pPr>
          </w:p>
        </w:tc>
      </w:tr>
      <w:tr w14:paraId="298ABB53">
        <w:tc>
          <w:tcPr>
            <w:tcW w:w="2405" w:type="dxa"/>
            <w:shd w:val="clear" w:color="auto" w:fill="CCCCCC"/>
          </w:tcPr>
          <w:p w14:paraId="7FF25839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批准日期：</w:t>
            </w:r>
          </w:p>
        </w:tc>
        <w:tc>
          <w:tcPr>
            <w:tcW w:w="5891" w:type="dxa"/>
          </w:tcPr>
          <w:p w14:paraId="0F2F6D8F">
            <w:pPr>
              <w:rPr>
                <w:rFonts w:asciiTheme="minorEastAsia" w:hAnsiTheme="minorEastAsia"/>
                <w:sz w:val="28"/>
                <w:szCs w:val="28"/>
              </w:rPr>
            </w:pPr>
          </w:p>
        </w:tc>
      </w:tr>
    </w:tbl>
    <w:p w14:paraId="4A4137B8">
      <w:pPr>
        <w:rPr>
          <w:rFonts w:asciiTheme="minorEastAsia" w:hAnsiTheme="minorEastAsia"/>
          <w:sz w:val="28"/>
          <w:szCs w:val="28"/>
        </w:rPr>
      </w:pPr>
    </w:p>
    <w:p w14:paraId="43035C25">
      <w:pPr>
        <w:jc w:val="center"/>
      </w:pPr>
    </w:p>
    <w:p w14:paraId="72F2CA29"/>
    <w:p w14:paraId="71A77718">
      <w:pPr>
        <w:jc w:val="center"/>
        <w:rPr>
          <w:rFonts w:hint="eastAsia" w:asciiTheme="minorEastAsia" w:hAnsiTheme="minorEastAsia"/>
          <w:b/>
          <w:bCs/>
          <w:sz w:val="28"/>
          <w:szCs w:val="28"/>
        </w:rPr>
      </w:pPr>
    </w:p>
    <w:p w14:paraId="581AC22E">
      <w:pPr>
        <w:jc w:val="center"/>
        <w:rPr>
          <w:rFonts w:hint="eastAsia" w:asciiTheme="minorEastAsia" w:hAnsiTheme="minorEastAsia"/>
          <w:b/>
          <w:bCs/>
          <w:sz w:val="28"/>
          <w:szCs w:val="28"/>
        </w:rPr>
      </w:pPr>
    </w:p>
    <w:p w14:paraId="221501A2">
      <w:pPr>
        <w:jc w:val="center"/>
        <w:rPr>
          <w:rFonts w:hint="eastAsia" w:asciiTheme="minorEastAsia" w:hAnsiTheme="minorEastAsia"/>
          <w:b/>
          <w:bCs/>
          <w:sz w:val="28"/>
          <w:szCs w:val="28"/>
        </w:rPr>
      </w:pPr>
    </w:p>
    <w:p w14:paraId="6742751D">
      <w:pPr>
        <w:jc w:val="center"/>
        <w:rPr>
          <w:rFonts w:asciiTheme="minorEastAsia" w:hAnsiTheme="minorEastAsia"/>
          <w:b/>
          <w:bCs/>
          <w:sz w:val="28"/>
          <w:szCs w:val="28"/>
        </w:rPr>
      </w:pPr>
      <w:r>
        <w:rPr>
          <w:rFonts w:hint="eastAsia" w:asciiTheme="minorEastAsia" w:hAnsiTheme="minorEastAsia"/>
          <w:b/>
          <w:bCs/>
          <w:sz w:val="28"/>
          <w:szCs w:val="28"/>
        </w:rPr>
        <w:br w:type="textWrapping"/>
      </w:r>
      <w:r>
        <w:rPr>
          <w:rFonts w:hint="eastAsia" w:asciiTheme="minorEastAsia" w:hAnsiTheme="minorEastAsia"/>
          <w:b/>
          <w:bCs/>
          <w:sz w:val="28"/>
          <w:szCs w:val="28"/>
        </w:rPr>
        <w:t>历史版本：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1659"/>
        <w:gridCol w:w="1659"/>
        <w:gridCol w:w="1659"/>
        <w:gridCol w:w="1660"/>
      </w:tblGrid>
      <w:tr w14:paraId="44E4B1D2">
        <w:tc>
          <w:tcPr>
            <w:tcW w:w="1659" w:type="dxa"/>
            <w:shd w:val="clear" w:color="auto" w:fill="CCCCCC"/>
          </w:tcPr>
          <w:p w14:paraId="7B93BADD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版本：</w:t>
            </w:r>
          </w:p>
        </w:tc>
        <w:tc>
          <w:tcPr>
            <w:tcW w:w="1659" w:type="dxa"/>
            <w:shd w:val="clear" w:color="auto" w:fill="CCCCCC"/>
          </w:tcPr>
          <w:p w14:paraId="6D74AE9D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日期：</w:t>
            </w:r>
          </w:p>
        </w:tc>
        <w:tc>
          <w:tcPr>
            <w:tcW w:w="1659" w:type="dxa"/>
            <w:shd w:val="clear" w:color="auto" w:fill="CCCCCC"/>
          </w:tcPr>
          <w:p w14:paraId="305BA077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作者：</w:t>
            </w:r>
          </w:p>
        </w:tc>
        <w:tc>
          <w:tcPr>
            <w:tcW w:w="1659" w:type="dxa"/>
            <w:shd w:val="clear" w:color="auto" w:fill="CCCCCC"/>
          </w:tcPr>
          <w:p w14:paraId="4627D091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参与者：</w:t>
            </w:r>
          </w:p>
        </w:tc>
        <w:tc>
          <w:tcPr>
            <w:tcW w:w="1660" w:type="dxa"/>
            <w:shd w:val="clear" w:color="auto" w:fill="CCCCCC"/>
          </w:tcPr>
          <w:p w14:paraId="007934A1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备注：</w:t>
            </w:r>
          </w:p>
        </w:tc>
      </w:tr>
      <w:tr w14:paraId="5C9F1AF9">
        <w:tc>
          <w:tcPr>
            <w:tcW w:w="1659" w:type="dxa"/>
          </w:tcPr>
          <w:p w14:paraId="14869B03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1.0</w:t>
            </w:r>
            <w:r>
              <w:rPr>
                <w:rFonts w:asciiTheme="minorEastAsia" w:hAnsiTheme="minorEastAsia"/>
                <w:sz w:val="28"/>
                <w:szCs w:val="28"/>
              </w:rPr>
            </w:r>
          </w:p>
        </w:tc>
        <w:tc>
          <w:tcPr>
            <w:tcW w:w="1659" w:type="dxa"/>
          </w:tcPr>
          <w:p w14:paraId="0AF5793E">
            <w:pPr>
              <w:rPr>
                <w:rFonts w:hint="default" w:asciiTheme="minorEastAsia" w:hAnsiTheme="minor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8"/>
                <w:szCs w:val="28"/>
                <w:lang w:val="en-US"/>
              </w:rPr>
              <w:t>2026-06-07</w:t>
            </w:r>
          </w:p>
        </w:tc>
        <w:tc>
          <w:tcPr>
            <w:tcW w:w="1659" w:type="dxa"/>
          </w:tcPr>
          <w:p w14:paraId="24F0295F">
            <w:pPr>
              <w:rPr>
                <w:rFonts w:hint="default" w:asciiTheme="minorEastAsia" w:hAnsiTheme="minor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lang w:val="en-US" w:eastAsia="zh-CN"/>
              </w:rPr>
              <w:t>王士维</w:t>
            </w:r>
          </w:p>
        </w:tc>
        <w:tc>
          <w:tcPr>
            <w:tcW w:w="1659" w:type="dxa"/>
          </w:tcPr>
          <w:p w14:paraId="2C6FDA29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t>王耀, 张永琪, 徐嘉豪</w:t>
            </w:r>
          </w:p>
        </w:tc>
        <w:tc>
          <w:tcPr>
            <w:tcW w:w="1660" w:type="dxa"/>
          </w:tcPr>
          <w:p w14:paraId="5A1116A8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t>初稿</w:t>
            </w:r>
          </w:p>
        </w:tc>
      </w:tr>
    </w:tbl>
    <w:p w14:paraId="247E64D6">
      <w:pPr>
        <w:jc w:val="left"/>
        <w:rPr>
          <w:rFonts w:asciiTheme="minorEastAsia" w:hAnsiTheme="minorEastAsia"/>
          <w:sz w:val="52"/>
          <w:szCs w:val="52"/>
        </w:rPr>
      </w:pPr>
    </w:p>
    <w:p w14:paraId="1FEF2A4E">
      <w:pPr>
        <w:widowControl/>
        <w:jc w:val="left"/>
        <w:rPr>
          <w:rFonts w:asciiTheme="minorEastAsia" w:hAnsiTheme="minorEastAsia"/>
          <w:sz w:val="52"/>
          <w:szCs w:val="52"/>
        </w:rPr>
      </w:pPr>
    </w:p>
    <w:p w14:paraId="3536AD88">
      <w:pPr>
        <w:widowControl/>
        <w:jc w:val="left"/>
        <w:rPr>
          <w:rFonts w:asciiTheme="minorEastAsia" w:hAnsiTheme="minorEastAsia"/>
          <w:sz w:val="52"/>
          <w:szCs w:val="52"/>
        </w:rPr>
      </w:pPr>
    </w:p>
    <w:p w14:paraId="0DAC00EB">
      <w:pPr>
        <w:widowControl/>
        <w:jc w:val="left"/>
        <w:rPr>
          <w:rFonts w:asciiTheme="minorEastAsia" w:hAnsiTheme="minorEastAsia"/>
          <w:sz w:val="52"/>
          <w:szCs w:val="52"/>
        </w:rPr>
      </w:pPr>
    </w:p>
    <w:p w14:paraId="1AABE7ED">
      <w:pPr>
        <w:widowControl/>
        <w:jc w:val="left"/>
        <w:rPr>
          <w:rFonts w:asciiTheme="minorEastAsia" w:hAnsiTheme="minorEastAsia"/>
          <w:sz w:val="52"/>
          <w:szCs w:val="52"/>
        </w:rPr>
      </w:pPr>
    </w:p>
    <w:p w14:paraId="71C5590A">
      <w:pPr>
        <w:bidi w:val="0"/>
        <w:jc w:val="center"/>
        <w:rPr>
          <w:rFonts w:hint="eastAsia"/>
          <w:lang w:val="en-US" w:eastAsia="zh-CN"/>
        </w:rPr>
      </w:pPr>
    </w:p>
    <w:p w14:paraId="71D9CC84"/>
    <w:p w14:paraId="0D04E2B5"/>
    <w:p w14:paraId="3F1E3CD1"/>
    <w:p w14:paraId="20785C43"/>
    <w:p w14:paraId="3F29643E"/>
    <w:p w14:paraId="2755D68B"/>
    <w:p w14:paraId="23DDF088"/>
    <w:p w14:paraId="33CF8746"/>
    <w:p w14:paraId="12C80328"/>
    <w:p w14:paraId="3E1612E4"/>
    <w:p w14:paraId="49D76B39"/>
    <w:p w14:paraId="7F7ABA3A"/>
    <w:p w14:paraId="4C1FD801"/>
    <w:p w14:paraId="3AE1AC9F"/>
    <w:p w14:paraId="151D99A2"/>
    <w:p w14:paraId="6FB6FB65"/>
    <w:p w14:paraId="288CE46B"/>
    <w:p w14:paraId="0486A140"/>
    <w:p w14:paraId="36D56543"/>
    <w:p w14:paraId="4D81D75E"/>
    <w:p w14:paraId="762EF5BE"/>
    <w:p w14:paraId="421D388B"/>
    <w:p w14:paraId="33D15760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文档概述</w:t>
      </w:r>
      <w:bookmarkEnd w:id="0"/>
    </w:p>
    <w:p w14:paraId="79A9A317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文档目的</w:t>
      </w:r>
      <w:bookmarkEnd w:id="1"/>
    </w:p>
    <w:p w14:paraId="2BA5A2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</w:r>
    </w:p>
    <w:p w14:paraId="4C6AA9E1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适用范围</w:t>
      </w:r>
      <w:bookmarkEnd w:id="2"/>
    </w:p>
    <w:p w14:paraId="13C242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</w:r>
    </w:p>
    <w:p w14:paraId="284686B0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1.3 术语与缩写定义</w:t>
      </w:r>
      <w:bookmarkEnd w:id="3"/>
    </w:p>
    <w:p w14:paraId="74BF6271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API</w:t>
      </w:r>
      <w:r>
        <w:rPr>
          <w:rFonts w:ascii="Arial" w:hAnsi="Arial" w:eastAsia="等线" w:cs="Arial"/>
          <w:sz w:val="22"/>
        </w:rPr>
        <w:t>：应用程序编程接口，本项目指基于HTTP/HTTPS协议的服务调用接口</w:t>
      </w:r>
    </w:p>
    <w:p w14:paraId="27330C7C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RESTful</w:t>
      </w:r>
      <w:r>
        <w:rPr>
          <w:rFonts w:ascii="Arial" w:hAnsi="Arial" w:eastAsia="等线" w:cs="Arial"/>
          <w:sz w:val="22"/>
        </w:rPr>
        <w:t>：一种互联网软件架构风格，规范接口设计与调用规则</w:t>
      </w:r>
    </w:p>
    <w:p w14:paraId="5227E0A5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Token</w:t>
      </w:r>
      <w:r>
        <w:rPr>
          <w:rFonts w:ascii="Arial" w:hAnsi="Arial" w:eastAsia="等线" w:cs="Arial"/>
          <w:sz w:val="22"/>
        </w:rPr>
        <w:t>：接口身份校验令牌，用于鉴权认证</w:t>
      </w:r>
    </w:p>
    <w:p w14:paraId="72A2CB0C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请求头/Header</w:t>
      </w:r>
      <w:r>
        <w:rPr>
          <w:rFonts w:ascii="Arial" w:hAnsi="Arial" w:eastAsia="等线" w:cs="Arial"/>
          <w:sz w:val="22"/>
        </w:rPr>
        <w:t>：接口请求附加参数，用于传递鉴权、格式等信息</w:t>
      </w:r>
    </w:p>
    <w:p w14:paraId="4B4A84AF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</w:r>
      <w:r>
        <w:rPr>
          <w:rFonts w:ascii="Arial" w:hAnsi="Arial" w:eastAsia="等线" w:cs="Arial"/>
          <w:sz w:val="22"/>
        </w:rPr>
      </w:r>
    </w:p>
    <w:p w14:paraId="4C8342EB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1.4 文档修订记录</w:t>
      </w:r>
      <w:bookmarkEnd w:id="4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0E9C73FB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339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B60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修订日期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143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修订内容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B80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修订人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ACC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4115F086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3AD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F88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2026-06-07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61D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创建接口文档初稿，覆盖全部 77 个 API 接口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FB1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王士维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A01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全组参与</w:t>
            </w:r>
          </w:p>
        </w:tc>
      </w:tr>
      <w:tr w14:paraId="4CED7CDD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A88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754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2026-06-07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D16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初稿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1A5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王士维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CBB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</w:tbl>
    <w:p w14:paraId="7C43CE09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2 接口基础规范</w:t>
      </w:r>
      <w:bookmarkEnd w:id="5"/>
    </w:p>
    <w:p w14:paraId="3FE61789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2.1 接口协议与域名</w:t>
      </w:r>
      <w:bookmarkEnd w:id="6"/>
    </w:p>
    <w:p w14:paraId="47B26FCC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</w:r>
    </w:p>
    <w:p w14:paraId="35571D4A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</w:r>
    </w:p>
    <w:p w14:paraId="19620F41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</w:r>
    </w:p>
    <w:p w14:paraId="05D8C313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</w:r>
    </w:p>
    <w:p w14:paraId="6ABB9F1C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接口统一前缀：无（Nginx 剥离 /api 前缀，后端直接接收）</w:t>
      </w:r>
    </w:p>
    <w:p w14:paraId="1D47CD54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2.2 请求方式规范</w:t>
      </w:r>
      <w:bookmarkEnd w:id="7"/>
    </w:p>
    <w:p w14:paraId="06F691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接口遵循标准RESTful请求方式，具体定义如下：</w:t>
      </w:r>
    </w:p>
    <w:p w14:paraId="74EB94D0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GET</w:t>
      </w:r>
      <w:r>
        <w:rPr>
          <w:rFonts w:ascii="Arial" w:hAnsi="Arial" w:eastAsia="等线" w:cs="Arial"/>
          <w:sz w:val="22"/>
        </w:rPr>
        <w:t>：用于查询、获取资源，无副作用，参数拼接在URL后</w:t>
      </w:r>
    </w:p>
    <w:p w14:paraId="2E69B18A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POST</w:t>
      </w:r>
      <w:r>
        <w:rPr>
          <w:rFonts w:ascii="Arial" w:hAnsi="Arial" w:eastAsia="等线" w:cs="Arial"/>
          <w:sz w:val="22"/>
        </w:rPr>
        <w:t>：用于新增资源、提交数据，参数放在请求体</w:t>
      </w:r>
    </w:p>
    <w:p w14:paraId="64544EBB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PUT</w:t>
      </w:r>
      <w:r>
        <w:rPr>
          <w:rFonts w:ascii="Arial" w:hAnsi="Arial" w:eastAsia="等线" w:cs="Arial"/>
          <w:sz w:val="22"/>
        </w:rPr>
        <w:t>：用于更新资源（全量更新），参数放在请求体</w:t>
      </w:r>
    </w:p>
    <w:p w14:paraId="4A4A4DFD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DELETE</w:t>
      </w:r>
      <w:r>
        <w:rPr>
          <w:rFonts w:ascii="Arial" w:hAnsi="Arial" w:eastAsia="等线" w:cs="Arial"/>
          <w:sz w:val="22"/>
        </w:rPr>
        <w:t>：用于删除资源，参数可拼接URL或放请求体</w:t>
      </w:r>
    </w:p>
    <w:p w14:paraId="06D65FB2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PATCH</w:t>
      </w:r>
      <w:r>
        <w:rPr>
          <w:rFonts w:ascii="Arial" w:hAnsi="Arial" w:eastAsia="等线" w:cs="Arial"/>
          <w:sz w:val="22"/>
        </w:rPr>
        <w:t>：用于更新资源（局部更新），参数放在请求体</w:t>
      </w:r>
    </w:p>
    <w:p w14:paraId="599F4DF9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2.3 请求参数规范</w:t>
      </w:r>
      <w:bookmarkEnd w:id="8"/>
    </w:p>
    <w:p w14:paraId="73C7B1B8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请求体格式：application/json，文件上传使用 multipart/form-data</w:t>
      </w:r>
    </w:p>
    <w:p w14:paraId="476023DF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字符编码：统一采用UTF-8编码，禁止其他编码格式</w:t>
      </w:r>
    </w:p>
    <w:p w14:paraId="20410C5D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参数命名：采用小驼峰命名法，禁止特殊字符、中文命名</w:t>
      </w:r>
    </w:p>
    <w:p w14:paraId="5B4056A8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参数传递：公共参数放请求头，业务参数按需放URL/请求体</w:t>
      </w:r>
    </w:p>
    <w:p w14:paraId="4662820F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2.4 响应数据规范</w:t>
      </w:r>
      <w:bookmarkEnd w:id="9"/>
    </w:p>
    <w:p w14:paraId="7643AE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接口统一返回JSON格式数据，基础响应体结构固定，具体如下：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DC2FF8A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6797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  <w:br/>
              <w:t>{</w:t>
              <w:br/>
              <w:t xml:space="preserve">    "code": 200,</w:t>
              <w:br/>
              <w:t xml:space="preserve">    "msg": "success",</w:t>
              <w:br/>
              <w:t xml:space="preserve">    "data": {</w:t>
              <w:br/>
              <w:t xml:space="preserve">        "token": "eyJhbGciOiJIUzI1NiJ9...",</w:t>
              <w:br/>
              <w:t xml:space="preserve">        "userInfo": {</w:t>
              <w:br/>
              <w:t xml:space="preserve">            "id": 1,</w:t>
              <w:br/>
              <w:t xml:space="preserve">            "username": "admin",</w:t>
              <w:br/>
              <w:t xml:space="preserve">            "realName": "系统管理员",</w:t>
              <w:br/>
              <w:t xml:space="preserve">            "roleId": 1,</w:t>
              <w:br/>
              <w:t xml:space="preserve">            "avatar": null</w:t>
              <w:br/>
              <w:t xml:space="preserve">        }</w:t>
              <w:br/>
              <w:t xml:space="preserve">    },</w:t>
              <w:br/>
              <w:t xml:space="preserve">    "timestamp": 1717000000000</w:t>
              <w:br/>
              <w:t>}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</w:r>
            <w:r>
              <w:rPr>
                <w:rFonts w:ascii="Consolas" w:hAnsi="Consolas" w:eastAsia="Consolas" w:cs="Consolas"/>
                <w:sz w:val="22"/>
              </w:rPr>
            </w:r>
            <w:r>
              <w:rPr>
                <w:rFonts w:ascii="Consolas" w:hAnsi="Consolas" w:eastAsia="Consolas" w:cs="Consolas"/>
                <w:sz w:val="22"/>
              </w:rPr>
            </w:r>
            <w:r>
              <w:rPr>
                <w:rFonts w:ascii="Consolas" w:hAnsi="Consolas" w:eastAsia="Consolas" w:cs="Consolas"/>
                <w:sz w:val="22"/>
              </w:rPr>
            </w:r>
            <w:r>
              <w:rPr>
                <w:rFonts w:ascii="Consolas" w:hAnsi="Consolas" w:eastAsia="Consolas" w:cs="Consolas"/>
                <w:sz w:val="22"/>
              </w:rPr>
            </w:r>
            <w:r>
              <w:rPr>
                <w:rFonts w:ascii="Consolas" w:hAnsi="Consolas" w:eastAsia="Consolas" w:cs="Consolas"/>
                <w:sz w:val="22"/>
              </w:rPr>
            </w:r>
            <w:r>
              <w:rPr>
                <w:rFonts w:ascii="Consolas" w:hAnsi="Consolas" w:eastAsia="Consolas" w:cs="Consolas"/>
                <w:sz w:val="22"/>
              </w:rPr>
            </w:r>
            <w:r>
              <w:rPr>
                <w:rFonts w:ascii="Consolas" w:hAnsi="Consolas" w:eastAsia="Consolas" w:cs="Consolas"/>
                <w:sz w:val="22"/>
              </w:rPr>
            </w:r>
            <w:r>
              <w:rPr>
                <w:rFonts w:ascii="Consolas" w:hAnsi="Consolas" w:eastAsia="Consolas" w:cs="Consolas"/>
                <w:sz w:val="22"/>
              </w:rPr>
            </w:r>
            <w:r>
              <w:rPr>
                <w:rFonts w:ascii="Consolas" w:hAnsi="Consolas" w:eastAsia="Consolas" w:cs="Consolas"/>
                <w:sz w:val="22"/>
              </w:rPr>
            </w:r>
            <w:r>
              <w:rPr>
                <w:rFonts w:ascii="Consolas" w:hAnsi="Consolas" w:eastAsia="Consolas" w:cs="Consolas"/>
                <w:sz w:val="22"/>
              </w:rPr>
            </w:r>
            <w:r>
              <w:rPr>
                <w:rFonts w:ascii="Consolas" w:hAnsi="Consolas" w:eastAsia="Consolas" w:cs="Consolas"/>
                <w:sz w:val="22"/>
              </w:rPr>
            </w:r>
          </w:p>
        </w:tc>
      </w:tr>
    </w:tbl>
    <w:p w14:paraId="4BC62E43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code：0表示请求成功，非0表示请求失败，对应异常码见5.1章节</w:t>
      </w:r>
    </w:p>
    <w:p w14:paraId="28ED54C8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msg：响应结果描述，成功返回success，失败返回具体报错信息</w:t>
      </w:r>
    </w:p>
    <w:p w14:paraId="65F11234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data：业务响应数据，无数据时返回null/空对象/空数组</w:t>
      </w:r>
    </w:p>
    <w:p w14:paraId="5C4387B7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timestamp：接口响应时间戳，便于排查接口耗时问题</w:t>
      </w:r>
    </w:p>
    <w:p w14:paraId="45E5A027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2.5 鉴权与安全规范</w:t>
      </w:r>
      <w:bookmarkEnd w:id="10"/>
    </w:p>
    <w:p w14:paraId="1E404B58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</w:r>
    </w:p>
    <w:p w14:paraId="78510A5A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</w:r>
    </w:p>
    <w:p w14:paraId="663865C9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</w:r>
    </w:p>
    <w:p w14:paraId="35DA72D3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敏感信息：禁止明文传递密码、手机号等敏感数据，需加密传输</w:t>
      </w:r>
    </w:p>
    <w:p w14:paraId="7D6C33E3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</w:r>
    </w:p>
    <w:p w14:paraId="225DB5E3">
      <w:pPr>
        <w:spacing w:before="380" w:after="140" w:line="288" w:lineRule="auto"/>
        <w:ind w:left="0"/>
        <w:jc w:val="left"/>
        <w:outlineLvl w:val="0"/>
      </w:pPr>
      <w:bookmarkStart w:id="11" w:name="heading_11"/>
      <w:r>
        <w:rPr>
          <w:rFonts w:ascii="Arial" w:hAnsi="Arial" w:eastAsia="等线" w:cs="Arial"/>
          <w:b/>
          <w:sz w:val="36"/>
        </w:rPr>
        <w:t>3 公共参数说明</w:t>
      </w:r>
      <w:bookmarkEnd w:id="11"/>
    </w:p>
    <w:p w14:paraId="2E1B7BF0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3.1 公共请求头参数</w:t>
      </w:r>
      <w:bookmarkEnd w:id="12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5D59ACA6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15F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Content-Type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C9F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A33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7AD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请求体数据格式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B2E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application/json</w:t>
            </w:r>
          </w:p>
        </w:tc>
      </w:tr>
      <w:tr w14:paraId="3CDF866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F34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Authorization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E50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E9F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否（登录接口不需要）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1D09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身份校验 JWT Token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0BE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Bearer eyJhbGciOiJIUzI1NiJ9...</w:t>
            </w:r>
          </w:p>
        </w:tc>
      </w:tr>
      <w:tr w14:paraId="64A1C9BB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D27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Content-Type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D84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E4B4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194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请求体数据格式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A7A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application/json</w:t>
            </w:r>
          </w:p>
        </w:tc>
      </w:tr>
      <w:tr w14:paraId="18F28F6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85F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Authorization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189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2EE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1D6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身份校验令牌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637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Bearer xxxxxxxx</w:t>
            </w:r>
          </w:p>
        </w:tc>
      </w:tr>
    </w:tbl>
    <w:p w14:paraId="263506C3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3.2 公共请求参数</w:t>
      </w:r>
      <w:bookmarkEnd w:id="13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70C71BED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AE5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Content-Type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816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8C1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2C3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请求体数据格式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17E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application/json</w:t>
            </w:r>
          </w:p>
        </w:tc>
      </w:tr>
      <w:tr w14:paraId="20FB2F09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A11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Authorization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60F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775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否（登录接口不需要）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37B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身份校验 JWT Token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438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Bearer eyJhbGciOiJIUzI1NiJ9...</w:t>
            </w:r>
          </w:p>
        </w:tc>
      </w:tr>
    </w:tbl>
    <w:p w14:paraId="127F91AD">
      <w:pPr>
        <w:spacing w:before="380" w:after="140" w:line="288" w:lineRule="auto"/>
        <w:ind w:left="0"/>
        <w:jc w:val="left"/>
        <w:outlineLvl w:val="0"/>
      </w:pPr>
      <w:bookmarkStart w:id="14" w:name="heading_14"/>
      <w:r>
        <w:rPr>
          <w:rFonts w:ascii="Arial" w:hAnsi="Arial" w:eastAsia="等线" w:cs="Arial"/>
          <w:b/>
          <w:sz w:val="36"/>
        </w:rPr>
        <w:t>4 接口明细（按模块分类）</w:t>
      </w:r>
      <w:bookmarkEnd w:id="14"/>
    </w:p>
    <w:p w14:paraId="117F5DDF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4.1 认证模块（/auth/*）</w:t>
      </w:r>
      <w:bookmarkEnd w:id="15"/>
    </w:p>
    <w:p w14:paraId="5505955E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4.1.1 用户登录</w:t>
      </w:r>
      <w:bookmarkEnd w:id="16"/>
    </w:p>
    <w:p w14:paraId="1EAD5B8E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接口标识：AUTH-LOGIN-001</w:t>
      </w:r>
    </w:p>
    <w:p w14:paraId="3E5FDD14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接口路径：POST /auth/login</w:t>
      </w:r>
    </w:p>
    <w:p w14:paraId="59B79816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请求方式：POST</w:t>
      </w:r>
    </w:p>
    <w:p w14:paraId="651C2E0B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接口描述：用户通过账号密码登录，返回 JWT Token 用于后续请求鉴权</w:t>
      </w:r>
    </w:p>
    <w:p w14:paraId="46C1F813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是否需要鉴权：否</w:t>
      </w:r>
    </w:p>
    <w:p w14:paraId="3409105F">
      <w:pPr>
        <w:spacing w:before="260" w:after="120" w:line="288" w:lineRule="auto"/>
        <w:ind w:left="0"/>
        <w:jc w:val="left"/>
        <w:outlineLvl w:val="3"/>
      </w:pPr>
      <w:bookmarkStart w:id="17" w:name="heading_17"/>
      <w:r>
        <w:rPr>
          <w:rFonts w:ascii="Arial" w:hAnsi="Arial" w:eastAsia="等线" w:cs="Arial"/>
          <w:b/>
          <w:sz w:val="28"/>
        </w:rPr>
        <w:t>4.1.1.1 请求参数</w:t>
      </w:r>
      <w:bookmarkEnd w:id="17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4AACF4E5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AE1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Content-Type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95F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CE5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C5A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请求体数据格式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57A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application/json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5CE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示例值</w:t>
            </w:r>
          </w:p>
        </w:tc>
      </w:tr>
      <w:tr w14:paraId="7AC7A573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54D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Authorization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8F6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0BE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否（登录接口不需要）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1FE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身份校验 JWT Token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786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Bearer eyJhbGciOiJIUzI1NiJ9...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4FF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【示例】</w:t>
            </w:r>
          </w:p>
        </w:tc>
      </w:tr>
    </w:tbl>
    <w:p w14:paraId="21B2376B">
      <w:pPr>
        <w:spacing w:before="260" w:after="120" w:line="288" w:lineRule="auto"/>
        <w:ind w:left="0"/>
        <w:jc w:val="left"/>
        <w:outlineLvl w:val="3"/>
      </w:pPr>
      <w:bookmarkStart w:id="18" w:name="heading_18"/>
      <w:r>
        <w:rPr>
          <w:rFonts w:ascii="Arial" w:hAnsi="Arial" w:eastAsia="等线" w:cs="Arial"/>
          <w:b/>
          <w:sz w:val="28"/>
        </w:rPr>
        <w:t>4.1.1.2 响应参数</w:t>
      </w:r>
      <w:bookmarkEnd w:id="18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427B273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929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Content-Type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836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87B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79D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请求体数据格式</w:t>
            </w:r>
          </w:p>
        </w:tc>
      </w:tr>
      <w:tr w14:paraId="4810D2BE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E34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Authorization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35B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D9F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否（登录接口不需要）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1F3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身份校验 JWT Token</w:t>
            </w:r>
          </w:p>
        </w:tc>
      </w:tr>
    </w:tbl>
    <w:p w14:paraId="25BB4707">
      <w:pPr>
        <w:spacing w:before="260" w:after="120" w:line="288" w:lineRule="auto"/>
        <w:ind w:left="0"/>
        <w:jc w:val="left"/>
        <w:outlineLvl w:val="3"/>
      </w:pPr>
      <w:bookmarkStart w:id="19" w:name="heading_19"/>
      <w:r>
        <w:rPr>
          <w:rFonts w:ascii="Arial" w:hAnsi="Arial" w:eastAsia="等线" w:cs="Arial"/>
          <w:b/>
          <w:sz w:val="28"/>
        </w:rPr>
        <w:t>4.1.1.3 成功响应示例</w:t>
      </w:r>
      <w:bookmarkEnd w:id="19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86964DF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3062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  <w:br/>
              <w:t>{</w:t>
              <w:br/>
              <w:t xml:space="preserve">  "code": 200,</w:t>
              <w:br/>
              <w:t xml:space="preserve">  "msg": "success",</w:t>
              <w:br/>
              <w:t xml:space="preserve">  "data": { ... },</w:t>
              <w:br/>
              <w:t xml:space="preserve">  "timestamp": 1717000000000</w:t>
              <w:br/>
              <w:t>}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</w:r>
            <w:r>
              <w:rPr>
                <w:rFonts w:ascii="Consolas" w:hAnsi="Consolas" w:eastAsia="Consolas" w:cs="Consolas"/>
                <w:sz w:val="22"/>
              </w:rPr>
            </w:r>
          </w:p>
        </w:tc>
      </w:tr>
    </w:tbl>
    <w:p w14:paraId="47377C2F">
      <w:pPr>
        <w:spacing w:before="260" w:after="120" w:line="288" w:lineRule="auto"/>
        <w:ind w:left="0"/>
        <w:jc w:val="left"/>
        <w:outlineLvl w:val="3"/>
      </w:pPr>
      <w:bookmarkStart w:id="20" w:name="heading_20"/>
      <w:r>
        <w:rPr>
          <w:rFonts w:ascii="Arial" w:hAnsi="Arial" w:eastAsia="等线" w:cs="Arial"/>
          <w:b/>
          <w:sz w:val="28"/>
        </w:rPr>
        <w:t>4.1.1.4 失败响应示例</w:t>
      </w:r>
      <w:bookmarkEnd w:id="20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1E2D530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0BD6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  <w:br/>
              <w:t>{</w:t>
              <w:br/>
              <w:t xml:space="preserve">  "code": 1002,</w:t>
              <w:br/>
              <w:t xml:space="preserve">  "msg": "Token已过期，请重新登录",</w:t>
              <w:br/>
              <w:t xml:space="preserve">  "data": null,</w:t>
              <w:br/>
              <w:t xml:space="preserve">  "timestamp": 1717000000000</w:t>
              <w:br/>
              <w:t>}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</w:r>
            <w:r>
              <w:rPr>
                <w:rFonts w:ascii="Consolas" w:hAnsi="Consolas" w:eastAsia="Consolas" w:cs="Consolas"/>
                <w:sz w:val="22"/>
              </w:rPr>
            </w:r>
          </w:p>
        </w:tc>
      </w:tr>
    </w:tbl>
    <w:p w14:paraId="0CFBE011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4.1.2 获取用户信息</w:t>
      </w:r>
      <w:bookmarkEnd w:id="21"/>
    </w:p>
    <w:p w14:paraId="5C1B2D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参考4.1.1章节格式，完善接口路径、请求方式、参数、响应示例等内容</w:t>
      </w:r>
    </w:p>
    <w:p w14:paraId="499EFA4C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4.2 作品管理模块（/student/works/*）</w:t>
      </w:r>
      <w:bookmarkEnd w:id="22"/>
    </w:p>
    <w:p w14:paraId="17EFA4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参考4.1章节格式，按接口逐一梳理明细，包含请求、响应、示例全内容</w:t>
      </w:r>
    </w:p>
    <w:p w14:paraId="63DFE027">
      <w:pPr>
        <w:spacing w:before="380" w:after="140" w:line="288" w:lineRule="auto"/>
        <w:ind w:left="0"/>
        <w:jc w:val="left"/>
        <w:outlineLvl w:val="0"/>
      </w:pPr>
      <w:bookmarkStart w:id="23" w:name="heading_23"/>
      <w:r>
        <w:rPr>
          <w:rFonts w:ascii="Arial" w:hAnsi="Arial" w:eastAsia="等线" w:cs="Arial"/>
          <w:b/>
          <w:sz w:val="36"/>
        </w:rPr>
        <w:t>5 异常处理说明</w:t>
      </w:r>
      <w:bookmarkEnd w:id="23"/>
    </w:p>
    <w:p w14:paraId="1442F10F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5.1 全局异常状态码</w:t>
      </w:r>
      <w:bookmarkEnd w:id="24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DEF3434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BAB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FD5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请求成功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DAF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接口调用正常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9DE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正常解析响应数据</w:t>
            </w:r>
          </w:p>
        </w:tc>
      </w:tr>
      <w:tr w14:paraId="48FDD989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694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46C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参数错误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7FF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请求参数缺失、格式错误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45D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检查参数完整性与格式规范</w:t>
            </w:r>
          </w:p>
        </w:tc>
      </w:tr>
      <w:tr w14:paraId="26DF9435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45E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654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Token无效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10E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Token过期、错误、未携带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2E3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重新获取有效Token</w:t>
            </w:r>
          </w:p>
        </w:tc>
      </w:tr>
      <w:tr w14:paraId="1C7B5864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265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E6B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无接口权限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B34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当前用户无该接口调用权限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98A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申请对应接口权限</w:t>
            </w:r>
          </w:p>
        </w:tc>
      </w:tr>
      <w:tr w14:paraId="053804E6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D52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834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账号已禁用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9EE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用户账号已被管理员禁用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C23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联系管理员</w:t>
            </w:r>
          </w:p>
        </w:tc>
      </w:tr>
      <w:tr w14:paraId="787149EF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E8E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115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作品状态不允许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059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当前状态不支持该操作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913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检查作品状态</w:t>
            </w:r>
          </w:p>
        </w:tc>
      </w:tr>
      <w:tr w14:paraId="25C6FC3F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4C8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7B9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服务器异常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5D1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服务端内部报错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E3D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联系运维/开发人员排查</w:t>
            </w:r>
          </w:p>
        </w:tc>
      </w:tr>
    </w:tbl>
    <w:p w14:paraId="150DBEF7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5.2 接口常见异常场景</w:t>
      </w:r>
      <w:bookmarkEnd w:id="25"/>
    </w:p>
    <w:p w14:paraId="10F548C9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【场景1】Token 过期：请求返回 code=1002 → 前端跳转登录页重新获取 Token</w:t>
      </w:r>
    </w:p>
    <w:p w14:paraId="0732498B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【场景2】参数校验失败：请求返回 code=1001 → 检查必填参数是否完整、格式是否正确</w:t>
      </w:r>
    </w:p>
    <w:p w14:paraId="380A6502">
      <w:pPr>
        <w:spacing w:before="380" w:after="140" w:line="288" w:lineRule="auto"/>
        <w:ind w:left="0"/>
        <w:jc w:val="left"/>
        <w:outlineLvl w:val="0"/>
      </w:pPr>
      <w:bookmarkStart w:id="26" w:name="heading_26"/>
      <w:r>
        <w:rPr>
          <w:rFonts w:ascii="Arial" w:hAnsi="Arial" w:eastAsia="等线" w:cs="Arial"/>
          <w:b/>
          <w:sz w:val="36"/>
        </w:rPr>
        <w:t>6 接口调试与测试</w:t>
      </w:r>
      <w:bookmarkEnd w:id="26"/>
    </w:p>
    <w:p w14:paraId="1E44E456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6.1 调试工具推荐</w:t>
      </w:r>
      <w:bookmarkEnd w:id="27"/>
    </w:p>
    <w:p w14:paraId="30E918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推荐接口调试工具：Postman / Knife4j（http://localhost:8080/doc.html），获取 Token 后添加 Authorization 请求头，按接口文档传参测试</w:t>
      </w:r>
    </w:p>
    <w:p w14:paraId="70B456C8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6.2 调试注意事项</w:t>
      </w:r>
      <w:bookmarkEnd w:id="28"/>
    </w:p>
    <w:p w14:paraId="2539912E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调试需对应环境域名，禁止跨环境调用接口</w:t>
      </w:r>
    </w:p>
    <w:p w14:paraId="514B6DDC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调试前需获取有效鉴权信息，确保接口权限正常</w:t>
      </w:r>
    </w:p>
    <w:p w14:paraId="6DFDA36B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敏感接口调试禁止使用真实业务数据，避免数据污染</w:t>
      </w:r>
    </w:p>
    <w:p w14:paraId="4D582B98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调试完成后需清理测试数据，保障环境整洁</w:t>
      </w:r>
    </w:p>
    <w:p w14:paraId="6A1ADAC0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6.3 测试用例示例</w:t>
      </w:r>
      <w:bookmarkEnd w:id="29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186E3BA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AC5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接口名称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70D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用例类型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B3B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测试参数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01E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207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实际结果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E2B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测试状态</w:t>
            </w:r>
          </w:p>
        </w:tc>
      </w:tr>
      <w:tr w14:paraId="22918B8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D89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【接口名】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647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【正常/异常】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77B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【测试参数】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440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【预期响应】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C53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【实际响应】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1E4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【通过/失败】</w:t>
            </w:r>
          </w:p>
        </w:tc>
      </w:tr>
    </w:tbl>
    <w:p w14:paraId="5AC53166">
      <w:pPr>
        <w:spacing w:before="380" w:after="140" w:line="288" w:lineRule="auto"/>
        <w:ind w:left="0"/>
        <w:jc w:val="left"/>
        <w:outlineLvl w:val="0"/>
      </w:pPr>
      <w:bookmarkStart w:id="30" w:name="heading_30"/>
      <w:r>
        <w:rPr>
          <w:rFonts w:ascii="Arial" w:hAnsi="Arial" w:eastAsia="等线" w:cs="Arial"/>
          <w:b/>
          <w:sz w:val="36"/>
        </w:rPr>
        <w:t>7 附录</w:t>
      </w:r>
      <w:bookmarkEnd w:id="30"/>
    </w:p>
    <w:p w14:paraId="1219CD64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附录1：JWT 签名算法（HMAC-SHA256）</w:t>
      </w:r>
    </w:p>
    <w:p w14:paraId="39F4D143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附录2：接口调用常见问题——① 检查 Token 是否过期（24h 有效期）② 检查请求头 Authorization 格式是否为 Bearer + Token ③ 确认请求路径和参数格式</w:t>
      </w:r>
    </w:p>
    <w:p w14:paraId="308204B4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附录3：当前版本 V1.0，新增接口不影响旧版本兼容性</w:t>
      </w:r>
    </w:p>
    <w:p w14:paraId="3E73C929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附录4：请联系 IT 学院系统管理员，或访问 Knife4j 在线文档 http://localhost:8080/doc.html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  <w:p>
      <w:pPr>
        <w:pStyle w:val="Heading2"/>
      </w:pPr>
      <w:r>
        <w:t>4.1 认证模块（/auth/*）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00"/>
        <w:gridCol w:w="2800"/>
        <w:gridCol w:w="1200"/>
        <w:gridCol w:w="200"/>
      </w:tblGrid>
      <w:tr>
        <w:tc>
          <w:tcPr>
            <w:tcW w:w="800" w:type="dxa"/>
          </w:tcPr>
          <w:p>
            <w:pPr>
              <w:spacing w:before="20" w:after="20"/>
            </w:pPr>
            <w:r>
              <w:rPr>
                <w:b/>
              </w:rPr>
              <w:t xml:space="preserve">方法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b/>
              </w:rPr>
              <w:t xml:space="preserve">路径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b/>
              </w:rPr>
              <w:t xml:space="preserve">说明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>
                <w:b/>
              </w:rPr>
              <w:t xml:space="preserve">鉴权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POST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/auth/login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用户登录（账号密码）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GET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/auth/user-info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获取当前用户信息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PUT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/auth/change-password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修改密码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PUT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/auth/profile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更新个人信息（手机号/邮箱）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POST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/auth/logout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退出登录（Token加入黑名单）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POST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/auth/send-code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发送邮箱验证码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POST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/auth/register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邮箱验证码注册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GET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/auth/check-first-login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首次登录检测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</w:tbl>
    <w:p>
      <w:r>
        <w:t/>
      </w:r>
    </w:p>
    <w:p>
      <w:pPr>
        <w:pStyle w:val="Heading2"/>
      </w:pPr>
      <w:r>
        <w:t>4.3 管理端 — 仪表盘（/admin/dashboard/*）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00"/>
        <w:gridCol w:w="2800"/>
        <w:gridCol w:w="1200"/>
        <w:gridCol w:w="200"/>
      </w:tblGrid>
      <w:tr>
        <w:tc>
          <w:tcPr>
            <w:tcW w:w="800" w:type="dxa"/>
          </w:tcPr>
          <w:p>
            <w:pPr>
              <w:spacing w:before="20" w:after="20"/>
            </w:pPr>
            <w:r>
              <w:rPr>
                <w:b/>
              </w:rPr>
              <w:t xml:space="preserve">方法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b/>
              </w:rPr>
              <w:t xml:space="preserve">路径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b/>
              </w:rPr>
              <w:t xml:space="preserve">说明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>
                <w:b/>
              </w:rPr>
              <w:t xml:space="preserve">鉴权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GET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/admin/dashboard/stats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仪表盘统计数据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GET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/admin/dashboard/charts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仪表盘图表数据（ECharts）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</w:tbl>
    <w:p>
      <w:r>
        <w:t/>
      </w:r>
    </w:p>
    <w:p>
      <w:pPr>
        <w:pStyle w:val="Heading2"/>
      </w:pPr>
      <w:r>
        <w:t>4.4 管理端 — 审核管理（/admin/audit/*）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00"/>
        <w:gridCol w:w="2800"/>
        <w:gridCol w:w="1200"/>
        <w:gridCol w:w="200"/>
      </w:tblGrid>
      <w:tr>
        <w:tc>
          <w:tcPr>
            <w:tcW w:w="800" w:type="dxa"/>
          </w:tcPr>
          <w:p>
            <w:pPr>
              <w:spacing w:before="20" w:after="20"/>
            </w:pPr>
            <w:r>
              <w:rPr>
                <w:b/>
              </w:rPr>
              <w:t xml:space="preserve">方法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b/>
              </w:rPr>
              <w:t xml:space="preserve">路径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b/>
              </w:rPr>
              <w:t xml:space="preserve">说明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>
                <w:b/>
              </w:rPr>
              <w:t xml:space="preserve">鉴权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GET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/admin/audit/list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审核列表（分页筛选）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GET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/admin/audit/{id}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作品详情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POST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/admin/audit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提交审核结果（通过/驳回）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GET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/admin/audit/{id}/history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审核历史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POST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/admin/audit/{id}/publish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发布作品（前台可见）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POST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/admin/audit/{id}/offline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下线作品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POST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/admin/audit/{id}/featured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设置/取消精选+预览地址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</w:tbl>
    <w:p>
      <w:r>
        <w:t/>
      </w:r>
    </w:p>
    <w:p>
      <w:pPr>
        <w:pStyle w:val="Heading2"/>
      </w:pPr>
      <w:r>
        <w:t>4.5 管理端 — 评论管理（/admin/comment/*）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00"/>
        <w:gridCol w:w="2800"/>
        <w:gridCol w:w="1200"/>
        <w:gridCol w:w="200"/>
      </w:tblGrid>
      <w:tr>
        <w:tc>
          <w:tcPr>
            <w:tcW w:w="800" w:type="dxa"/>
          </w:tcPr>
          <w:p>
            <w:pPr>
              <w:spacing w:before="20" w:after="20"/>
            </w:pPr>
            <w:r>
              <w:rPr>
                <w:b/>
              </w:rPr>
              <w:t xml:space="preserve">方法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b/>
              </w:rPr>
              <w:t xml:space="preserve">路径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b/>
              </w:rPr>
              <w:t xml:space="preserve">说明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>
                <w:b/>
              </w:rPr>
              <w:t xml:space="preserve">鉴权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GET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/admin/comment/list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评论列表（分页/筛选）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GET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/admin/comment/work-options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评论涉及作品选项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DELETE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/admin/comment/{id}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删除评论（含其回复）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</w:tbl>
    <w:p>
      <w:r>
        <w:t/>
      </w:r>
    </w:p>
    <w:p>
      <w:pPr>
        <w:pStyle w:val="Heading2"/>
      </w:pPr>
      <w:r>
        <w:t>4.6 管理端 — 公告管理（/admin/notice/*）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00"/>
        <w:gridCol w:w="2800"/>
        <w:gridCol w:w="1200"/>
        <w:gridCol w:w="200"/>
      </w:tblGrid>
      <w:tr>
        <w:tc>
          <w:tcPr>
            <w:tcW w:w="800" w:type="dxa"/>
          </w:tcPr>
          <w:p>
            <w:pPr>
              <w:spacing w:before="20" w:after="20"/>
            </w:pPr>
            <w:r>
              <w:rPr>
                <w:b/>
              </w:rPr>
              <w:t xml:space="preserve">方法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b/>
              </w:rPr>
              <w:t xml:space="preserve">路径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b/>
              </w:rPr>
              <w:t xml:space="preserve">说明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>
                <w:b/>
              </w:rPr>
              <w:t xml:space="preserve">鉴权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GET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/admin/notice/list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公告列表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POST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/admin/notice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创建公告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PUT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/admin/notice/{id}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更新公告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DELETE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/admin/notice/{id}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删除公告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</w:tbl>
    <w:p>
      <w:r>
        <w:t/>
      </w:r>
    </w:p>
    <w:p>
      <w:pPr>
        <w:pStyle w:val="Heading2"/>
      </w:pPr>
      <w:r>
        <w:t>4.7 管理端 — 评审批次（/admin/score-batch/*）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00"/>
        <w:gridCol w:w="2800"/>
        <w:gridCol w:w="1200"/>
        <w:gridCol w:w="200"/>
      </w:tblGrid>
      <w:tr>
        <w:tc>
          <w:tcPr>
            <w:tcW w:w="800" w:type="dxa"/>
          </w:tcPr>
          <w:p>
            <w:pPr>
              <w:spacing w:before="20" w:after="20"/>
            </w:pPr>
            <w:r>
              <w:rPr>
                <w:b/>
              </w:rPr>
              <w:t xml:space="preserve">方法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b/>
              </w:rPr>
              <w:t xml:space="preserve">路径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b/>
              </w:rPr>
              <w:t xml:space="preserve">说明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>
                <w:b/>
              </w:rPr>
              <w:t xml:space="preserve">鉴权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GET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/admin/score-batch/list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评审批次列表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POST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/admin/score-batch/create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创建评分批次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PUT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/admin/score-batch/update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更新评分批次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DELETE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/admin/score-batch/{id}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删除评分批次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GET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/admin/score-batch/active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获取当前活跃批次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POST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/admin/score-batch/{id}/publish-ranking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公示排行榜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POST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/admin/score-batch/{id}/unpublish-ranking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取消排行榜公示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PUT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/admin/score-batch/{id}/notice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保存批次通知内容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POST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/admin/score-batch/{id}/publish-notice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发布批次通知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</w:tbl>
    <w:p>
      <w:r>
        <w:t/>
      </w:r>
    </w:p>
    <w:p>
      <w:pPr>
        <w:pStyle w:val="Heading2"/>
      </w:pPr>
      <w:r>
        <w:t>4.8 管理端 — 用户管理（/admin/users/*）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00"/>
        <w:gridCol w:w="2800"/>
        <w:gridCol w:w="1200"/>
        <w:gridCol w:w="200"/>
      </w:tblGrid>
      <w:tr>
        <w:tc>
          <w:tcPr>
            <w:tcW w:w="800" w:type="dxa"/>
          </w:tcPr>
          <w:p>
            <w:pPr>
              <w:spacing w:before="20" w:after="20"/>
            </w:pPr>
            <w:r>
              <w:rPr>
                <w:b/>
              </w:rPr>
              <w:t xml:space="preserve">方法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b/>
              </w:rPr>
              <w:t xml:space="preserve">路径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b/>
              </w:rPr>
              <w:t xml:space="preserve">说明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>
                <w:b/>
              </w:rPr>
              <w:t xml:space="preserve">鉴权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GET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/admin/users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用户分页列表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POST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/admin/users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创建用户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GET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/admin/users/{id}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用户详情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PUT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/admin/users/{id}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更新用户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PUT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/admin/users/{id}/status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更新用户状态（启用/禁用）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POST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/admin/users/batch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批量导入用户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POST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/admin/users/batch/ai-parse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AI 解析批量导入文本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</w:tbl>
    <w:p>
      <w:r>
        <w:t/>
      </w:r>
    </w:p>
    <w:p>
      <w:pPr>
        <w:pStyle w:val="Heading2"/>
      </w:pPr>
      <w:r>
        <w:t>4.9 管理端 — 角色权限（/admin/roles/*）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00"/>
        <w:gridCol w:w="2800"/>
        <w:gridCol w:w="1200"/>
        <w:gridCol w:w="200"/>
      </w:tblGrid>
      <w:tr>
        <w:tc>
          <w:tcPr>
            <w:tcW w:w="800" w:type="dxa"/>
          </w:tcPr>
          <w:p>
            <w:pPr>
              <w:spacing w:before="20" w:after="20"/>
            </w:pPr>
            <w:r>
              <w:rPr>
                <w:b/>
              </w:rPr>
              <w:t xml:space="preserve">方法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b/>
              </w:rPr>
              <w:t xml:space="preserve">路径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b/>
              </w:rPr>
              <w:t xml:space="preserve">说明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>
                <w:b/>
              </w:rPr>
              <w:t xml:space="preserve">鉴权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GET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/admin/roles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角色分页列表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GET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/admin/roles/{id}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角色详情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POST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/admin/roles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新增角色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PUT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/admin/roles/{id}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编辑角色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DELETE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/admin/roles/{id}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删除角色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GET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/admin/roles/{id}/menus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获取角色已分配菜单 ID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PUT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/admin/roles/{id}/menus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为角色分配菜单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GET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/admin/menus/tree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获取菜单树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POST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/admin/menus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新增菜单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PUT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/admin/menus/{id}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编辑菜单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DELETE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/admin/menus/{id}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删除菜单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</w:tbl>
    <w:p>
      <w:r>
        <w:t/>
      </w:r>
    </w:p>
    <w:p>
      <w:pPr>
        <w:pStyle w:val="Heading2"/>
      </w:pPr>
      <w:r>
        <w:t>4.10 管理端 — 内容审核规则（/admin/rule/*）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00"/>
        <w:gridCol w:w="2800"/>
        <w:gridCol w:w="1200"/>
        <w:gridCol w:w="200"/>
      </w:tblGrid>
      <w:tr>
        <w:tc>
          <w:tcPr>
            <w:tcW w:w="800" w:type="dxa"/>
          </w:tcPr>
          <w:p>
            <w:pPr>
              <w:spacing w:before="20" w:after="20"/>
            </w:pPr>
            <w:r>
              <w:rPr>
                <w:b/>
              </w:rPr>
              <w:t xml:space="preserve">方法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b/>
              </w:rPr>
              <w:t xml:space="preserve">路径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b/>
              </w:rPr>
              <w:t xml:space="preserve">说明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>
                <w:b/>
              </w:rPr>
              <w:t xml:space="preserve">鉴权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GET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/admin/rule/list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审核规则列表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POST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/admin/rule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创建审核规则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PUT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/admin/rule/{id}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更新审核规则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DELETE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/admin/rule/{id}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删除审核规则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POST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/admin/rule/test-connection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DeepSeek 连通性测试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</w:tbl>
    <w:p>
      <w:r>
        <w:t/>
      </w:r>
    </w:p>
    <w:p>
      <w:pPr>
        <w:pStyle w:val="Heading2"/>
      </w:pPr>
      <w:r>
        <w:t>4.11 管理端 — 字典/日志/标签/奖品（/admin/*）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00"/>
        <w:gridCol w:w="2800"/>
        <w:gridCol w:w="1200"/>
        <w:gridCol w:w="200"/>
      </w:tblGrid>
      <w:tr>
        <w:tc>
          <w:tcPr>
            <w:tcW w:w="800" w:type="dxa"/>
          </w:tcPr>
          <w:p>
            <w:pPr>
              <w:spacing w:before="20" w:after="20"/>
            </w:pPr>
            <w:r>
              <w:rPr>
                <w:b/>
              </w:rPr>
              <w:t xml:space="preserve">方法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b/>
              </w:rPr>
              <w:t xml:space="preserve">路径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b/>
              </w:rPr>
              <w:t xml:space="preserve">说明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>
                <w:b/>
              </w:rPr>
              <w:t xml:space="preserve">鉴权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GET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/admin/dict/type/{type}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按类型查询字典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GET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/admin/dict/all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全部字典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GET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/admin/dict/classes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班级字典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GET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/admin/dict/list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字典分页列表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POST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/admin/dict/create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创建字典项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PUT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/admin/dict/update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更新字典项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DELETE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/admin/dict/{id}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删除字典项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GET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/admin/log/list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操作日志列表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GET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/admin/notify/list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管理员通知列表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POST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/admin/notify/read/{id}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标记通知已读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POST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/admin/notify/read-all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全部标记已读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GET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/admin/notify/unread-count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未读通知数量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GET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/admin/prize/list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奖品列表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POST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/admin/prize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创建奖品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PUT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/admin/prize/{id}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更新奖品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DELETE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/admin/prize/{id}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删除奖品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GET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/admin/prize/issue/list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奖品发放记录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POST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/admin/prize/issue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创建发放记录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PUT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/admin/prize/issue/{id}/cancel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取消发放记录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GET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/admin/tags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标签列表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POST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/admin/tags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创建标签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PUT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/admin/tags/{id}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更新标签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DELETE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/admin/tags/{id}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删除标签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</w:tbl>
    <w:p>
      <w:r>
        <w:t/>
      </w:r>
    </w:p>
    <w:p>
      <w:pPr>
        <w:pStyle w:val="Heading2"/>
      </w:pPr>
      <w:r>
        <w:t>4.13 教师端（/teacher/*）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00"/>
        <w:gridCol w:w="2800"/>
        <w:gridCol w:w="1200"/>
        <w:gridCol w:w="200"/>
      </w:tblGrid>
      <w:tr>
        <w:tc>
          <w:tcPr>
            <w:tcW w:w="800" w:type="dxa"/>
          </w:tcPr>
          <w:p>
            <w:pPr>
              <w:spacing w:before="20" w:after="20"/>
            </w:pPr>
            <w:r>
              <w:rPr>
                <w:b/>
              </w:rPr>
              <w:t xml:space="preserve">方法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b/>
              </w:rPr>
              <w:t xml:space="preserve">路径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b/>
              </w:rPr>
              <w:t xml:space="preserve">说明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>
                <w:b/>
              </w:rPr>
              <w:t xml:space="preserve">鉴权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GET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/teacher/work/list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待评分作品列表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GET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/teacher/work/{id}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作品详情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POST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/teacher/score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提交评分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GET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/teacher/score/{workId}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查看自己评分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GET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/teacher/score/history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评分历史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GET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/teacher/dashboard/stats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教师工作台统计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GET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/teacher/batch/list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批次列表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GET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/teacher/ranking/list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排行榜列表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GET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/teacher/ranking/batches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排行榜批次列表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GET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/teacher/ranking/categories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排行榜技术栈分类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POST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/teacher/ranking/refresh/{id}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刷新排行榜缓存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GET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/teacher/notify/list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通知列表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POST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/teacher/notify/read/{id}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标记已读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POST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/teacher/notify/read-all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全部已读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</w:tbl>
    <w:p>
      <w:r>
        <w:t/>
      </w:r>
    </w:p>
    <w:p>
      <w:pPr>
        <w:pStyle w:val="Heading2"/>
      </w:pPr>
      <w:r>
        <w:t>4.14 学生端（/student/*）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00"/>
        <w:gridCol w:w="2800"/>
        <w:gridCol w:w="1200"/>
        <w:gridCol w:w="200"/>
      </w:tblGrid>
      <w:tr>
        <w:tc>
          <w:tcPr>
            <w:tcW w:w="800" w:type="dxa"/>
          </w:tcPr>
          <w:p>
            <w:pPr>
              <w:spacing w:before="20" w:after="20"/>
            </w:pPr>
            <w:r>
              <w:rPr>
                <w:b/>
              </w:rPr>
              <w:t xml:space="preserve">方法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b/>
              </w:rPr>
              <w:t xml:space="preserve">路径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b/>
              </w:rPr>
              <w:t xml:space="preserve">说明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>
                <w:b/>
              </w:rPr>
              <w:t xml:space="preserve">鉴权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GET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/student/works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我的作品列表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POST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/student/works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创建作品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GET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/student/works/{id}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作品详情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PUT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/student/works/{id}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更新作品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DELETE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/student/works/{id}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删除作品（草稿/已驳回）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POST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/student/works/{id}/submit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提交审核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GET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/student/score/my-ranks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我的评分排行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GET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/student/notify/list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通知列表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POST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/student/notify/read/{id}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标记已读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POST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/student/notify/read-all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全部已读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</w:tbl>
    <w:p>
      <w:r>
        <w:t/>
      </w:r>
    </w:p>
    <w:p>
      <w:pPr>
        <w:pStyle w:val="Heading2"/>
      </w:pPr>
      <w:r>
        <w:t>4.15 公共端（/public/* + 评论/点赞）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00"/>
        <w:gridCol w:w="2800"/>
        <w:gridCol w:w="1200"/>
        <w:gridCol w:w="200"/>
      </w:tblGrid>
      <w:tr>
        <w:tc>
          <w:tcPr>
            <w:tcW w:w="800" w:type="dxa"/>
          </w:tcPr>
          <w:p>
            <w:pPr>
              <w:spacing w:before="20" w:after="20"/>
            </w:pPr>
            <w:r>
              <w:rPr>
                <w:b/>
              </w:rPr>
              <w:t xml:space="preserve">方法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b/>
              </w:rPr>
              <w:t xml:space="preserve">路径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b/>
              </w:rPr>
              <w:t xml:space="preserve">说明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>
                <w:b/>
              </w:rPr>
              <w:t xml:space="preserve">鉴权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GET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/public/works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作品列表（前台/公开）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GET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/public/works/{id}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作品详情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GET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/public/tags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标签列表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GET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/public/classes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班级列表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GET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/public/ranking/list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公共排行榜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GET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/public/ranking/batches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排行榜批次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GET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/public/ranking/categories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技术栈分类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POST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/works/{id}/like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点赞/取消点赞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GET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/public/works/{id}/like-status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点赞状态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POST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/comment/add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发表评论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否（游客可评论）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GET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/comment/list/{workId}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评论列表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/>
              <w:t xml:space="preserve">DELETE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/>
              <w:t xml:space="preserve">/comment/{commentId}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删除评论</w:t>
            </w:r>
          </w:p>
        </w:tc>
        <w:tc>
          <w:tcPr>
            <w:tcW w:w="200" w:type="dxa"/>
          </w:tcPr>
          <w:p>
            <w:pPr>
              <w:spacing w:before="20" w:after="20"/>
            </w:pPr>
            <w:r>
              <w:rPr/>
              <w:t xml:space="preserve">否（本人/管理员）</w:t>
            </w:r>
          </w:p>
        </w:tc>
      </w:tr>
    </w:tbl>
    <w:p>
      <w:r>
        <w:t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微软雅黑...">
    <w:altName w:val="汉仪中黑KW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F688F7">
    <w:pPr>
      <w:pStyle w:val="2"/>
      <w:jc w:val="center"/>
    </w:pPr>
    <w:r>
      <w:rPr>
        <w:lang w:val="zh-CN"/>
      </w:rPr>
      <w:t xml:space="preserve">第 </w:t>
    </w:r>
    <w:r>
      <w:rPr>
        <w:rFonts w:asciiTheme="majorHAnsi" w:hAnsiTheme="majorHAnsi" w:eastAsiaTheme="majorEastAsia" w:cstheme="majorBidi"/>
        <w:sz w:val="20"/>
        <w:szCs w:val="20"/>
        <w:lang w:val="zh-CN"/>
      </w:rPr>
      <w:t xml:space="preserve">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PAGE    \* MERGEFORMAT</w:instrText>
    </w:r>
    <w:r>
      <w:rPr>
        <w:sz w:val="20"/>
        <w:szCs w:val="20"/>
      </w:rPr>
      <w:fldChar w:fldCharType="separate"/>
    </w:r>
    <w:r>
      <w:rPr>
        <w:rFonts w:asciiTheme="majorHAnsi" w:hAnsiTheme="majorHAnsi" w:eastAsiaTheme="majorEastAsia" w:cstheme="majorBidi"/>
        <w:sz w:val="20"/>
        <w:szCs w:val="20"/>
        <w:lang w:val="zh-CN"/>
      </w:rPr>
      <w:t>48</w:t>
    </w:r>
    <w:r>
      <w:rPr>
        <w:rFonts w:asciiTheme="majorHAnsi" w:hAnsiTheme="majorHAnsi" w:eastAsiaTheme="majorEastAsia" w:cstheme="majorBidi"/>
        <w:sz w:val="20"/>
        <w:szCs w:val="20"/>
      </w:rPr>
      <w:fldChar w:fldCharType="end"/>
    </w:r>
    <w:r>
      <w:rPr>
        <w:rFonts w:asciiTheme="majorHAnsi" w:hAnsiTheme="majorHAnsi" w:eastAsiaTheme="majorEastAsia" w:cstheme="majorBidi"/>
        <w:sz w:val="20"/>
        <w:szCs w:val="20"/>
      </w:rPr>
      <w:t xml:space="preserve"> 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0BDF2D">
    <w:pPr>
      <w:pStyle w:val="7"/>
      <w:spacing w:line="240" w:lineRule="atLeast"/>
      <w:ind w:left="5460" w:right="520" w:firstLine="420"/>
      <w:jc w:val="right"/>
      <w:rPr>
        <w:rFonts w:ascii="黑体" w:hAnsi="宋体" w:eastAsia="黑体" w:cs="Times New Roman"/>
        <w:b/>
        <w:color w:val="auto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107315</wp:posOffset>
          </wp:positionH>
          <wp:positionV relativeFrom="paragraph">
            <wp:posOffset>48260</wp:posOffset>
          </wp:positionV>
          <wp:extent cx="421640" cy="359410"/>
          <wp:effectExtent l="0" t="0" r="10160" b="21590"/>
          <wp:wrapSquare wrapText="bothSides"/>
          <wp:docPr id="9" name="图片 1" descr="/Users/zhaoyun/Desktop/dllogo.pngdl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1" descr="/Users/zhaoyun/Desktop/dllogo.pngdllogo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21640" cy="359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04DB41B">
    <w:pPr>
      <w:pStyle w:val="3"/>
      <w:rPr>
        <w:rFonts w:hint="default"/>
        <w:lang w:val="en-US"/>
      </w:rPr>
    </w:pPr>
    <w:r>
      <w:tab/>
    </w:r>
    <w:r>
      <w:tab/>
    </w:r>
    <w:r>
      <w:rPr>
        <w:rFonts w:hint="eastAsia"/>
        <w:lang w:val="en-US" w:eastAsia="zh-CN"/>
      </w:rPr>
      <w:t>XXX接口文档</w:t>
    </w:r>
  </w:p>
  <w:p w14:paraId="4A327401">
    <w:pPr>
      <w:pStyle w:val="3"/>
      <w:rPr>
        <w:rFonts w:hint="eastAsia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EC7813"/>
    <w:multiLevelType w:val="singleLevel"/>
    <w:tmpl w:val="9BEC781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AD7C46DA"/>
    <w:multiLevelType w:val="singleLevel"/>
    <w:tmpl w:val="AD7C46D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8FF64D0"/>
    <w:multiLevelType w:val="singleLevel"/>
    <w:tmpl w:val="B8FF64D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B6A1560"/>
    <w:multiLevelType w:val="singleLevel"/>
    <w:tmpl w:val="BB6A156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D7D5A5B"/>
    <w:multiLevelType w:val="singleLevel"/>
    <w:tmpl w:val="BD7D5A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DCAD5BD"/>
    <w:multiLevelType w:val="singleLevel"/>
    <w:tmpl w:val="BDCAD5B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FBEF09E"/>
    <w:multiLevelType w:val="singleLevel"/>
    <w:tmpl w:val="BFBEF09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CEF61DA3"/>
    <w:multiLevelType w:val="singleLevel"/>
    <w:tmpl w:val="CEF61DA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D75A5DF7"/>
    <w:multiLevelType w:val="singleLevel"/>
    <w:tmpl w:val="D75A5D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D89F1635"/>
    <w:multiLevelType w:val="singleLevel"/>
    <w:tmpl w:val="D89F16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DA9F4373"/>
    <w:multiLevelType w:val="singleLevel"/>
    <w:tmpl w:val="DA9F437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DC7E2371"/>
    <w:multiLevelType w:val="singleLevel"/>
    <w:tmpl w:val="DC7E23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DE6E0475"/>
    <w:multiLevelType w:val="singleLevel"/>
    <w:tmpl w:val="DE6E047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DFFBA7DD"/>
    <w:multiLevelType w:val="singleLevel"/>
    <w:tmpl w:val="DFFBA7D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E7FFD2A9"/>
    <w:multiLevelType w:val="singleLevel"/>
    <w:tmpl w:val="E7FFD2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EA7F9D9D"/>
    <w:multiLevelType w:val="singleLevel"/>
    <w:tmpl w:val="EA7F9D9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EBBAF65E"/>
    <w:multiLevelType w:val="singleLevel"/>
    <w:tmpl w:val="EBBAF65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EDEBCEE5"/>
    <w:multiLevelType w:val="singleLevel"/>
    <w:tmpl w:val="EDEBCE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EE771A6D"/>
    <w:multiLevelType w:val="singleLevel"/>
    <w:tmpl w:val="EE771A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EFB63427"/>
    <w:multiLevelType w:val="singleLevel"/>
    <w:tmpl w:val="EFB6342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F17A0C01"/>
    <w:multiLevelType w:val="singleLevel"/>
    <w:tmpl w:val="F17A0C0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F3BD48B1"/>
    <w:multiLevelType w:val="singleLevel"/>
    <w:tmpl w:val="F3BD48B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F6AF2BF3"/>
    <w:multiLevelType w:val="singleLevel"/>
    <w:tmpl w:val="F6AF2B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F7F6FC04"/>
    <w:multiLevelType w:val="singleLevel"/>
    <w:tmpl w:val="F7F6FC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F897D928"/>
    <w:multiLevelType w:val="singleLevel"/>
    <w:tmpl w:val="F897D92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FB1D15C6"/>
    <w:multiLevelType w:val="singleLevel"/>
    <w:tmpl w:val="FB1D15C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FB690EFC"/>
    <w:multiLevelType w:val="singleLevel"/>
    <w:tmpl w:val="FB690EF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FBF606B2"/>
    <w:multiLevelType w:val="singleLevel"/>
    <w:tmpl w:val="FBF606B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FDF7D4BA"/>
    <w:multiLevelType w:val="singleLevel"/>
    <w:tmpl w:val="FDF7D4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FED52C8F"/>
    <w:multiLevelType w:val="singleLevel"/>
    <w:tmpl w:val="FED52C8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FEFFBA92"/>
    <w:multiLevelType w:val="singleLevel"/>
    <w:tmpl w:val="FEFFBA9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FFDAEB93"/>
    <w:multiLevelType w:val="singleLevel"/>
    <w:tmpl w:val="FFDAEB9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FFE4B508"/>
    <w:multiLevelType w:val="singleLevel"/>
    <w:tmpl w:val="FFE4B50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FFE74472"/>
    <w:multiLevelType w:val="singleLevel"/>
    <w:tmpl w:val="FFE744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FFEB035F"/>
    <w:multiLevelType w:val="singleLevel"/>
    <w:tmpl w:val="FFEB035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FFEE0C3C"/>
    <w:multiLevelType w:val="singleLevel"/>
    <w:tmpl w:val="FFEE0C3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4F5E336E"/>
    <w:multiLevelType w:val="singleLevel"/>
    <w:tmpl w:val="4F5E33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518FAB42"/>
    <w:multiLevelType w:val="singleLevel"/>
    <w:tmpl w:val="518FAB4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5BD615BB"/>
    <w:multiLevelType w:val="singleLevel"/>
    <w:tmpl w:val="5BD615B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6E9DFD6D"/>
    <w:multiLevelType w:val="singleLevel"/>
    <w:tmpl w:val="6E9DFD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7AEDF62E"/>
    <w:multiLevelType w:val="singleLevel"/>
    <w:tmpl w:val="7AEDF62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7EBFD86B"/>
    <w:multiLevelType w:val="singleLevel"/>
    <w:tmpl w:val="7EBFD86B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5"/>
  </w:num>
  <w:num w:numId="2">
    <w:abstractNumId w:val="30"/>
  </w:num>
  <w:num w:numId="3">
    <w:abstractNumId w:val="21"/>
  </w:num>
  <w:num w:numId="4">
    <w:abstractNumId w:val="1"/>
  </w:num>
  <w:num w:numId="5">
    <w:abstractNumId w:val="20"/>
  </w:num>
  <w:num w:numId="6">
    <w:abstractNumId w:val="35"/>
  </w:num>
  <w:num w:numId="7">
    <w:abstractNumId w:val="26"/>
  </w:num>
  <w:num w:numId="8">
    <w:abstractNumId w:val="10"/>
  </w:num>
  <w:num w:numId="9">
    <w:abstractNumId w:val="4"/>
  </w:num>
  <w:num w:numId="10">
    <w:abstractNumId w:val="27"/>
  </w:num>
  <w:num w:numId="11">
    <w:abstractNumId w:val="39"/>
  </w:num>
  <w:num w:numId="12">
    <w:abstractNumId w:val="22"/>
  </w:num>
  <w:num w:numId="13">
    <w:abstractNumId w:val="19"/>
  </w:num>
  <w:num w:numId="14">
    <w:abstractNumId w:val="38"/>
  </w:num>
  <w:num w:numId="15">
    <w:abstractNumId w:val="34"/>
  </w:num>
  <w:num w:numId="16">
    <w:abstractNumId w:val="9"/>
  </w:num>
  <w:num w:numId="17">
    <w:abstractNumId w:val="36"/>
  </w:num>
  <w:num w:numId="18">
    <w:abstractNumId w:val="41"/>
  </w:num>
  <w:num w:numId="19">
    <w:abstractNumId w:val="33"/>
  </w:num>
  <w:num w:numId="20">
    <w:abstractNumId w:val="37"/>
  </w:num>
  <w:num w:numId="21">
    <w:abstractNumId w:val="18"/>
  </w:num>
  <w:num w:numId="22">
    <w:abstractNumId w:val="40"/>
  </w:num>
  <w:num w:numId="23">
    <w:abstractNumId w:val="11"/>
  </w:num>
  <w:num w:numId="24">
    <w:abstractNumId w:val="16"/>
  </w:num>
  <w:num w:numId="25">
    <w:abstractNumId w:val="32"/>
  </w:num>
  <w:num w:numId="26">
    <w:abstractNumId w:val="24"/>
  </w:num>
  <w:num w:numId="27">
    <w:abstractNumId w:val="15"/>
  </w:num>
  <w:num w:numId="28">
    <w:abstractNumId w:val="13"/>
  </w:num>
  <w:num w:numId="29">
    <w:abstractNumId w:val="23"/>
  </w:num>
  <w:num w:numId="30">
    <w:abstractNumId w:val="31"/>
  </w:num>
  <w:num w:numId="31">
    <w:abstractNumId w:val="3"/>
  </w:num>
  <w:num w:numId="32">
    <w:abstractNumId w:val="2"/>
  </w:num>
  <w:num w:numId="33">
    <w:abstractNumId w:val="25"/>
  </w:num>
  <w:num w:numId="34">
    <w:abstractNumId w:val="6"/>
  </w:num>
  <w:num w:numId="35">
    <w:abstractNumId w:val="17"/>
  </w:num>
  <w:num w:numId="36">
    <w:abstractNumId w:val="29"/>
  </w:num>
  <w:num w:numId="37">
    <w:abstractNumId w:val="14"/>
  </w:num>
  <w:num w:numId="38">
    <w:abstractNumId w:val="28"/>
  </w:num>
  <w:num w:numId="39">
    <w:abstractNumId w:val="7"/>
  </w:num>
  <w:num w:numId="40">
    <w:abstractNumId w:val="8"/>
  </w:num>
  <w:num w:numId="41">
    <w:abstractNumId w:val="12"/>
  </w:num>
  <w:num w:numId="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513D6B"/>
    <w:rsid w:val="12ED77D0"/>
    <w:rsid w:val="36BF1ED8"/>
    <w:rsid w:val="3EDD160B"/>
    <w:rsid w:val="67513D6B"/>
    <w:rsid w:val="9FAD0E34"/>
    <w:rsid w:val="BE7DFF5F"/>
    <w:rsid w:val="DB3C4785"/>
    <w:rsid w:val="FFFEA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Default"/>
    <w:uiPriority w:val="99"/>
    <w:pPr>
      <w:widowControl w:val="0"/>
      <w:autoSpaceDE w:val="0"/>
      <w:autoSpaceDN w:val="0"/>
      <w:adjustRightInd w:val="0"/>
    </w:pPr>
    <w:rPr>
      <w:rFonts w:ascii="微软雅黑..." w:hAnsi="Calibri" w:eastAsia="微软雅黑..." w:cs="微软雅黑..."/>
      <w:color w:val="000000"/>
      <w:sz w:val="24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2026-03-15T22:14:00Z</dcterms:created>
  <dc:creator>小龙笨笨</dc:creator>
  <cp:lastModifiedBy>小龙笨笨</cp:lastModifiedBy>
  <dcterms:modified xsi:type="dcterms:W3CDTF">2026-03-16T09:35:48Z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38323E5AB5402624294EB6693D527340_41</vt:lpwstr>
  </property>
</Properties>
</file>