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黑体" w:hAnsi="黑体" w:eastAsia="黑体"/>
          <w:b/>
          <w:color w:val="1F4E79"/>
          <w:sz w:val="36"/>
        </w:rPr>
        <w:t>拟周期轨道实不变子束研究摘要</w:t>
      </w:r>
    </w:p>
    <w:p>
      <w:pPr>
        <w:spacing w:after="80"/>
        <w:jc w:val="center"/>
      </w:pPr>
      <w:r>
        <w:rPr>
          <w:rFonts w:ascii="宋体" w:hAnsi="宋体" w:eastAsia="宋体"/>
          <w:sz w:val="17"/>
        </w:rPr>
        <w:t>导师快速审阅版（严格 4 页）｜作者：兀文昊｜导师：张晨｜中国科学院大学｜2026年7月16日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黑体" w:hAnsi="黑体" w:eastAsia="黑体"/>
                <w:b/>
                <w:sz w:val="18"/>
              </w:rPr>
              <w:t>结论先行：</w:t>
            </w:r>
            <w:r>
              <w:rPr>
                <w:rFonts w:ascii="宋体" w:hAnsi="宋体" w:eastAsia="宋体"/>
                <w:sz w:val="18"/>
              </w:rPr>
              <w:t>15 案例中 Pointwise eig 0/15 通过；Partial real-Schur 7 通过/4 边界/4 失败；Shifted QR/SVD 10 通过/5 失败。独立 MATLAB Schur 在 12 个关键案例上 12/12 一致。当前稿件定位是数值框架与系统比较，not_submission_ready。</w:t>
            </w:r>
          </w:p>
        </w:tc>
      </w:tr>
    </w:tbl>
    <w:p>
      <w:pPr>
        <w:spacing w:before="40" w:after="40"/>
        <w:shd w:fill="D9EAF7"/>
      </w:pPr>
      <w:r>
        <w:rPr>
          <w:rFonts w:ascii="黑体" w:hAnsi="黑体" w:eastAsia="黑体"/>
          <w:b/>
          <w:color w:val="1F4E79"/>
          <w:sz w:val="23"/>
        </w:rPr>
        <w:t>1｜复现工作如何引出问题</w:t>
      </w:r>
    </w:p>
    <w:p>
      <w:pPr>
        <w:spacing w:line="252" w:lineRule="auto" w:after="40"/>
      </w:pPr>
      <w:r>
        <w:rPr>
          <w:rFonts w:ascii="宋体" w:hAnsi="宋体" w:eastAsia="宋体"/>
          <w:sz w:val="17"/>
        </w:rPr>
        <w:t>McCarthy 2018 的 54 图复现已完成工程覆盖（13 个 V0、41 个 V2），但冻结证据仍为 7 accepted、30 boundary、5 diagnostic、12 proxy。逐图审计暴露出一个独立科学问题：拟周期环面附近的稳定/不稳定方向必须服从相位平移 cocycle，不能由各相位点互不相干的局部特征向量替代。研究层只读取冻结源数据，不回写提升复现等级。</w:t>
      </w:r>
    </w:p>
    <w:p>
      <w:pPr>
        <w:spacing w:before="40" w:after="40"/>
        <w:shd w:fill="D9EAF7"/>
      </w:pPr>
      <w:r>
        <w:rPr>
          <w:rFonts w:ascii="黑体" w:hAnsi="黑体" w:eastAsia="黑体"/>
          <w:b/>
          <w:color w:val="1F4E79"/>
          <w:sz w:val="23"/>
        </w:rPr>
        <w:t>2｜点式特征方向的主要缺陷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7"/>
        </w:rPr>
        <w:t>局部方程 A(θ)v=λv 没有约束 A(θ)E(θ) 落入 E(θ+ρ)，因此低局部特征对残差不等于低 cocycle 残差。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7"/>
        </w:rPr>
        <w:t>复共轭对在实数域对应二维子空间；取复向量实部会破坏不变性，二维对象不得重命名为一维。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7"/>
        </w:rPr>
        <w:t>符号/相位对齐只能稳定表示，不能修复错误对象；流形传播还会把局部方向误差放大成全片几何差异。</w:t>
      </w:r>
    </w:p>
    <w:p>
      <w:pPr>
        <w:spacing w:before="40" w:after="40"/>
        <w:shd w:fill="D9EAF7"/>
      </w:pPr>
      <w:r>
        <w:rPr>
          <w:rFonts w:ascii="黑体" w:hAnsi="黑体" w:eastAsia="黑体"/>
          <w:b/>
          <w:color w:val="1F4E79"/>
          <w:sz w:val="23"/>
        </w:rPr>
        <w:t>3｜三种方法及其角色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方法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计算对象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主要用途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不可越过的边界</w:t>
            </w:r>
          </w:p>
        </w:tc>
      </w:tr>
      <w:tr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Pointwise eig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每相位局部特征向量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保留传统基线与失效模式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不能自动称为 cocycle bundle</w:t>
            </w:r>
          </w:p>
        </w:tc>
      </w:tr>
      <w:tr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Partial real-Schur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有序 1×1/2×2 实谱块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确定实子空间维数与分支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2D 共轭块不降为 1D</w:t>
            </w:r>
          </w:p>
        </w:tc>
      </w:tr>
      <w:tr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Shifted QR/SVD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相位平移下迭代正交帧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求相位依赖子空间与收敛史</w:t>
            </w:r>
          </w:p>
        </w:tc>
        <w:tc>
          <w:tcPr>
            <w:tcW w:type="dxa" w:w="2622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受初始化、维数和迭代上限约束</w:t>
            </w:r>
          </w:p>
        </w:tc>
      </w:tr>
    </w:tbl>
    <w:p>
      <w:pPr>
        <w:spacing w:line="252" w:lineRule="auto" w:after="40"/>
      </w:pPr>
      <w:r>
        <w:rPr>
          <w:rFonts w:ascii="黑体" w:hAnsi="黑体" w:eastAsia="黑体"/>
          <w:b/>
          <w:color w:val="7F6000"/>
          <w:sz w:val="17"/>
        </w:rPr>
        <w:t>统一验收：</w:t>
      </w:r>
      <w:r>
        <w:rPr>
          <w:rFonts w:ascii="宋体" w:hAnsi="宋体" w:eastAsia="宋体"/>
          <w:color w:val="7F6000"/>
          <w:sz w:val="17"/>
        </w:rPr>
        <w:t>max cocycle residual≤1e-6 为通过；1e-6 至 1e-3 仅可为边界；源轨道、维数或收敛失败优先判失败。</w:t>
      </w:r>
    </w:p>
    <w:p>
      <w:r>
        <w:br w:type="page"/>
      </w:r>
    </w:p>
    <w:p>
      <w:pPr>
        <w:spacing w:before="40" w:after="40"/>
        <w:shd w:fill="D9EAF7"/>
      </w:pPr>
      <w:r>
        <w:rPr>
          <w:rFonts w:ascii="黑体" w:hAnsi="黑体" w:eastAsia="黑体"/>
          <w:b/>
          <w:color w:val="1F4E79"/>
          <w:sz w:val="23"/>
        </w:rPr>
        <w:t>4｜15-case 总体结果表</w:t>
      </w:r>
    </w:p>
    <w:p>
      <w:pPr>
        <w:spacing w:line="252" w:lineRule="auto" w:after="40"/>
      </w:pPr>
      <w:r>
        <w:rPr>
          <w:rFonts w:ascii="宋体" w:hAnsi="宋体" w:eastAsia="宋体"/>
          <w:color w:val="595959"/>
          <w:sz w:val="16"/>
        </w:rPr>
        <w:t>符号：A=accepted，B=boundary，F=fail。状态属于研究层；Route H physical 与 legacy 正控制分列。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3"/>
              </w:rPr>
              <w:t>案例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3"/>
              </w:rPr>
              <w:t>N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3"/>
              </w:rPr>
              <w:t>Eig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3"/>
              </w:rPr>
              <w:t>Schur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3"/>
              </w:rPr>
              <w:t>QR/SVD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halo_12p40_n21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21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B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halo_12p40_n33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33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halo_12p40_n45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45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halo_12p09_n15_small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15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halo_12p097_n9_N9-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9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B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vertical_12p66_n33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33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B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vertical_12p66_n45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45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B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vertical_12p66_n57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57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RH_member_68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45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RH_member_17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45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RH_member_32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45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RH_member_54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45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RH_member_68_legacy+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45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SE_active_geometry_member_468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21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3"/>
              </w:rPr>
              <w:t>SE_quasi_halo_small_n21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21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F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3"/>
              </w:rPr>
              <w:t>A</w:t>
            </w:r>
          </w:p>
        </w:tc>
      </w:tr>
    </w:tbl>
    <w:p>
      <w:pPr>
        <w:spacing w:before="40" w:after="40"/>
        <w:shd w:fill="D9EAF7"/>
      </w:pPr>
      <w:r>
        <w:rPr>
          <w:rFonts w:ascii="黑体" w:hAnsi="黑体" w:eastAsia="黑体"/>
          <w:b/>
          <w:color w:val="1F4E79"/>
          <w:sz w:val="23"/>
        </w:rPr>
        <w:t>5｜三个高分辨率案例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案例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Schur r_max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QR/SVD r_max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耗时 Schur/QR(s)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测试窗内流形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Halo N45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6.00e-11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4.40e-12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0.106/0.201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双方法通过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Vertical N57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6.37e-08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3.89e-09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0.170/0.267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双方法通过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Sun–Earth 468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6.54e-07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9.47e-09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0.043/0.080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双方法通过</w:t>
            </w:r>
          </w:p>
        </w:tc>
      </w:tr>
    </w:tbl>
    <w:p>
      <w:pPr>
        <w:pStyle w:val="ListBullet"/>
        <w:spacing w:line="240" w:lineRule="auto" w:after="30"/>
      </w:pPr>
      <w:r>
        <w:rPr>
          <w:rFonts w:ascii="宋体" w:hAnsi="宋体" w:eastAsia="宋体"/>
          <w:sz w:val="16"/>
        </w:rPr>
        <w:t>Halo N45、Vertical N57、Sun–Earth 468 上两种改进方法均通过 bundle 与测试传播窗内的 manifold 门槛。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6"/>
        </w:rPr>
        <w:t>Stage F 共 126 行：36 accepted、90 fail；最大 Jacobi 漂移 2.220e-15。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color w:val="C00000"/>
          <w:sz w:val="16"/>
        </w:rPr>
        <w:t>低分辨率 Halo/Vertical 全流形片距离 0.0150–0.0245，仍高于 0.01；局部 bundle 通过不覆盖全片失败。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DDEB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黑体" w:hAnsi="黑体" w:eastAsia="黑体"/>
                <w:b/>
                <w:sz w:val="18"/>
              </w:rPr>
              <w:t>独立后端：</w:t>
            </w:r>
            <w:r>
              <w:rPr>
                <w:rFonts w:ascii="宋体" w:hAnsi="宋体" w:eastAsia="宋体"/>
                <w:sz w:val="18"/>
              </w:rPr>
              <w:t>MATLAB R2024a schur/ordschur（MKL 2023.2）在 12 个关键案例上维数、分类、状态 12/12 一致；最大主角 2.561e-06° &lt; 1e-4°。</w:t>
            </w:r>
          </w:p>
        </w:tc>
      </w:tr>
    </w:tbl>
    <w:p>
      <w:r>
        <w:br w:type="page"/>
      </w:r>
    </w:p>
    <w:p>
      <w:pPr>
        <w:spacing w:before="40" w:after="40"/>
        <w:shd w:fill="D9EAF7"/>
      </w:pPr>
      <w:r>
        <w:rPr>
          <w:rFonts w:ascii="黑体" w:hAnsi="黑体" w:eastAsia="黑体"/>
          <w:b/>
          <w:color w:val="1F4E79"/>
          <w:sz w:val="23"/>
        </w:rPr>
        <w:t>6｜Route H 关键发现：算子语义优先于“漂亮的一维结果”</w:t>
      </w:r>
    </w:p>
    <w:p>
      <w:pPr>
        <w:spacing w:line="252" w:lineRule="auto" w:after="40"/>
      </w:pPr>
      <w:r>
        <w:rPr>
          <w:rFonts w:ascii="宋体" w:hAnsi="宋体" w:eastAsia="宋体"/>
          <w:sz w:val="17"/>
        </w:rPr>
        <w:t>legacy member 68 使用 seed-rho，可形成一维 Schur 正控制，但源映射残差约 1.988e-3；physical corrected-rho 把闭合残差改进到约 8.697e-13，却显示相对复部约 0.342 的共轭谱。正确物理对象因此是二维实子空间，而不是把复向量投影成一维。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98"/>
        <w:gridCol w:w="2098"/>
        <w:gridCol w:w="2098"/>
        <w:gridCol w:w="2098"/>
        <w:gridCol w:w="2098"/>
      </w:tblGrid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案例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独立 k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最佳有界状态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最佳 r_max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失败分类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member 17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fail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6.47e-01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no_accepted_1d_bundle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member 32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fail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6.64e-01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no_accepted_1d_bundle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member 54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fail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6.99e-01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no_accepted_1d_bundle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member 68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fail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7.44e-01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no_accepted_1d_bundle</w:t>
            </w:r>
          </w:p>
        </w:tc>
      </w:tr>
      <w:tr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member 68 legacy+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accepted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2.22e-09</w:t>
            </w:r>
          </w:p>
        </w:tc>
        <w:tc>
          <w:tcPr>
            <w:tcW w:type="dxa" w:w="2098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method_initialization_sensitive</w:t>
            </w:r>
          </w:p>
        </w:tc>
      </w:tr>
    </w:tbl>
    <w:p>
      <w:pPr>
        <w:pStyle w:val="ListBullet"/>
        <w:spacing w:line="240" w:lineRule="auto" w:after="30"/>
      </w:pPr>
      <w:r>
        <w:rPr>
          <w:rFonts w:ascii="宋体" w:hAnsi="宋体" w:eastAsia="宋体"/>
          <w:sz w:val="16"/>
        </w:rPr>
        <w:t>有界分类得到 4 no_accepted_1d_bundle：Physical 17/32/54/68 在 3 初始化×200/500/1000 次×N45/N67 中均未发现 accepted 1D bundle；80 位只重算残差，不是任意精度轨迹。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6"/>
        </w:rPr>
        <w:t>Legacy 68：Schur seed 可通过，random/local-SVD 不稳定，故为 method_initialization_sensitive；正控制不能替代 physical operator。</w:t>
      </w:r>
    </w:p>
    <w:p>
      <w:pPr>
        <w:spacing w:before="40" w:after="40"/>
        <w:shd w:fill="D9EAF7"/>
      </w:pPr>
      <w:r>
        <w:rPr>
          <w:rFonts w:ascii="黑体" w:hAnsi="黑体" w:eastAsia="黑体"/>
          <w:b/>
          <w:color w:val="1F4E79"/>
          <w:sz w:val="23"/>
        </w:rPr>
        <w:t>消融、全新进程与 CI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审计项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规模/结果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4"/>
              </w:rPr>
              <w:t>科学结论</w:t>
            </w:r>
          </w:p>
        </w:tc>
      </w:tr>
      <w:tr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7 变体消融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35 行；15 A/20 F；4 异常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符号对齐不修复 cocycle；2D 跟踪改善但仍失败</w:t>
            </w:r>
          </w:p>
        </w:tc>
      </w:tr>
      <w:tr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全新进程重跑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15 cocycle；45 bundle；126 manifold；5301 科学检查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失败 0；最大相对差 0.0</w:t>
            </w:r>
          </w:p>
        </w:tc>
      </w:tr>
      <w:tr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4"/>
              </w:rPr>
              <w:t>GitHub Actions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push/PR 快速 CI；手动 full validation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4"/>
              </w:rPr>
              <w:t>输出在 runner 临时目录；权威文件哈希守护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CE4D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黑体" w:hAnsi="黑体" w:eastAsia="黑体"/>
                <w:b/>
                <w:sz w:val="18"/>
              </w:rPr>
              <w:t>真实性边界：</w:t>
            </w:r>
            <w:r>
              <w:rPr>
                <w:rFonts w:ascii="宋体" w:hAnsi="宋体" w:eastAsia="宋体"/>
                <w:sz w:val="18"/>
              </w:rPr>
              <w:t>失败、边界、method exception 和负控制全部进入 CSV/NPZ/日志；Chapter 4 projection holdout 仍为 0/4，paper_projection=fail，paper_3d=false。</w:t>
            </w:r>
          </w:p>
        </w:tc>
      </w:tr>
    </w:tbl>
    <w:p>
      <w:r>
        <w:br w:type="page"/>
      </w:r>
    </w:p>
    <w:p>
      <w:pPr>
        <w:spacing w:before="40" w:after="40"/>
        <w:shd w:fill="D9EAF7"/>
      </w:pPr>
      <w:r>
        <w:rPr>
          <w:rFonts w:ascii="黑体" w:hAnsi="黑体" w:eastAsia="黑体"/>
          <w:b/>
          <w:color w:val="1F4E79"/>
          <w:sz w:val="23"/>
        </w:rPr>
        <w:t>7｜当前论文贡献（可辩护范围）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7"/>
        </w:rPr>
        <w:t>统一 15-case/4-family/3-method benchmark，把源轨道、维数、残差、相位连续性、流形几何和成本绑定到固定阈值。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7"/>
        </w:rPr>
        <w:t>引入真正独立的 MATLAB real-Schur 后端，避免内部 partial-Schur 自证；把实 1D 与共轭 2D 语义写入验收。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7"/>
        </w:rPr>
        <w:t>把五个 QR/SVD 失败做有界分类，用七变体消融区分表示问题、初始化敏感和真实谱结构。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7"/>
        </w:rPr>
        <w:t>把局部 bundle 与全局 manifold sheet 分开评价，并用全新进程、CI、配置、CSV、NPZ、日志和哈希形成可重复证据链。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E2F0D9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黑体" w:hAnsi="黑体" w:eastAsia="黑体"/>
                <w:b/>
                <w:sz w:val="18"/>
              </w:rPr>
              <w:t>论文定位：</w:t>
            </w:r>
            <w:r>
              <w:rPr>
                <w:rFonts w:ascii="宋体" w:hAnsi="宋体" w:eastAsia="宋体"/>
                <w:sz w:val="18"/>
              </w:rPr>
              <w:t>numerical_framework_and_systematic_comparison（数值框架与系统比较）。25 项正式来源覆盖九主题；已有文献已包含参数化、cocycle、QR/CLV 与 Schur 方法，因此不主张方法首创。</w:t>
            </w:r>
          </w:p>
        </w:tc>
      </w:tr>
    </w:tbl>
    <w:p>
      <w:pPr>
        <w:spacing w:before="40" w:after="40"/>
        <w:shd w:fill="D9EAF7"/>
      </w:pPr>
      <w:r>
        <w:rPr>
          <w:rFonts w:ascii="黑体" w:hAnsi="黑体" w:eastAsia="黑体"/>
          <w:b/>
          <w:color w:val="1F4E79"/>
          <w:sz w:val="23"/>
        </w:rPr>
        <w:t>8｜仍需补充的内容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缺口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当前边界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  <w:shd w:fill="4472C4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color w:val="FFFFFF"/>
                <w:sz w:val="15"/>
              </w:rPr>
              <w:t>建议下一步</w:t>
            </w:r>
          </w:p>
        </w:tc>
      </w:tr>
      <w:tr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稳定子束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Stage F 仅一维不稳定子束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增加稳定分支及双向传播</w:t>
            </w:r>
          </w:p>
        </w:tc>
      </w:tr>
      <w:tr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Route H 2D 流形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2D 子空间已确认，但没有全局二维流形对象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实现 frame/圆周参数化并独立收敛</w:t>
            </w:r>
          </w:p>
        </w:tc>
      </w:tr>
      <w:tr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长期/事件传播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固定传播窗，无 event termination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加入截面事件、长时几何和误差预算</w:t>
            </w:r>
          </w:p>
        </w:tc>
      </w:tr>
      <w:tr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Sun–Earth 广度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仅两个独立案例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扩展家族并考虑独立应用章节</w:t>
            </w:r>
          </w:p>
        </w:tc>
      </w:tr>
      <w:tr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/>
                <w:sz w:val="15"/>
              </w:rPr>
              <w:t>理论与投稿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无新定理；文献矩阵非穷尽综述</w:t>
            </w:r>
          </w:p>
        </w:tc>
        <w:tc>
          <w:tcPr>
            <w:tcW w:type="dxa" w:w="3496"/>
            <w:tcMar>
              <w:top w:w="30" w:type="dxa"/>
              <w:start w:w="45" w:type="dxa"/>
              <w:bottom w:w="30" w:type="dxa"/>
              <w:end w:w="45" w:type="dxa"/>
            </w:tcMar>
            <w:vAlign w:val="center"/>
          </w:tcPr>
          <w:p>
            <w:pPr>
              <w:spacing w:line="240" w:lineRule="auto" w:after="0"/>
              <w:jc w:val="center"/>
            </w:pPr>
            <w:r/>
            <w:r>
              <w:rPr>
                <w:rFonts w:ascii="宋体" w:hAnsi="宋体" w:eastAsia="宋体"/>
                <w:b w:val="0"/>
                <w:sz w:val="15"/>
              </w:rPr>
              <w:t>补 a-posteriori 误差/理论讨论后再定目标期刊</w:t>
            </w:r>
          </w:p>
        </w:tc>
      </w:tr>
    </w:tbl>
    <w:p>
      <w:pPr>
        <w:spacing w:before="40" w:after="40"/>
        <w:shd w:fill="D9EAF7"/>
      </w:pPr>
      <w:r>
        <w:rPr>
          <w:rFonts w:ascii="黑体" w:hAnsi="黑体" w:eastAsia="黑体"/>
          <w:b/>
          <w:color w:val="1F4E79"/>
          <w:sz w:val="23"/>
        </w:rPr>
        <w:t>请导师优先判断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6"/>
        </w:rPr>
        <w:t>论文以“数值框架与系统比较”为主定位是否合适，是否需要把“失败模式与算子语义诊断”加入副标题？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6"/>
        </w:rPr>
        <w:t>目标期刊是否应优先考虑中文核心，还是先按英文期刊标准补齐实验？</w:t>
      </w:r>
    </w:p>
    <w:p>
      <w:pPr>
        <w:pStyle w:val="ListBullet"/>
        <w:spacing w:line="240" w:lineRule="auto" w:after="30"/>
      </w:pPr>
      <w:r>
        <w:rPr>
          <w:rFonts w:ascii="宋体" w:hAnsi="宋体" w:eastAsia="宋体"/>
          <w:sz w:val="16"/>
        </w:rPr>
        <w:t>Route H corrected-rho 的二维共轭子空间案例是否应作为正文核心贡献？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88"/>
      </w:tblGrid>
      <w:tr>
        <w:tc>
          <w:tcPr>
            <w:tcW w:type="dxa" w:w="10488"/>
            <w:shd w:fill="FFF2CC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line="240" w:lineRule="auto" w:after="0"/>
            </w:pPr>
            <w:r>
              <w:rPr>
                <w:rFonts w:ascii="黑体" w:hAnsi="黑体" w:eastAsia="黑体"/>
                <w:b/>
                <w:sz w:val="18"/>
              </w:rPr>
              <w:t>最终状态：</w:t>
            </w:r>
            <w:r>
              <w:rPr>
                <w:rFonts w:ascii="宋体" w:hAnsi="宋体" w:eastAsia="宋体"/>
                <w:sz w:val="18"/>
              </w:rPr>
              <w:t>中文论文初稿和四页摘要已形成，可进入导师评审；McCarthy 复现等级、Chapter 4 holdout 与 Route H 负结果均未改变。当前明确标记 not_submission_ready。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652" w:right="709" w:bottom="652" w:left="709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sz w:val="16"/>
      </w:rPr>
      <w:t xml:space="preserve"> / 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 w:eastAsia="宋体"/>
        <w:sz w:val="15"/>
      </w:rPr>
      <w:t>拟周期轨道实不变子束研究摘要｜兀文昊｜中国科学院大学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拟周期轨道实不变子束研究摘要</dc:title>
  <dc:subject>导师快速审阅版，严格四页</dc:subject>
  <dc:creator>兀文昊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