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Gamma Steering Minutes</w:t>
      </w:r>
    </w:p>
    <w:p>
      <w:r>
        <w:t>The steering group met to review the migration programme.</w:t>
      </w:r>
    </w:p>
    <w:p>
      <w:pPr>
        <w:pStyle w:val="Heading2"/>
      </w:pPr>
      <w:r>
        <w:t>Decisions</w:t>
      </w:r>
    </w:p>
    <w:p>
      <w:r>
        <w:t>The migration of the reporting service is approved for the next window.</w:t>
      </w:r>
    </w:p>
    <w:p>
      <w:r>
        <w:t>The legacy exporter is frozen and only security fixes are accepted.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Publish the freeze calendar</w:t>
            </w:r>
          </w:p>
        </w:tc>
        <w:tc>
          <w:tcPr>
            <w:tcW w:type="dxa" w:w="2880"/>
          </w:tcPr>
          <w:p>
            <w:r>
              <w:t>Week 12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Draft the migration runbook</w:t>
            </w:r>
          </w:p>
        </w:tc>
        <w:tc>
          <w:tcPr>
            <w:tcW w:type="dxa" w:w="2880"/>
          </w:tcPr>
          <w:p>
            <w:r>
              <w:t>Week 14</w:t>
            </w:r>
          </w:p>
        </w:tc>
      </w:tr>
    </w:tbl>
    <w:p>
      <w:r>
        <w:t>Minutes approved without objection.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