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新发</w:t>
      </w:r>
    </w:p>
    <w:p>
      <w:pPr>
        <w:jc w:val="center"/>
        <w:spacing w:before="3402"/>
      </w:pPr>
      <w:r>
        <w:rPr>
          <w:rFonts w:ascii="SimHei" w:hAnsi="SimHei" w:eastAsia="SimHei"/>
          <w:b w:val="0"/>
          <w:i w:val="0"/>
          <w:color w:val="000000"/>
          <w:sz w:val="60"/>
          <w:u w:val="none"/>
        </w:rPr>
        <w:t>等保</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北京新发智信科技有限责任公司</w:t>
      </w:r>
      <w:r>
        <w:tab/>
      </w:r>
      <w:r>
        <w:rPr>
          <w:color w:val="999999"/>
        </w:rPr>
        <w:t>...</w:t>
      </w:r>
    </w:p>
    <w:p>
      <w:pPr>
        <w:ind w:left="227"/>
      </w:pPr>
      <w:r>
        <w:t>科协系统等保三级安全建设</w:t>
      </w:r>
      <w:r>
        <w:tab/>
      </w:r>
      <w:r>
        <w:rPr>
          <w:color w:val="999999"/>
        </w:rPr>
        <w:t>...</w:t>
      </w:r>
    </w:p>
    <w:p>
      <w:pPr>
        <w:ind w:left="454"/>
      </w:pPr>
      <w:r>
        <w:t>整</w:t>
      </w:r>
      <w:r>
        <w:tab/>
      </w:r>
      <w:r>
        <w:rPr>
          <w:color w:val="999999"/>
        </w:rPr>
        <w:t>...</w:t>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北京新发智信科技有限责任公司</w:t>
      </w:r>
    </w:p>
    <w:p>
      <w:pPr>
        <w:pStyle w:val="Heading2"/>
        <w:jc w:val="left"/>
        <w:spacing w:before="0" w:after="0" w:line="360" w:lineRule="auto"/>
      </w:pPr>
      <w:r>
        <w:rPr>
          <w:rFonts w:ascii="Times New Roman" w:hAnsi="Times New Roman" w:eastAsia="宋体"/>
          <w:b/>
          <w:i w:val="0"/>
          <w:color w:val="000000"/>
          <w:sz w:val="30"/>
          <w:u w:val="none"/>
        </w:rPr>
        <w:t>1.1 科协系统等保三级安全建设</w:t>
      </w:r>
    </w:p>
    <w:p>
      <w:pPr>
        <w:pStyle w:val="Heading3"/>
        <w:jc w:val="left"/>
        <w:spacing w:before="0" w:after="0" w:line="360" w:lineRule="auto"/>
      </w:pPr>
      <w:r>
        <w:rPr>
          <w:rFonts w:ascii="Times New Roman" w:hAnsi="Times New Roman" w:eastAsia="宋体"/>
          <w:b/>
          <w:i w:val="0"/>
          <w:color w:val="000000"/>
          <w:sz w:val="28"/>
          <w:u w:val="none"/>
        </w:rPr>
        <w:t>1.1.1 整</w:t>
      </w:r>
    </w:p>
    <w:p>
      <w:pPr>
        <w:pStyle w:val="Heading4"/>
        <w:jc w:val="left"/>
        <w:spacing w:before="0" w:after="0" w:line="360" w:lineRule="auto"/>
      </w:pPr>
      <w:r>
        <w:rPr>
          <w:rFonts w:ascii="Times New Roman" w:hAnsi="Times New Roman" w:eastAsia="宋体"/>
          <w:b/>
          <w:i w:val="0"/>
          <w:color w:val="000000"/>
          <w:sz w:val="24"/>
          <w:u w:val="none"/>
        </w:rPr>
        <w:t>1.1.1.1 改</w:t>
      </w:r>
    </w:p>
    <w:p>
      <w:pPr>
        <w:pStyle w:val="Heading4"/>
        <w:jc w:val="left"/>
        <w:spacing w:before="0" w:after="0" w:line="360" w:lineRule="auto"/>
      </w:pPr>
      <w:r>
        <w:rPr>
          <w:rFonts w:ascii="Times New Roman" w:hAnsi="Times New Roman" w:eastAsia="宋体"/>
          <w:b/>
          <w:i w:val="0"/>
          <w:color w:val="000000"/>
          <w:sz w:val="24"/>
          <w:u w:val="none"/>
        </w:rPr>
        <w:t>1.1.1.2 方</w:t>
      </w:r>
    </w:p>
    <w:p>
      <w:pPr>
        <w:pStyle w:val="Heading4"/>
        <w:jc w:val="left"/>
        <w:spacing w:before="0" w:after="0" w:line="360" w:lineRule="auto"/>
      </w:pPr>
      <w:r>
        <w:rPr>
          <w:rFonts w:ascii="Times New Roman" w:hAnsi="Times New Roman" w:eastAsia="宋体"/>
          <w:b/>
          <w:i w:val="0"/>
          <w:color w:val="000000"/>
          <w:sz w:val="24"/>
          <w:u w:val="none"/>
        </w:rPr>
        <w:t>1.1.1.3 案</w:t>
      </w:r>
    </w:p>
    <w:p>
      <w:pPr>
        <w:pStyle w:val="Heading4"/>
        <w:jc w:val="left"/>
        <w:spacing w:before="0" w:after="0" w:line="360" w:lineRule="auto"/>
      </w:pPr>
      <w:r>
        <w:rPr>
          <w:rFonts w:ascii="Times New Roman" w:hAnsi="Times New Roman" w:eastAsia="宋体"/>
          <w:b/>
          <w:i w:val="0"/>
          <w:color w:val="000000"/>
          <w:sz w:val="24"/>
          <w:u w:val="none"/>
        </w:rPr>
        <w:t>1.1.1.4 北京昱华源码科技有限公司</w:t>
      </w:r>
    </w:p>
    <w:p>
      <w:pPr>
        <w:pStyle w:val="Heading4"/>
        <w:jc w:val="left"/>
        <w:spacing w:before="0" w:after="0" w:line="360" w:lineRule="auto"/>
      </w:pPr>
      <w:r>
        <w:rPr>
          <w:rFonts w:ascii="Times New Roman" w:hAnsi="Times New Roman" w:eastAsia="宋体"/>
          <w:b/>
          <w:i w:val="0"/>
          <w:color w:val="000000"/>
          <w:sz w:val="24"/>
          <w:u w:val="none"/>
        </w:rPr>
        <w:t>1.1.1.5 国家计算机网络与信息安全管理中心</w:t>
      </w:r>
    </w:p>
    <w:p>
      <w:pPr>
        <w:pStyle w:val="Heading4"/>
        <w:jc w:val="left"/>
        <w:spacing w:before="0" w:after="0" w:line="360" w:lineRule="auto"/>
      </w:pPr>
      <w:r>
        <w:rPr>
          <w:rFonts w:ascii="Times New Roman" w:hAnsi="Times New Roman" w:eastAsia="宋体"/>
          <w:b/>
          <w:i w:val="0"/>
          <w:color w:val="000000"/>
          <w:sz w:val="24"/>
          <w:u w:val="none"/>
        </w:rPr>
        <w:t>1.1.1.6 2020年8月</w:t>
      </w:r>
    </w:p>
    <w:p>
      <w:pPr>
        <w:pStyle w:val="Heading1"/>
        <w:jc w:val="left"/>
        <w:spacing w:before="0" w:after="0" w:line="360" w:lineRule="auto"/>
      </w:pPr>
      <w:r>
        <w:rPr>
          <w:rFonts w:ascii="Times New Roman" w:hAnsi="Times New Roman" w:eastAsia="宋体"/>
          <w:b/>
          <w:i w:val="0"/>
          <w:color w:val="000000"/>
          <w:sz w:val="32"/>
          <w:u w:val="none"/>
        </w:rPr>
        <w:t>第2章 项目概述</w:t>
      </w:r>
    </w:p>
    <w:p>
      <w:pPr>
        <w:pStyle w:val="Heading2"/>
        <w:jc w:val="left"/>
        <w:spacing w:before="0" w:after="0" w:line="360" w:lineRule="auto"/>
      </w:pPr>
      <w:r>
        <w:rPr>
          <w:rFonts w:ascii="Times New Roman" w:hAnsi="Times New Roman" w:eastAsia="宋体"/>
          <w:b/>
          <w:i w:val="0"/>
          <w:color w:val="000000"/>
          <w:sz w:val="30"/>
          <w:u w:val="none"/>
        </w:rPr>
        <w:t>2.1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2.2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2.3 项目参考标准</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指导思想</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FangSong"/>
                <w:b w:val="0"/>
                <w:i w:val="0"/>
                <w:color w:val="000000"/>
                <w:sz w:val="24"/>
                <w:u w:val="none"/>
              </w:rPr>
              <w:t>等级保护</w:t>
            </w:r>
          </w:p>
        </w:tc>
        <w:tc>
          <w:tcPr>
            <w:tcW w:type="dxa" w:w="4323"/>
            <w:tcW w:w="0" w:type="auto"/>
          </w:tcPr>
          <w:p>
            <w:pPr>
              <w:jc w:val="left"/>
            </w:pPr>
            <w:r>
              <w:rPr>
                <w:rFonts w:ascii="Times New Roman" w:hAnsi="Times New Roman" w:eastAsia="FangSong"/>
                <w:b w:val="0"/>
                <w:i w:val="0"/>
                <w:color w:val="000000"/>
                <w:sz w:val="24"/>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FangSong"/>
                <w:b w:val="0"/>
                <w:i w:val="0"/>
                <w:color w:val="000000"/>
                <w:sz w:val="24"/>
                <w:u w:val="none"/>
              </w:rPr>
              <w:t>系统定级</w:t>
            </w:r>
          </w:p>
        </w:tc>
        <w:tc>
          <w:tcPr>
            <w:tcW w:type="dxa" w:w="4323"/>
            <w:tcW w:w="0" w:type="auto"/>
          </w:tcPr>
          <w:p>
            <w:pPr>
              <w:jc w:val="left"/>
            </w:pPr>
            <w:r>
              <w:rPr>
                <w:rFonts w:ascii="Times New Roman" w:hAnsi="Times New Roman" w:eastAsia="FangSong"/>
                <w:b w:val="0"/>
                <w:i w:val="0"/>
                <w:color w:val="000000"/>
                <w:sz w:val="24"/>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FangSong"/>
                <w:b w:val="0"/>
                <w:i w:val="0"/>
                <w:color w:val="000000"/>
                <w:sz w:val="24"/>
                <w:u w:val="none"/>
              </w:rPr>
              <w:t>技术方面</w:t>
            </w:r>
          </w:p>
        </w:tc>
        <w:tc>
          <w:tcPr>
            <w:tcW w:type="dxa" w:w="4323"/>
            <w:tcW w:w="0" w:type="auto"/>
          </w:tcPr>
          <w:p>
            <w:pPr>
              <w:jc w:val="left"/>
            </w:pPr>
            <w:r>
              <w:rPr>
                <w:rFonts w:ascii="Times New Roman" w:hAnsi="Times New Roman" w:eastAsia="FangSong"/>
                <w:b w:val="0"/>
                <w:i w:val="0"/>
                <w:color w:val="000000"/>
                <w:sz w:val="24"/>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FangSong"/>
                <w:b w:val="0"/>
                <w:i w:val="0"/>
                <w:color w:val="000000"/>
                <w:sz w:val="24"/>
                <w:u w:val="none"/>
              </w:rPr>
              <w:t>管理方面</w:t>
            </w:r>
          </w:p>
        </w:tc>
        <w:tc>
          <w:tcPr>
            <w:tcW w:type="dxa" w:w="4323"/>
            <w:tcW w:w="0" w:type="auto"/>
          </w:tcPr>
          <w:p>
            <w:pPr>
              <w:jc w:val="left"/>
            </w:pPr>
            <w:r>
              <w:rPr>
                <w:rFonts w:ascii="Times New Roman" w:hAnsi="Times New Roman" w:eastAsia="FangSong"/>
                <w:b w:val="0"/>
                <w:i w:val="0"/>
                <w:color w:val="000000"/>
                <w:sz w:val="24"/>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FangSong"/>
                <w:b w:val="0"/>
                <w:i w:val="0"/>
                <w:color w:val="000000"/>
                <w:sz w:val="24"/>
                <w:u w:val="none"/>
              </w:rPr>
              <w:t>方案设计</w:t>
            </w:r>
          </w:p>
        </w:tc>
        <w:tc>
          <w:tcPr>
            <w:tcW w:type="dxa" w:w="4323"/>
            <w:tcW w:w="0" w:type="auto"/>
          </w:tcPr>
          <w:p>
            <w:pPr>
              <w:jc w:val="left"/>
            </w:pPr>
            <w:r>
              <w:rPr>
                <w:rFonts w:ascii="Times New Roman" w:hAnsi="Times New Roman" w:eastAsia="FangSong"/>
                <w:b w:val="0"/>
                <w:i w:val="0"/>
                <w:color w:val="000000"/>
                <w:sz w:val="24"/>
                <w:u w:val="none"/>
              </w:rPr>
              <w:t>GB/T25070-2010 信息系统等级保护安全设计技术要求</w:t>
            </w:r>
          </w:p>
        </w:tc>
      </w:tr>
      <w:tr>
        <w:tc>
          <w:tcPr>
            <w:tcW w:type="dxa" w:w="4323"/>
            <w:vAlign w:val="center"/>
            <w:tcW w:w="0" w:type="auto"/>
          </w:tcPr>
          <w:p>
            <w:pPr>
              <w:jc w:val="center"/>
            </w:pPr>
            <w:r>
              <w:rPr>
                <w:rFonts w:ascii="Times New Roman" w:hAnsi="Times New Roman" w:eastAsia="FangSong"/>
                <w:b w:val="0"/>
                <w:i w:val="0"/>
                <w:color w:val="000000"/>
                <w:sz w:val="24"/>
                <w:u w:val="none"/>
              </w:rPr>
              <w:t>等保测评</w:t>
            </w:r>
          </w:p>
        </w:tc>
        <w:tc>
          <w:tcPr>
            <w:tcW w:type="dxa" w:w="4323"/>
            <w:tcW w:w="0" w:type="auto"/>
          </w:tcPr>
          <w:p>
            <w:pPr>
              <w:jc w:val="left"/>
            </w:pPr>
            <w:r>
              <w:rPr>
                <w:rFonts w:ascii="Times New Roman" w:hAnsi="Times New Roman" w:eastAsia="FangSong"/>
                <w:b w:val="0"/>
                <w:i w:val="0"/>
                <w:color w:val="000000"/>
                <w:sz w:val="24"/>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2.4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第3章 系统现状</w:t>
      </w:r>
    </w:p>
    <w:p>
      <w:pPr>
        <w:pStyle w:val="Heading2"/>
        <w:jc w:val="left"/>
        <w:spacing w:before="0" w:after="0" w:line="360" w:lineRule="auto"/>
      </w:pPr>
      <w:r>
        <w:rPr>
          <w:rFonts w:ascii="Times New Roman" w:hAnsi="Times New Roman" w:eastAsia="宋体"/>
          <w:b/>
          <w:i w:val="0"/>
          <w:color w:val="000000"/>
          <w:sz w:val="30"/>
          <w:u w:val="none"/>
        </w:rPr>
        <w:t>3.1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3.2 现有网络拓扑</w:t>
      </w:r>
    </w:p>
    <w:p>
      <w:pPr>
        <w:pStyle w:val="Heading2"/>
        <w:jc w:val="left"/>
        <w:spacing w:before="0" w:after="0" w:line="360" w:lineRule="auto"/>
      </w:pPr>
      <w:r>
        <w:rPr>
          <w:rFonts w:ascii="Times New Roman" w:hAnsi="Times New Roman" w:eastAsia="宋体"/>
          <w:b/>
          <w:i w:val="0"/>
          <w:color w:val="000000"/>
          <w:sz w:val="30"/>
          <w:u w:val="none"/>
        </w:rPr>
        <w:t>3.3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第4章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符合情况</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物理位置的选择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防盗窃和防破坏</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防雷击</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防火</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防水和防潮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防静电</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温湿度控制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电力供应</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电磁防护</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结构安全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边界完整性检查</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网络设备防护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通信完整性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通信保密性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抗抵赖</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软件容错</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数据完整性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数据保密性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备份和恢复</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管理制度</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制定和发布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评审和修订</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岗位设置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人员配备</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授权和审批</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沟通和合作</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审核和检查</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人员录用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人员离岗</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人员考核</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安全意识教育和培训</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外部人员访问管理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系统定级</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安全方案设计</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产品采购和使用</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自行软件开发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外包软件开发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工程实施</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测试验收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系统交付</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系统备案</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等级测评</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安全服务商选择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环境管理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资产管理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介质管理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设备管理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监控管理和安全管理中心</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网络安全管理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恶意代码防范管理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密码管理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变更管理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备份与恢复管理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安全事件处置</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应急预案管理</w:t>
            </w:r>
          </w:p>
        </w:tc>
        <w:tc>
          <w:tcPr>
            <w:tcW w:type="dxa" w:w="1729"/>
            <w:tcW w:w="0" w:type="auto"/>
          </w:tcPr>
          <w:p>
            <w:pPr>
              <w:jc w:val="left"/>
            </w:pPr>
            <w:r>
              <w:rPr>
                <w:rFonts w:ascii="Times New Roman" w:hAnsi="Times New Roman" w:eastAsia="FangSong"/>
                <w:b w:val="0"/>
                <w:i w:val="0"/>
                <w:color w:val="000000"/>
                <w:sz w:val="24"/>
                <w:u w:val="none"/>
              </w:rPr>
              <w:t>部分符合</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第5章 安全需求分析</w:t>
      </w:r>
    </w:p>
    <w:p>
      <w:pPr>
        <w:pStyle w:val="Heading2"/>
        <w:jc w:val="left"/>
        <w:spacing w:before="0" w:after="0" w:line="360" w:lineRule="auto"/>
      </w:pPr>
      <w:r>
        <w:rPr>
          <w:rFonts w:ascii="Times New Roman" w:hAnsi="Times New Roman" w:eastAsia="宋体"/>
          <w:b/>
          <w:i w:val="0"/>
          <w:color w:val="000000"/>
          <w:sz w:val="30"/>
          <w:u w:val="none"/>
        </w:rPr>
        <w:t>5.1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5.2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5.3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5.4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第6章 方案设计</w:t>
      </w:r>
    </w:p>
    <w:p>
      <w:pPr>
        <w:pStyle w:val="Heading2"/>
        <w:jc w:val="left"/>
        <w:spacing w:before="0" w:after="0" w:line="360" w:lineRule="auto"/>
      </w:pPr>
      <w:r>
        <w:rPr>
          <w:rFonts w:ascii="Times New Roman" w:hAnsi="Times New Roman" w:eastAsia="宋体"/>
          <w:b/>
          <w:i w:val="0"/>
          <w:color w:val="000000"/>
          <w:sz w:val="30"/>
          <w:u w:val="none"/>
        </w:rPr>
        <w:t>6.1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6.2 架构设计</w:t>
      </w:r>
    </w:p>
    <w:p>
      <w:pPr>
        <w:pStyle w:val="Heading2"/>
        <w:jc w:val="left"/>
        <w:spacing w:before="0" w:after="0" w:line="360" w:lineRule="auto"/>
      </w:pPr>
      <w:r>
        <w:rPr>
          <w:rFonts w:ascii="Times New Roman" w:hAnsi="Times New Roman" w:eastAsia="宋体"/>
          <w:b/>
          <w:i w:val="0"/>
          <w:color w:val="000000"/>
          <w:sz w:val="30"/>
          <w:u w:val="none"/>
        </w:rPr>
        <w:t>6.3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6.4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第7章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7.1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7.2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7.3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7.4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7.5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7.6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7.7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7.8 安全区域边界设计</w:t>
      </w:r>
    </w:p>
    <w:p>
      <w:pPr>
        <w:pStyle w:val="Heading3"/>
        <w:jc w:val="left"/>
        <w:spacing w:before="0" w:after="0" w:line="360" w:lineRule="auto"/>
      </w:pPr>
      <w:r>
        <w:rPr>
          <w:rFonts w:ascii="Times New Roman" w:hAnsi="Times New Roman" w:eastAsia="宋体"/>
          <w:b/>
          <w:i w:val="0"/>
          <w:color w:val="000000"/>
          <w:sz w:val="28"/>
          <w:u w:val="none"/>
        </w:rPr>
        <w:t>7.8.1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7.8.2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7.8.3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7.9 安全通信网络设计</w:t>
      </w:r>
    </w:p>
    <w:p>
      <w:pPr>
        <w:pStyle w:val="Heading3"/>
        <w:jc w:val="left"/>
        <w:spacing w:before="0" w:after="0" w:line="360" w:lineRule="auto"/>
      </w:pPr>
      <w:r>
        <w:rPr>
          <w:rFonts w:ascii="Times New Roman" w:hAnsi="Times New Roman" w:eastAsia="宋体"/>
          <w:b/>
          <w:i w:val="0"/>
          <w:color w:val="000000"/>
          <w:sz w:val="28"/>
          <w:u w:val="none"/>
        </w:rPr>
        <w:t>7.9.1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7.9.2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7.9.3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7.9.4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7.9.5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7.9.5.1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7.9.5.2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7.9.5.3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7.9.5.4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7.9.5.5 拓扑图</w:t>
      </w:r>
    </w:p>
    <w:p>
      <w:pPr>
        <w:pStyle w:val="Heading4"/>
        <w:jc w:val="left"/>
        <w:spacing w:before="0" w:after="0" w:line="360" w:lineRule="auto"/>
      </w:pPr>
      <w:r>
        <w:rPr>
          <w:rFonts w:ascii="Times New Roman" w:hAnsi="Times New Roman" w:eastAsia="宋体"/>
          <w:b/>
          <w:i w:val="0"/>
          <w:color w:val="000000"/>
          <w:sz w:val="24"/>
          <w:u w:val="none"/>
        </w:rPr>
        <w:t>7.9.5.6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新发</w:t>
    </w:r>
    <w:r>
      <w:tab/>
    </w:r>
    <w:r>
      <w:t>等保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