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一、概述​</w:t>
      </w:r>
      <w:r>
        <w:tab/>
      </w:r>
      <w:r>
        <w:rPr>
          <w:color w:val="999999"/>
        </w:rPr>
        <w:t>...</w:t>
      </w:r>
    </w:p>
    <w:p>
      <w:pPr>
        <w:ind w:left="227"/>
      </w:pPr>
      <w:r>
        <w:t>（一）调研背景​</w:t>
      </w:r>
      <w:r>
        <w:tab/>
      </w:r>
      <w:r>
        <w:rPr>
          <w:color w:val="999999"/>
        </w:rPr>
        <w:t>...</w:t>
      </w:r>
    </w:p>
    <w:p>
      <w:pPr>
        <w:ind w:left="227"/>
      </w:pPr>
      <w:r>
        <w:t>（二）调研目的​</w:t>
      </w:r>
      <w:r>
        <w:tab/>
      </w:r>
      <w:r>
        <w:rPr>
          <w:color w:val="999999"/>
        </w:rPr>
        <w:t>...</w:t>
      </w:r>
    </w:p>
    <w:p>
      <w:pPr>
        <w:ind w:left="227"/>
      </w:pPr>
      <w:r>
        <w:t>（三）调研范围与对象​</w:t>
      </w:r>
      <w:r>
        <w:tab/>
      </w:r>
      <w:r>
        <w:rPr>
          <w:color w:val="999999"/>
        </w:rPr>
        <w:t>...</w:t>
      </w:r>
    </w:p>
    <w:p>
      <w:r>
        <w:rPr>
          <w:b/>
        </w:rPr>
        <w:t>桌面云厂商情况​</w:t>
      </w:r>
      <w:r>
        <w:tab/>
      </w:r>
      <w:r>
        <w:rPr>
          <w:color w:val="999999"/>
        </w:rPr>
        <w:t>...</w:t>
      </w:r>
    </w:p>
    <w:p>
      <w:pPr>
        <w:ind w:left="227"/>
      </w:pPr>
      <w:r>
        <w:t>（一）基本情况</w:t>
      </w:r>
      <w:r>
        <w:tab/>
      </w:r>
      <w:r>
        <w:rPr>
          <w:color w:val="999999"/>
        </w:rPr>
        <w:t>...</w:t>
      </w:r>
    </w:p>
    <w:p>
      <w:pPr>
        <w:ind w:left="227"/>
      </w:pPr>
      <w:r>
        <w:t>（二）部分客户案例</w:t>
      </w:r>
      <w:r>
        <w:tab/>
      </w:r>
      <w:r>
        <w:rPr>
          <w:color w:val="999999"/>
        </w:rPr>
        <w:t>...</w:t>
      </w:r>
    </w:p>
    <w:p>
      <w:r>
        <w:rPr>
          <w:b/>
        </w:rPr>
        <w:t>桌面云产品调研​</w:t>
      </w:r>
      <w:r>
        <w:tab/>
      </w:r>
      <w:r>
        <w:rPr>
          <w:color w:val="999999"/>
        </w:rPr>
        <w:t>...</w:t>
      </w:r>
    </w:p>
    <w:p>
      <w:pPr>
        <w:ind w:left="227"/>
      </w:pPr>
      <w:r>
        <w:t>（一）产品功能特性​</w:t>
      </w:r>
      <w:r>
        <w:tab/>
      </w:r>
      <w:r>
        <w:rPr>
          <w:color w:val="999999"/>
        </w:rPr>
        <w:t>...</w:t>
      </w:r>
    </w:p>
    <w:p>
      <w:pPr>
        <w:ind w:left="227"/>
      </w:pPr>
      <w:r>
        <w:t>（二）产品性能表现​</w:t>
      </w:r>
      <w:r>
        <w:tab/>
      </w:r>
      <w:r>
        <w:rPr>
          <w:color w:val="999999"/>
        </w:rPr>
        <w:t>...</w:t>
      </w:r>
    </w:p>
    <w:p>
      <w:pPr>
        <w:ind w:left="227"/>
      </w:pPr>
      <w:r>
        <w:t>（三）产品用户体验​</w:t>
      </w:r>
      <w:r>
        <w:tab/>
      </w:r>
      <w:r>
        <w:rPr>
          <w:color w:val="999999"/>
        </w:rPr>
        <w:t>...</w:t>
      </w:r>
    </w:p>
    <w:p>
      <w:pPr>
        <w:ind w:left="227"/>
      </w:pPr>
      <w:r>
        <w:t>（四）产品价格体系​</w:t>
      </w:r>
      <w:r>
        <w:tab/>
      </w:r>
      <w:r>
        <w:rPr>
          <w:color w:val="999999"/>
        </w:rPr>
        <w:t>...</w:t>
      </w:r>
    </w:p>
    <w:p>
      <w:r>
        <w:fldChar w:fldCharType="end"/>
      </w:r>
    </w:p>
    <w:p>
      <w:r>
        <w:br w:type="page"/>
      </w:r>
    </w:p>
    <w:p>
      <w:pPr>
        <w:ind w:firstLineChars="200"/>
        <w:spacing w:before="0" w:after="0" w:line="360" w:lineRule="auto"/>
      </w:pPr>
      <w:r>
        <w:rPr>
          <w:rFonts w:ascii="Times New Roman" w:hAnsi="Times New Roman" w:eastAsia="宋体"/>
          <w:b w:val="0"/>
          <w:i w:val="0"/>
          <w:color w:val="000000"/>
          <w:sz w:val="24"/>
          <w:u w:val="none"/>
        </w:rPr>
        <w:t>安超云软件有限公司调研报告</w:t>
      </w:r>
    </w:p>
    <w:p>
      <w:r>
        <w:br w:type="page"/>
      </w:r>
    </w:p>
    <w:p>
      <w:pPr>
        <w:pStyle w:val="Heading1"/>
        <w:jc w:val="left"/>
        <w:spacing w:before="0" w:after="0" w:line="360" w:lineRule="auto"/>
      </w:pPr>
      <w:r>
        <w:rPr>
          <w:rFonts w:ascii="Times New Roman" w:hAnsi="Times New Roman" w:eastAsia="宋体"/>
          <w:b/>
          <w:i w:val="0"/>
          <w:color w:val="000000"/>
          <w:sz w:val="32"/>
          <w:u w:val="none"/>
        </w:rPr>
        <w:t>第1章 概述​</w:t>
      </w:r>
    </w:p>
    <w:p>
      <w:pPr>
        <w:pStyle w:val="Heading2"/>
        <w:jc w:val="left"/>
        <w:spacing w:before="0" w:after="0" w:line="360" w:lineRule="auto"/>
      </w:pPr>
      <w:r>
        <w:rPr>
          <w:rFonts w:ascii="Times New Roman" w:hAnsi="Times New Roman" w:eastAsia="宋体"/>
          <w:b/>
          <w:i w:val="0"/>
          <w:color w:val="000000"/>
          <w:sz w:val="30"/>
          <w:u w:val="none"/>
        </w:rPr>
        <w:t>1.1 调研背景​</w:t>
      </w:r>
    </w:p>
    <w:p>
      <w:pPr>
        <w:ind w:firstLineChars="200"/>
        <w:spacing w:before="0" w:after="0" w:line="360" w:lineRule="auto"/>
      </w:pPr>
      <w:r>
        <w:rPr>
          <w:rFonts w:ascii="Times New Roman" w:hAnsi="Times New Roman" w:eastAsia="宋体"/>
          <w:b w:val="0"/>
          <w:i w:val="0"/>
          <w:color w:val="000000"/>
          <w:sz w:val="24"/>
          <w:u w:val="none"/>
        </w:rPr>
        <w:t>根据本单位计划建设信创桌面云试点，全面了解市场桌面云厂商及产品情况对我司桌面云规划、建设、产品选型的重要意义。​</w:t>
      </w:r>
    </w:p>
    <w:p>
      <w:r>
        <w:br w:type="page"/>
      </w:r>
    </w:p>
    <w:p>
      <w:pPr>
        <w:pStyle w:val="Heading2"/>
        <w:jc w:val="left"/>
        <w:spacing w:before="0" w:after="0" w:line="360" w:lineRule="auto"/>
      </w:pPr>
      <w:r>
        <w:rPr>
          <w:rFonts w:ascii="Times New Roman" w:hAnsi="Times New Roman" w:eastAsia="宋体"/>
          <w:b/>
          <w:i w:val="0"/>
          <w:color w:val="000000"/>
          <w:sz w:val="30"/>
          <w:u w:val="none"/>
        </w:rPr>
        <w:t>1.2 调研目的​</w:t>
      </w:r>
    </w:p>
    <w:p>
      <w:pPr>
        <w:ind w:firstLineChars="200"/>
        <w:spacing w:before="0" w:after="0" w:line="360" w:lineRule="auto"/>
      </w:pPr>
      <w:r>
        <w:rPr>
          <w:rFonts w:ascii="Times New Roman" w:hAnsi="Times New Roman" w:eastAsia="宋体"/>
          <w:b w:val="0"/>
          <w:i w:val="0"/>
          <w:color w:val="000000"/>
          <w:sz w:val="24"/>
          <w:u w:val="none"/>
        </w:rPr>
        <w:t>全面掌握主流桌面云厂商的市场地位、技术实力、产品特点，为我司选择合适的桌面云解决方案提供依据，为建设规划提供数据支撑。​</w:t>
      </w:r>
    </w:p>
    <w:p>
      <w:r>
        <w:br w:type="page"/>
      </w:r>
    </w:p>
    <w:p>
      <w:pPr>
        <w:pStyle w:val="Heading2"/>
        <w:jc w:val="left"/>
        <w:spacing w:before="0" w:after="0" w:line="360" w:lineRule="auto"/>
      </w:pPr>
      <w:r>
        <w:rPr>
          <w:rFonts w:ascii="Times New Roman" w:hAnsi="Times New Roman" w:eastAsia="宋体"/>
          <w:b/>
          <w:i w:val="0"/>
          <w:color w:val="000000"/>
          <w:sz w:val="30"/>
          <w:u w:val="none"/>
        </w:rPr>
        <w:t>1.3 调研范围与对象​</w:t>
      </w:r>
    </w:p>
    <w:p>
      <w:pPr>
        <w:ind w:firstLineChars="200"/>
        <w:spacing w:before="0" w:after="0" w:line="360" w:lineRule="auto"/>
      </w:pPr>
      <w:r>
        <w:rPr>
          <w:rFonts w:ascii="Times New Roman" w:hAnsi="Times New Roman" w:eastAsia="宋体"/>
          <w:b w:val="0"/>
          <w:i w:val="0"/>
          <w:color w:val="000000"/>
          <w:sz w:val="24"/>
          <w:u w:val="none"/>
        </w:rPr>
        <w:t>范围：主流桌面云厂商​</w:t>
      </w:r>
    </w:p>
    <w:p>
      <w:pPr>
        <w:ind w:firstLineChars="200"/>
        <w:spacing w:before="0" w:after="0" w:line="360" w:lineRule="auto"/>
      </w:pPr>
      <w:r>
        <w:rPr>
          <w:rFonts w:ascii="Times New Roman" w:hAnsi="Times New Roman" w:eastAsia="宋体"/>
          <w:b w:val="0"/>
          <w:i w:val="0"/>
          <w:color w:val="000000"/>
          <w:sz w:val="24"/>
          <w:u w:val="none"/>
        </w:rPr>
        <w:t>对象：安超云软件有限公司</w:t>
      </w:r>
    </w:p>
    <w:p>
      <w:r>
        <w:br w:type="page"/>
      </w:r>
    </w:p>
    <w:p>
      <w:pPr>
        <w:pStyle w:val="Heading1"/>
        <w:jc w:val="left"/>
        <w:spacing w:before="0" w:after="0" w:line="360" w:lineRule="auto"/>
      </w:pPr>
      <w:r>
        <w:rPr>
          <w:rFonts w:ascii="Times New Roman" w:hAnsi="Times New Roman" w:eastAsia="宋体"/>
          <w:b/>
          <w:i w:val="0"/>
          <w:color w:val="000000"/>
          <w:sz w:val="32"/>
          <w:u w:val="none"/>
        </w:rPr>
        <w:t>第2章 桌面云厂商情况​</w:t>
      </w:r>
    </w:p>
    <w:p>
      <w:pPr>
        <w:pStyle w:val="Heading2"/>
        <w:jc w:val="left"/>
        <w:spacing w:before="0" w:after="0" w:line="360" w:lineRule="auto"/>
      </w:pPr>
      <w:r>
        <w:rPr>
          <w:rFonts w:ascii="Times New Roman" w:hAnsi="Times New Roman" w:eastAsia="宋体"/>
          <w:b/>
          <w:i w:val="0"/>
          <w:color w:val="000000"/>
          <w:sz w:val="30"/>
          <w:u w:val="none"/>
        </w:rPr>
        <w:t>2.1 基本情况</w:t>
      </w:r>
    </w:p>
    <w:p>
      <w:pPr>
        <w:ind w:firstLineChars="200"/>
        <w:spacing w:before="0" w:after="0" w:line="360" w:lineRule="auto"/>
      </w:pPr>
      <w:r>
        <w:rPr>
          <w:rFonts w:ascii="Times New Roman" w:hAnsi="Times New Roman" w:eastAsia="宋体"/>
          <w:b w:val="0"/>
          <w:i w:val="0"/>
          <w:color w:val="000000"/>
          <w:sz w:val="24"/>
          <w:u w:val="none"/>
        </w:rPr>
        <w:t>安超云软件有限公司（简称“安超云”）是数字技术基础架构提供商，聚集了国内外顶尖的云计算专家和资深工程师，致力于为政企客户打造高性能、高可用、高效率、全面适配、高效管理及敏捷运行的IT基础设施平台。</w:t>
      </w:r>
    </w:p>
    <w:p>
      <w:pPr>
        <w:ind w:firstLineChars="200"/>
        <w:spacing w:before="0" w:after="0" w:line="360" w:lineRule="auto"/>
      </w:pPr>
      <w:r>
        <w:rPr>
          <w:rFonts w:ascii="Times New Roman" w:hAnsi="Times New Roman" w:eastAsia="宋体"/>
          <w:b w:val="0"/>
          <w:i w:val="0"/>
          <w:color w:val="000000"/>
          <w:sz w:val="24"/>
          <w:u w:val="none"/>
        </w:rPr>
        <w:t>安超云操作系统（ArcherOS）可基于国产六大芯片、五大操作系统向下全面统一纳管、调度、容灾和管理，向上全面兼容各种应用软件，有效的屏蔽了底层复杂基础架构。</w:t>
      </w:r>
    </w:p>
    <w:p>
      <w:pPr>
        <w:ind w:firstLineChars="200"/>
        <w:spacing w:before="0" w:after="0" w:line="360" w:lineRule="auto"/>
      </w:pPr>
      <w:r>
        <w:rPr>
          <w:rFonts w:ascii="Times New Roman" w:hAnsi="Times New Roman" w:eastAsia="宋体"/>
          <w:b w:val="0"/>
          <w:i w:val="0"/>
          <w:color w:val="000000"/>
          <w:sz w:val="24"/>
          <w:u w:val="none"/>
        </w:rPr>
        <w:t>安超云系列产品和解决方案基于“全芯全栈”、“全生态”、“多云纳管”的能力，打造的“信创云基座”解决方案，融合了安超云自研的云操作系统、虚拟化平台软件、分布式存储软件、云管理平台、桌面云软件等10余个子产品，经权威机构测评核心代码自主率达91%。</w:t>
      </w:r>
    </w:p>
    <w:p>
      <w:pPr>
        <w:ind w:firstLineChars="200"/>
        <w:spacing w:before="0" w:after="0" w:line="360" w:lineRule="auto"/>
      </w:pPr>
      <w:r>
        <w:rPr>
          <w:rFonts w:ascii="Times New Roman" w:hAnsi="Times New Roman" w:eastAsia="宋体"/>
          <w:b w:val="0"/>
          <w:i w:val="0"/>
          <w:color w:val="000000"/>
          <w:sz w:val="24"/>
          <w:u w:val="none"/>
        </w:rPr>
        <w:t>成立至今，安超云多次获得国际权威分析机构认可。2021年，凭借突出的技术实力与广泛的用户实践进入Gartner全球超融合基础设施软件魔力象限，成为全球超融合厂商TOP10。2022年11月，国际权威IT研究机构Omdia发布《市场前景：桌面即服务和后疫情时代的关联》和《全球混合云和多云厂商竞争力排名报告》，安超云均作为唯一中国厂商进入报告，综合排名全球TOP10。2023年1月，GigaOm发布《2022企业级超融合基础设施雷达）》报告，安超云入选全球Top9超融合厂商，多项技术指标评分比肩VMware, 应用市场评分全球第一。</w:t>
      </w:r>
    </w:p>
    <w:p>
      <w:pPr>
        <w:ind w:firstLineChars="200"/>
        <w:spacing w:before="0" w:after="0" w:line="360" w:lineRule="auto"/>
      </w:pPr>
      <w:r>
        <w:rPr>
          <w:rFonts w:ascii="Times New Roman" w:hAnsi="Times New Roman" w:eastAsia="宋体"/>
          <w:b w:val="0"/>
          <w:i w:val="0"/>
          <w:color w:val="000000"/>
          <w:sz w:val="24"/>
          <w:u w:val="none"/>
        </w:rPr>
        <w:t>安超云成功案例已遍布党政军、金融、制造等关键领域，安超云助力多行业和通用客户实现VMware一站式国产化替代，持续支撑国家自主安全可控的数字经济发展。依托国产化自研的安超OS，安超云为被列入限制名单的多家企业提供信创云，顺利实现国产化替代。安超云助力教育、医疗、交通等民生行业企业实现了数字化转型，更好地服务于百姓生活。</w:t>
      </w:r>
    </w:p>
    <w:p>
      <w:r>
        <w:br w:type="page"/>
      </w:r>
    </w:p>
    <w:p>
      <w:pPr>
        <w:pStyle w:val="Heading2"/>
        <w:jc w:val="left"/>
        <w:spacing w:before="0" w:after="0" w:line="360" w:lineRule="auto"/>
      </w:pPr>
      <w:r>
        <w:rPr>
          <w:rFonts w:ascii="Times New Roman" w:hAnsi="Times New Roman" w:eastAsia="宋体"/>
          <w:b/>
          <w:i w:val="0"/>
          <w:color w:val="000000"/>
          <w:sz w:val="30"/>
          <w:u w:val="none"/>
        </w:rPr>
        <w:t>2.2 部分客户案例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中国卫星网络集团</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科技部</w:t>
              <w:br/>
              <w:t>国家自然科学基金委员会</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无锡公安</w:t>
            </w:r>
          </w:p>
        </w:tc>
      </w:tr>
      <w:tr>
        <w:tc>
          <w:tcPr>
            <w:tcW w:type="dxa" w:w="2161"/>
            <w:vAlign w:val="center"/>
            <w:tcW w:w="0" w:type="auto"/>
          </w:tcPr>
          <w:p>
            <w:pPr>
              <w:jc w:val="center"/>
            </w:pPr>
            <w:r>
              <w:rPr>
                <w:rFonts w:ascii="Times New Roman" w:hAnsi="Times New Roman" w:eastAsia="FangSong"/>
                <w:b w:val="0"/>
                <w:i w:val="0"/>
                <w:color w:val="000000"/>
                <w:sz w:val="24"/>
                <w:u w:val="none"/>
              </w:rPr>
              <w:t>案例描述</w:t>
            </w:r>
          </w:p>
        </w:tc>
        <w:tc>
          <w:tcPr>
            <w:tcW w:type="dxa" w:w="2161"/>
            <w:tcW w:w="0" w:type="auto"/>
          </w:tcPr>
          <w:p>
            <w:pPr>
              <w:jc w:val="left"/>
            </w:pPr>
            <w:r>
              <w:rPr>
                <w:rFonts w:ascii="Times New Roman" w:hAnsi="Times New Roman" w:eastAsia="FangSong"/>
                <w:b w:val="0"/>
                <w:i w:val="0"/>
                <w:color w:val="000000"/>
                <w:sz w:val="24"/>
                <w:u w:val="none"/>
              </w:rPr>
              <w:t>1、响应国家自主可控要求，搭建一套国产化桌面云平台，满足全集团员工办公及卫星设计研发需求。</w:t>
              <w:br/>
              <w:t>2、严格按照自主可控的信创路线对服务器、备份、云平台、操作系统等统筹建设，满足安全、易用、稳定可靠的基础科研办公环境，以提供给集团员工对于日常办公、研发测试等工作使用需求。</w:t>
              <w:br/>
              <w:t>3、实现集中化的数据存储和资源管理统一的存储备份，全方位保障数据安全，同时降低集团IT 设备的运维成本。</w:t>
            </w:r>
          </w:p>
        </w:tc>
        <w:tc>
          <w:tcPr>
            <w:tcW w:type="dxa" w:w="2161"/>
            <w:tcW w:w="0" w:type="auto"/>
          </w:tcPr>
          <w:p>
            <w:pPr>
              <w:jc w:val="left"/>
            </w:pPr>
            <w:r>
              <w:rPr>
                <w:rFonts w:ascii="Times New Roman" w:hAnsi="Times New Roman" w:eastAsia="FangSong"/>
                <w:b w:val="0"/>
                <w:i w:val="0"/>
                <w:color w:val="000000"/>
                <w:sz w:val="24"/>
                <w:u w:val="none"/>
              </w:rPr>
              <w:t>1、为满足国产化办公的逐步替代，响应国家政策对于国产化的改造的要求，搭建一套国产化桌面云环境，满足日常办公使用需求。</w:t>
              <w:br/>
              <w:t>2、通过本项目建设，满足办公人员企业信息安全保护、简化统一运维的需求。</w:t>
              <w:br/>
              <w:t>3、利用桌面云的数据安全和灵活运维，满足部委每年的兼聘人员流动需求，保障基金委关键数据安全。</w:t>
            </w:r>
          </w:p>
        </w:tc>
        <w:tc>
          <w:tcPr>
            <w:tcW w:type="dxa" w:w="2161"/>
            <w:tcW w:w="0" w:type="auto"/>
          </w:tcPr>
          <w:p>
            <w:pPr>
              <w:jc w:val="left"/>
            </w:pPr>
            <w:r>
              <w:rPr>
                <w:rFonts w:ascii="Times New Roman" w:hAnsi="Times New Roman" w:eastAsia="FangSong"/>
                <w:b w:val="0"/>
                <w:i w:val="0"/>
                <w:color w:val="000000"/>
                <w:sz w:val="24"/>
                <w:u w:val="none"/>
              </w:rPr>
              <w:t>1、无锡市局、分局、派出所员工桌面的国产化替代需求，满足办公、政务办事、监控等所方面等桌面使用。</w:t>
              <w:br/>
              <w:t>2、充分利用已建设的公安三网能力，为公安三网综合承载公安办案办公赋能；</w:t>
              <w:br/>
              <w:t>3、以小规模云端资源满足区县公安下属派出所大量执勤干警的错峰办公需求；</w:t>
              <w:br/>
              <w:t>4、在无法规避公安人员误插网线的情况下，帮助公安办公人员有效遵守“一机两用”相关管理规定；</w:t>
            </w:r>
          </w:p>
        </w:tc>
      </w:tr>
      <w:tr>
        <w:tc>
          <w:tcPr>
            <w:tcW w:type="dxa" w:w="2161"/>
            <w:vAlign w:val="center"/>
            <w:tcW w:w="0" w:type="auto"/>
          </w:tcPr>
          <w:p>
            <w:pPr>
              <w:jc w:val="center"/>
            </w:pPr>
            <w:r>
              <w:rPr>
                <w:rFonts w:ascii="Times New Roman" w:hAnsi="Times New Roman" w:eastAsia="FangSong"/>
                <w:b w:val="0"/>
                <w:i w:val="0"/>
                <w:color w:val="000000"/>
                <w:sz w:val="24"/>
                <w:u w:val="none"/>
              </w:rPr>
              <w:t>用户行业</w:t>
            </w:r>
          </w:p>
        </w:tc>
        <w:tc>
          <w:tcPr>
            <w:tcW w:type="dxa" w:w="2161"/>
            <w:tcW w:w="0" w:type="auto"/>
          </w:tcPr>
          <w:p>
            <w:pPr>
              <w:jc w:val="left"/>
            </w:pPr>
            <w:r>
              <w:rPr>
                <w:rFonts w:ascii="Times New Roman" w:hAnsi="Times New Roman" w:eastAsia="FangSong"/>
                <w:b w:val="0"/>
                <w:i w:val="0"/>
                <w:color w:val="000000"/>
                <w:sz w:val="24"/>
                <w:u w:val="none"/>
              </w:rPr>
              <w:t>大型国央企</w:t>
            </w:r>
          </w:p>
        </w:tc>
        <w:tc>
          <w:tcPr>
            <w:tcW w:type="dxa" w:w="2161"/>
            <w:tcW w:w="0" w:type="auto"/>
          </w:tcPr>
          <w:p>
            <w:pPr>
              <w:jc w:val="left"/>
            </w:pPr>
            <w:r>
              <w:rPr>
                <w:rFonts w:ascii="Times New Roman" w:hAnsi="Times New Roman" w:eastAsia="FangSong"/>
                <w:b w:val="0"/>
                <w:i w:val="0"/>
                <w:color w:val="000000"/>
                <w:sz w:val="24"/>
                <w:u w:val="none"/>
              </w:rPr>
              <w:t>国家部委</w:t>
            </w:r>
          </w:p>
        </w:tc>
        <w:tc>
          <w:tcPr>
            <w:tcW w:type="dxa" w:w="2161"/>
            <w:tcW w:w="0" w:type="auto"/>
          </w:tcPr>
          <w:p>
            <w:pPr>
              <w:jc w:val="left"/>
            </w:pPr>
            <w:r>
              <w:rPr>
                <w:rFonts w:ascii="Times New Roman" w:hAnsi="Times New Roman" w:eastAsia="FangSong"/>
                <w:b w:val="0"/>
                <w:i w:val="0"/>
                <w:color w:val="000000"/>
                <w:sz w:val="24"/>
                <w:u w:val="none"/>
              </w:rPr>
              <w:t>政府</w:t>
            </w:r>
          </w:p>
        </w:tc>
      </w:tr>
      <w:tr>
        <w:tc>
          <w:tcPr>
            <w:tcW w:type="dxa" w:w="2161"/>
            <w:vAlign w:val="center"/>
            <w:tcW w:w="0" w:type="auto"/>
          </w:tcPr>
          <w:p>
            <w:pPr>
              <w:jc w:val="center"/>
            </w:pPr>
            <w:r>
              <w:rPr>
                <w:rFonts w:ascii="Times New Roman" w:hAnsi="Times New Roman" w:eastAsia="FangSong"/>
                <w:b w:val="0"/>
                <w:i w:val="0"/>
                <w:color w:val="000000"/>
                <w:sz w:val="24"/>
                <w:u w:val="none"/>
              </w:rPr>
              <w:t>使用桌面云规模</w:t>
            </w:r>
          </w:p>
        </w:tc>
        <w:tc>
          <w:tcPr>
            <w:tcW w:type="dxa" w:w="2161"/>
            <w:tcW w:w="0" w:type="auto"/>
          </w:tcPr>
          <w:p>
            <w:pPr>
              <w:jc w:val="left"/>
            </w:pPr>
            <w:r>
              <w:rPr>
                <w:rFonts w:ascii="Times New Roman" w:hAnsi="Times New Roman" w:eastAsia="FangSong"/>
                <w:b w:val="0"/>
                <w:i w:val="0"/>
                <w:color w:val="000000"/>
                <w:sz w:val="24"/>
                <w:u w:val="none"/>
              </w:rPr>
              <w:t>7800</w:t>
            </w:r>
          </w:p>
        </w:tc>
        <w:tc>
          <w:tcPr>
            <w:tcW w:type="dxa" w:w="2161"/>
            <w:tcW w:w="0" w:type="auto"/>
          </w:tcPr>
          <w:p>
            <w:pPr>
              <w:jc w:val="left"/>
            </w:pPr>
            <w:r>
              <w:rPr>
                <w:rFonts w:ascii="Times New Roman" w:hAnsi="Times New Roman" w:eastAsia="FangSong"/>
                <w:b w:val="0"/>
                <w:i w:val="0"/>
                <w:color w:val="000000"/>
                <w:sz w:val="24"/>
                <w:u w:val="none"/>
              </w:rPr>
              <w:t>300</w:t>
            </w:r>
          </w:p>
        </w:tc>
        <w:tc>
          <w:tcPr>
            <w:tcW w:type="dxa" w:w="2161"/>
            <w:tcW w:w="0" w:type="auto"/>
          </w:tcPr>
          <w:p>
            <w:pPr>
              <w:jc w:val="left"/>
            </w:pPr>
            <w:r>
              <w:rPr>
                <w:rFonts w:ascii="Times New Roman" w:hAnsi="Times New Roman" w:eastAsia="FangSong"/>
                <w:b w:val="0"/>
                <w:i w:val="0"/>
                <w:color w:val="000000"/>
                <w:sz w:val="24"/>
                <w:u w:val="none"/>
              </w:rPr>
              <w:t>500</w:t>
            </w:r>
          </w:p>
        </w:tc>
      </w:tr>
      <w:tr>
        <w:tc>
          <w:tcPr>
            <w:tcW w:type="dxa" w:w="2161"/>
            <w:vAlign w:val="center"/>
            <w:tcW w:w="0" w:type="auto"/>
          </w:tcPr>
          <w:p>
            <w:pPr>
              <w:jc w:val="center"/>
            </w:pPr>
            <w:r>
              <w:rPr>
                <w:rFonts w:ascii="Times New Roman" w:hAnsi="Times New Roman" w:eastAsia="FangSong"/>
                <w:b w:val="0"/>
                <w:i w:val="0"/>
                <w:color w:val="000000"/>
                <w:sz w:val="24"/>
                <w:u w:val="none"/>
              </w:rPr>
              <w:t>技术路线</w:t>
            </w:r>
          </w:p>
        </w:tc>
        <w:tc>
          <w:tcPr>
            <w:tcW w:type="dxa" w:w="2161"/>
            <w:tcW w:w="0" w:type="auto"/>
          </w:tcPr>
          <w:p>
            <w:pPr>
              <w:jc w:val="left"/>
            </w:pPr>
            <w:r>
              <w:rPr>
                <w:rFonts w:ascii="Times New Roman" w:hAnsi="Times New Roman" w:eastAsia="FangSong"/>
                <w:b w:val="0"/>
                <w:i w:val="0"/>
                <w:color w:val="000000"/>
                <w:sz w:val="24"/>
                <w:u w:val="none"/>
              </w:rPr>
              <w:t>全信创</w:t>
            </w:r>
          </w:p>
        </w:tc>
        <w:tc>
          <w:tcPr>
            <w:tcW w:type="dxa" w:w="2161"/>
            <w:tcW w:w="0" w:type="auto"/>
          </w:tcPr>
          <w:p>
            <w:pPr>
              <w:jc w:val="left"/>
            </w:pPr>
            <w:r>
              <w:rPr>
                <w:rFonts w:ascii="Times New Roman" w:hAnsi="Times New Roman" w:eastAsia="FangSong"/>
                <w:b w:val="0"/>
                <w:i w:val="0"/>
                <w:color w:val="000000"/>
                <w:sz w:val="24"/>
                <w:u w:val="none"/>
              </w:rPr>
              <w:t>全信创</w:t>
            </w:r>
          </w:p>
        </w:tc>
        <w:tc>
          <w:tcPr>
            <w:tcW w:type="dxa" w:w="2161"/>
            <w:tcW w:w="0" w:type="auto"/>
          </w:tcPr>
          <w:p>
            <w:pPr>
              <w:jc w:val="left"/>
            </w:pPr>
            <w:r>
              <w:rPr>
                <w:rFonts w:ascii="Times New Roman" w:hAnsi="Times New Roman" w:eastAsia="FangSong"/>
                <w:b w:val="0"/>
                <w:i w:val="0"/>
                <w:color w:val="000000"/>
                <w:sz w:val="24"/>
                <w:u w:val="none"/>
              </w:rPr>
              <w:t>信创</w:t>
            </w:r>
          </w:p>
        </w:tc>
      </w:tr>
      <w:tr>
        <w:tc>
          <w:tcPr>
            <w:tcW w:type="dxa" w:w="2161"/>
            <w:vAlign w:val="center"/>
            <w:tcW w:w="0" w:type="auto"/>
          </w:tcPr>
          <w:p>
            <w:pPr>
              <w:jc w:val="center"/>
            </w:pPr>
            <w:r>
              <w:rPr>
                <w:rFonts w:ascii="Times New Roman" w:hAnsi="Times New Roman" w:eastAsia="FangSong"/>
                <w:b w:val="0"/>
                <w:i w:val="0"/>
                <w:color w:val="000000"/>
                <w:sz w:val="24"/>
                <w:u w:val="none"/>
              </w:rPr>
              <w:t>服务器架构</w:t>
            </w:r>
          </w:p>
        </w:tc>
        <w:tc>
          <w:tcPr>
            <w:tcW w:type="dxa" w:w="2161"/>
            <w:tcW w:w="0" w:type="auto"/>
          </w:tcPr>
          <w:p>
            <w:pPr>
              <w:jc w:val="left"/>
            </w:pPr>
            <w:r>
              <w:rPr>
                <w:rFonts w:ascii="Times New Roman" w:hAnsi="Times New Roman" w:eastAsia="FangSong"/>
                <w:b w:val="0"/>
                <w:i w:val="0"/>
                <w:color w:val="000000"/>
                <w:sz w:val="24"/>
                <w:u w:val="none"/>
              </w:rPr>
              <w:t>海光、飞腾、鲲鹏多集群统一管理</w:t>
            </w:r>
          </w:p>
        </w:tc>
        <w:tc>
          <w:tcPr>
            <w:tcW w:type="dxa" w:w="2161"/>
            <w:tcW w:w="0" w:type="auto"/>
          </w:tcPr>
          <w:p>
            <w:pPr>
              <w:jc w:val="left"/>
            </w:pPr>
            <w:r>
              <w:rPr>
                <w:rFonts w:ascii="Times New Roman" w:hAnsi="Times New Roman" w:eastAsia="FangSong"/>
                <w:b w:val="0"/>
                <w:i w:val="0"/>
                <w:color w:val="000000"/>
                <w:sz w:val="24"/>
                <w:u w:val="none"/>
              </w:rPr>
              <w:t>海光</w:t>
            </w:r>
          </w:p>
        </w:tc>
        <w:tc>
          <w:tcPr>
            <w:tcW w:type="dxa" w:w="2161"/>
            <w:tcW w:w="0" w:type="auto"/>
          </w:tcPr>
          <w:p>
            <w:pPr>
              <w:jc w:val="left"/>
            </w:pPr>
            <w:r>
              <w:rPr>
                <w:rFonts w:ascii="Times New Roman" w:hAnsi="Times New Roman" w:eastAsia="FangSong"/>
                <w:b w:val="0"/>
                <w:i w:val="0"/>
                <w:color w:val="000000"/>
                <w:sz w:val="24"/>
                <w:u w:val="none"/>
              </w:rPr>
              <w:t>海光、intel</w:t>
            </w:r>
          </w:p>
        </w:tc>
      </w:tr>
      <w:tr>
        <w:tc>
          <w:tcPr>
            <w:tcW w:type="dxa" w:w="2161"/>
            <w:vAlign w:val="center"/>
            <w:tcW w:w="0" w:type="auto"/>
          </w:tcPr>
          <w:p>
            <w:pPr>
              <w:jc w:val="center"/>
            </w:pPr>
            <w:r>
              <w:rPr>
                <w:rFonts w:ascii="Times New Roman" w:hAnsi="Times New Roman" w:eastAsia="FangSong"/>
                <w:b w:val="0"/>
                <w:i w:val="0"/>
                <w:color w:val="000000"/>
                <w:sz w:val="24"/>
                <w:u w:val="none"/>
              </w:rPr>
              <w:t>桌面类型</w:t>
            </w:r>
          </w:p>
        </w:tc>
        <w:tc>
          <w:tcPr>
            <w:tcW w:type="dxa" w:w="2161"/>
            <w:tcW w:w="0" w:type="auto"/>
          </w:tcPr>
          <w:p>
            <w:pPr>
              <w:jc w:val="left"/>
            </w:pPr>
            <w:r>
              <w:rPr>
                <w:rFonts w:ascii="Times New Roman" w:hAnsi="Times New Roman" w:eastAsia="FangSong"/>
                <w:b w:val="0"/>
                <w:i w:val="0"/>
                <w:color w:val="000000"/>
                <w:sz w:val="24"/>
                <w:u w:val="none"/>
              </w:rPr>
              <w:t>麒麟、win10</w:t>
            </w:r>
          </w:p>
        </w:tc>
        <w:tc>
          <w:tcPr>
            <w:tcW w:type="dxa" w:w="2161"/>
            <w:tcW w:w="0" w:type="auto"/>
          </w:tcPr>
          <w:p>
            <w:pPr>
              <w:jc w:val="left"/>
            </w:pPr>
            <w:r>
              <w:rPr>
                <w:rFonts w:ascii="Times New Roman" w:hAnsi="Times New Roman" w:eastAsia="FangSong"/>
                <w:b w:val="0"/>
                <w:i w:val="0"/>
                <w:color w:val="000000"/>
                <w:sz w:val="24"/>
                <w:u w:val="none"/>
              </w:rPr>
              <w:t>统信</w:t>
            </w:r>
          </w:p>
        </w:tc>
        <w:tc>
          <w:tcPr>
            <w:tcW w:type="dxa" w:w="2161"/>
            <w:tcW w:w="0" w:type="auto"/>
          </w:tcPr>
          <w:p>
            <w:pPr>
              <w:jc w:val="left"/>
            </w:pPr>
            <w:r>
              <w:rPr>
                <w:rFonts w:ascii="Times New Roman" w:hAnsi="Times New Roman" w:eastAsia="FangSong"/>
                <w:b w:val="0"/>
                <w:i w:val="0"/>
                <w:color w:val="000000"/>
                <w:sz w:val="24"/>
                <w:u w:val="none"/>
              </w:rPr>
              <w:t>麒麟、win10</w:t>
            </w:r>
          </w:p>
        </w:tc>
      </w:tr>
      <w:tr>
        <w:tc>
          <w:tcPr>
            <w:tcW w:type="dxa" w:w="2161"/>
            <w:vAlign w:val="center"/>
            <w:tcW w:w="0" w:type="auto"/>
          </w:tcPr>
          <w:p>
            <w:pPr>
              <w:jc w:val="center"/>
            </w:pPr>
            <w:r>
              <w:rPr>
                <w:rFonts w:ascii="Times New Roman" w:hAnsi="Times New Roman" w:eastAsia="FangSong"/>
                <w:b w:val="0"/>
                <w:i w:val="0"/>
                <w:color w:val="000000"/>
                <w:sz w:val="24"/>
                <w:u w:val="none"/>
              </w:rPr>
              <w:t>桌面使用场景</w:t>
            </w:r>
          </w:p>
        </w:tc>
        <w:tc>
          <w:tcPr>
            <w:tcW w:type="dxa" w:w="2161"/>
            <w:tcW w:w="0" w:type="auto"/>
          </w:tcPr>
          <w:p>
            <w:pPr>
              <w:jc w:val="left"/>
            </w:pPr>
            <w:r>
              <w:rPr>
                <w:rFonts w:ascii="Times New Roman" w:hAnsi="Times New Roman" w:eastAsia="FangSong"/>
                <w:b w:val="0"/>
                <w:i w:val="0"/>
                <w:color w:val="000000"/>
                <w:sz w:val="24"/>
                <w:u w:val="none"/>
              </w:rPr>
              <w:t>办公、研发</w:t>
            </w:r>
          </w:p>
        </w:tc>
        <w:tc>
          <w:tcPr>
            <w:tcW w:type="dxa" w:w="2161"/>
            <w:tcW w:w="0" w:type="auto"/>
          </w:tcPr>
          <w:p>
            <w:pPr>
              <w:jc w:val="left"/>
            </w:pPr>
            <w:r>
              <w:rPr>
                <w:rFonts w:ascii="Times New Roman" w:hAnsi="Times New Roman" w:eastAsia="FangSong"/>
                <w:b w:val="0"/>
                <w:i w:val="0"/>
                <w:color w:val="000000"/>
                <w:sz w:val="24"/>
                <w:u w:val="none"/>
              </w:rPr>
              <w:t>办公</w:t>
            </w:r>
          </w:p>
        </w:tc>
        <w:tc>
          <w:tcPr>
            <w:tcW w:type="dxa" w:w="2161"/>
            <w:tcW w:w="0" w:type="auto"/>
          </w:tcPr>
          <w:p>
            <w:pPr>
              <w:jc w:val="left"/>
            </w:pPr>
            <w:r>
              <w:rPr>
                <w:rFonts w:ascii="Times New Roman" w:hAnsi="Times New Roman" w:eastAsia="FangSong"/>
                <w:b w:val="0"/>
                <w:i w:val="0"/>
                <w:color w:val="000000"/>
                <w:sz w:val="24"/>
                <w:u w:val="none"/>
              </w:rPr>
              <w:t>政务、办公</w:t>
            </w:r>
          </w:p>
        </w:tc>
      </w:tr>
      <w:tr>
        <w:tc>
          <w:tcPr>
            <w:tcW w:type="dxa" w:w="2161"/>
            <w:vAlign w:val="center"/>
            <w:tcW w:w="0" w:type="auto"/>
          </w:tcPr>
          <w:p>
            <w:pPr>
              <w:jc w:val="center"/>
            </w:pPr>
            <w:r>
              <w:rPr>
                <w:rFonts w:ascii="Times New Roman" w:hAnsi="Times New Roman" w:eastAsia="FangSong"/>
                <w:b w:val="0"/>
                <w:i w:val="0"/>
                <w:color w:val="000000"/>
                <w:sz w:val="24"/>
                <w:u w:val="none"/>
              </w:rPr>
              <w:t>用户反馈</w:t>
            </w:r>
          </w:p>
        </w:tc>
        <w:tc>
          <w:tcPr>
            <w:tcW w:type="dxa" w:w="2161"/>
            <w:tcW w:w="0" w:type="auto"/>
          </w:tcPr>
          <w:p>
            <w:pPr>
              <w:jc w:val="left"/>
            </w:pPr>
            <w:r>
              <w:rPr>
                <w:rFonts w:ascii="Times New Roman" w:hAnsi="Times New Roman" w:eastAsia="FangSong"/>
                <w:b w:val="0"/>
                <w:i w:val="0"/>
                <w:color w:val="000000"/>
                <w:sz w:val="24"/>
                <w:u w:val="none"/>
              </w:rPr>
              <w:t>1、办公使用操作流畅、画质清晰，体验感良好。</w:t>
              <w:br/>
              <w:t>2、研发办公满足多种设计软件运行。</w:t>
              <w:br/>
              <w:t>3、细颗粒度数据安全策略。</w:t>
              <w:br/>
              <w:t>4、外设兼容性强，兼容多种国产化硬件外设。</w:t>
              <w:br/>
              <w:t>5、管理员运维便捷，用户操作简单。</w:t>
              <w:br/>
              <w:t>6、定制化需求响应快。</w:t>
              <w:br/>
              <w:t>7、服务响应快速。</w:t>
            </w:r>
          </w:p>
        </w:tc>
        <w:tc>
          <w:tcPr>
            <w:tcW w:type="dxa" w:w="2161"/>
            <w:tcW w:w="0" w:type="auto"/>
          </w:tcPr>
          <w:p>
            <w:pPr>
              <w:jc w:val="left"/>
            </w:pPr>
            <w:r>
              <w:rPr>
                <w:rFonts w:ascii="Times New Roman" w:hAnsi="Times New Roman" w:eastAsia="FangSong"/>
                <w:b w:val="0"/>
                <w:i w:val="0"/>
                <w:color w:val="000000"/>
                <w:sz w:val="24"/>
                <w:u w:val="none"/>
              </w:rPr>
              <w:t>1、发布桌面便捷，满足人员频繁流动需求。</w:t>
              <w:br/>
              <w:t>2、桌面稳定，应对部委定期全员直播需求，画质清晰、稳定。</w:t>
              <w:br/>
              <w:t>3、定制化需求灵活，可以根据部委特殊要求，完成定制。</w:t>
            </w:r>
          </w:p>
        </w:tc>
        <w:tc>
          <w:tcPr>
            <w:tcW w:type="dxa" w:w="2161"/>
            <w:tcW w:w="0" w:type="auto"/>
          </w:tcPr>
          <w:p>
            <w:pPr>
              <w:jc w:val="left"/>
            </w:pPr>
            <w:r>
              <w:rPr>
                <w:rFonts w:ascii="Times New Roman" w:hAnsi="Times New Roman" w:eastAsia="FangSong"/>
                <w:b w:val="0"/>
                <w:i w:val="0"/>
                <w:color w:val="000000"/>
                <w:sz w:val="24"/>
                <w:u w:val="none"/>
              </w:rPr>
              <w:t>1、满足公安系统较多外设兼容。</w:t>
              <w:br/>
              <w:t>2、安全软件兼容性好。</w:t>
              <w:br/>
              <w:t>3、运维便捷。</w:t>
              <w:br/>
              <w:t>4、政务处理稳定性高，三年零事故。</w:t>
            </w:r>
          </w:p>
        </w:tc>
      </w:tr>
    </w:tbl>
    <w:p>
      <w:pPr>
        <w:ind w:firstLineChars="200"/>
        <w:spacing w:before="0" w:after="0" w:line="360" w:lineRule="auto"/>
      </w:pPr>
      <w:r>
        <w:rPr>
          <w:rFonts w:ascii="Times New Roman" w:hAnsi="Times New Roman" w:eastAsia="宋体"/>
          <w:b w:val="0"/>
          <w:i w:val="0"/>
          <w:color w:val="000000"/>
          <w:sz w:val="24"/>
          <w:u w:val="none"/>
        </w:rPr>
        <w:t>​</w:t>
      </w:r>
    </w:p>
    <w:p>
      <w:r>
        <w:br w:type="page"/>
      </w:r>
    </w:p>
    <w:p>
      <w:pPr>
        <w:pStyle w:val="Heading1"/>
        <w:jc w:val="left"/>
        <w:spacing w:before="0" w:after="0" w:line="360" w:lineRule="auto"/>
      </w:pPr>
      <w:r>
        <w:rPr>
          <w:rFonts w:ascii="Times New Roman" w:hAnsi="Times New Roman" w:eastAsia="宋体"/>
          <w:b/>
          <w:i w:val="0"/>
          <w:color w:val="000000"/>
          <w:sz w:val="32"/>
          <w:u w:val="none"/>
        </w:rPr>
        <w:t>第3章 桌面云产品调研​</w:t>
      </w:r>
    </w:p>
    <w:p>
      <w:pPr>
        <w:ind w:firstLineChars="200"/>
        <w:spacing w:before="0" w:after="0" w:line="360" w:lineRule="auto"/>
      </w:pPr>
      <w:r>
        <w:rPr>
          <w:rFonts w:ascii="Times New Roman" w:hAnsi="Times New Roman" w:eastAsia="宋体"/>
          <w:b w:val="0"/>
          <w:i w:val="0"/>
          <w:color w:val="000000"/>
          <w:sz w:val="24"/>
          <w:u w:val="none"/>
        </w:rPr>
        <w:t>经过组织测试使用、厂商功能演示、走访案例用户，得出以下结论：</w:t>
      </w:r>
    </w:p>
    <w:p>
      <w:r>
        <w:br w:type="page"/>
      </w:r>
    </w:p>
    <w:p>
      <w:pPr>
        <w:pStyle w:val="Heading2"/>
        <w:jc w:val="left"/>
        <w:spacing w:before="0" w:after="0" w:line="360" w:lineRule="auto"/>
      </w:pPr>
      <w:r>
        <w:rPr>
          <w:rFonts w:ascii="Times New Roman" w:hAnsi="Times New Roman" w:eastAsia="宋体"/>
          <w:b/>
          <w:i w:val="0"/>
          <w:color w:val="000000"/>
          <w:sz w:val="30"/>
          <w:u w:val="none"/>
        </w:rPr>
        <w:t>3.1 产品功能特性​</w:t>
      </w:r>
    </w:p>
    <w:p>
      <w:pPr>
        <w:ind w:firstLineChars="200"/>
        <w:spacing w:before="0" w:after="0" w:line="360" w:lineRule="auto"/>
      </w:pPr>
      <w:r>
        <w:rPr>
          <w:rFonts w:ascii="Times New Roman" w:hAnsi="Times New Roman" w:eastAsia="宋体"/>
          <w:b w:val="0"/>
          <w:i w:val="0"/>
          <w:color w:val="000000"/>
          <w:sz w:val="24"/>
          <w:u w:val="none"/>
        </w:rPr>
        <w:t>基础功能：满足桌面云产品的基础功能，如虚拟桌面创建与管理、用户权限分配、应用发布、数据存储与备份等。基本功能满足我司建设需求。​</w:t>
      </w:r>
    </w:p>
    <w:p>
      <w:pPr>
        <w:ind w:firstLineChars="200"/>
        <w:spacing w:before="0" w:after="0" w:line="360" w:lineRule="auto"/>
      </w:pPr>
      <w:r>
        <w:rPr>
          <w:rFonts w:ascii="Times New Roman" w:hAnsi="Times New Roman" w:eastAsia="宋体"/>
          <w:b w:val="0"/>
          <w:i w:val="0"/>
          <w:color w:val="000000"/>
          <w:sz w:val="24"/>
          <w:u w:val="none"/>
        </w:rPr>
        <w:t>高级功能：播放高清视频清晰、处理3D 图形处理能力良好、支持外网用户通过vpn登陆进行异地内网办公、智能运维管理能力卓越、能满足客户企业内部多种定制化需求。​</w:t>
      </w:r>
    </w:p>
    <w:p>
      <w:r>
        <w:br w:type="page"/>
      </w:r>
    </w:p>
    <w:p>
      <w:pPr>
        <w:pStyle w:val="Heading2"/>
        <w:jc w:val="left"/>
        <w:spacing w:before="0" w:after="0" w:line="360" w:lineRule="auto"/>
      </w:pPr>
      <w:r>
        <w:rPr>
          <w:rFonts w:ascii="Times New Roman" w:hAnsi="Times New Roman" w:eastAsia="宋体"/>
          <w:b/>
          <w:i w:val="0"/>
          <w:color w:val="000000"/>
          <w:sz w:val="30"/>
          <w:u w:val="none"/>
        </w:rPr>
        <w:t>3.2 产品性能表现​</w:t>
      </w:r>
    </w:p>
    <w:p>
      <w:pPr>
        <w:ind w:firstLineChars="200"/>
        <w:spacing w:before="0" w:after="0" w:line="360" w:lineRule="auto"/>
      </w:pPr>
      <w:r>
        <w:rPr>
          <w:rFonts w:ascii="Times New Roman" w:hAnsi="Times New Roman" w:eastAsia="宋体"/>
          <w:b w:val="0"/>
          <w:i w:val="0"/>
          <w:color w:val="000000"/>
          <w:sz w:val="24"/>
          <w:u w:val="none"/>
        </w:rPr>
        <w:t>性能测试结果：通过实际测试，安超云产品在不同场景下的性能指标优秀，如启动速度较快、应用运行流畅度高、系统稳定性强。​</w:t>
      </w:r>
    </w:p>
    <w:p>
      <w:r>
        <w:br w:type="page"/>
      </w:r>
    </w:p>
    <w:p>
      <w:pPr>
        <w:pStyle w:val="Heading2"/>
        <w:jc w:val="left"/>
        <w:spacing w:before="0" w:after="0" w:line="360" w:lineRule="auto"/>
      </w:pPr>
      <w:r>
        <w:rPr>
          <w:rFonts w:ascii="Times New Roman" w:hAnsi="Times New Roman" w:eastAsia="宋体"/>
          <w:b/>
          <w:i w:val="0"/>
          <w:color w:val="000000"/>
          <w:sz w:val="30"/>
          <w:u w:val="none"/>
        </w:rPr>
        <w:t>3.3 产品用户体验​</w:t>
      </w:r>
    </w:p>
    <w:p>
      <w:pPr>
        <w:ind w:firstLineChars="200"/>
        <w:spacing w:before="0" w:after="0" w:line="360" w:lineRule="auto"/>
      </w:pPr>
      <w:r>
        <w:rPr>
          <w:rFonts w:ascii="Times New Roman" w:hAnsi="Times New Roman" w:eastAsia="宋体"/>
          <w:b w:val="0"/>
          <w:i w:val="0"/>
          <w:color w:val="000000"/>
          <w:sz w:val="24"/>
          <w:u w:val="none"/>
        </w:rPr>
        <w:t>界面设计：产品的用户界面设计简洁易用、操作流程便捷。​</w:t>
      </w:r>
    </w:p>
    <w:p>
      <w:pPr>
        <w:ind w:firstLineChars="200"/>
        <w:spacing w:before="0" w:after="0" w:line="360" w:lineRule="auto"/>
      </w:pPr>
      <w:r>
        <w:rPr>
          <w:rFonts w:ascii="Times New Roman" w:hAnsi="Times New Roman" w:eastAsia="宋体"/>
          <w:b w:val="0"/>
          <w:i w:val="0"/>
          <w:color w:val="000000"/>
          <w:sz w:val="24"/>
          <w:u w:val="none"/>
        </w:rPr>
        <w:t>使用反馈：参观安超云案例，用户对产品使用过程中的体验反馈较好，产品易于部署、管理方便、服务响应及时。</w:t>
      </w:r>
    </w:p>
    <w:p>
      <w:r>
        <w:br w:type="page"/>
      </w:r>
    </w:p>
    <w:p>
      <w:pPr>
        <w:pStyle w:val="Heading2"/>
        <w:jc w:val="left"/>
        <w:spacing w:before="0" w:after="0" w:line="360" w:lineRule="auto"/>
      </w:pPr>
      <w:r>
        <w:rPr>
          <w:rFonts w:ascii="Times New Roman" w:hAnsi="Times New Roman" w:eastAsia="宋体"/>
          <w:b/>
          <w:i w:val="0"/>
          <w:color w:val="000000"/>
          <w:sz w:val="30"/>
          <w:u w:val="none"/>
        </w:rPr>
        <w:t>3.4 产品价格体系​</w:t>
      </w:r>
    </w:p>
    <w:p>
      <w:pPr>
        <w:ind w:firstLineChars="200"/>
        <w:spacing w:before="0" w:after="0" w:line="360" w:lineRule="auto"/>
      </w:pPr>
      <w:r>
        <w:rPr>
          <w:rFonts w:ascii="Times New Roman" w:hAnsi="Times New Roman" w:eastAsia="宋体"/>
          <w:b w:val="0"/>
          <w:i w:val="0"/>
          <w:color w:val="000000"/>
          <w:sz w:val="24"/>
          <w:u w:val="none"/>
        </w:rPr>
        <w:t>定价模式：按并发用户数量收费、软件自带默认三年7*24小时服务，优于其他厂商。</w:t>
      </w:r>
    </w:p>
    <w:p>
      <w:pPr>
        <w:ind w:firstLineChars="200"/>
        <w:spacing w:before="0" w:after="0" w:line="360" w:lineRule="auto"/>
      </w:pPr>
      <w:r>
        <w:rPr>
          <w:rFonts w:ascii="Times New Roman" w:hAnsi="Times New Roman" w:eastAsia="宋体"/>
          <w:b w:val="0"/>
          <w:i w:val="0"/>
          <w:color w:val="000000"/>
          <w:sz w:val="24"/>
          <w:u w:val="none"/>
        </w:rPr>
        <w:t>​</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