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4323"/>
        <w:gridCol w:w="4323"/>
      </w:tblGrid>
      <w:tr>
        <w:tc>
          <w:tcPr>
            <w:tcW w:type="dxa" w:w="4323"/>
            <w:vAlign w:val="center"/>
            <w:tcW w:w="0" w:type="auto"/>
          </w:tcPr>
          <w:p>
            <w:pPr>
              <w:jc w:val="center"/>
            </w:pPr>
            <w:r>
              <w:rPr>
                <w:rFonts w:ascii="Times New Roman" w:hAnsi="Times New Roman" w:eastAsia="Song Ti"/>
                <w:b w:val="0"/>
                <w:i w:val="0"/>
                <w:color w:val="000000"/>
                <w:sz w:val="24"/>
                <w:u w:val="none"/>
              </w:rPr>
              <w:t>指导思想</w:t>
            </w:r>
          </w:p>
        </w:tc>
        <w:tc>
          <w:tcPr>
            <w:tcW w:type="dxa" w:w="4323"/>
            <w:vAlign w:val="center"/>
            <w:tcW w:w="0" w:type="auto"/>
          </w:tcPr>
          <w:p>
            <w:pPr>
              <w:jc w:val="left"/>
            </w:pPr>
            <w:r>
              <w:rPr>
                <w:rFonts w:ascii="Times New Roman" w:hAnsi="Times New Roman" w:eastAsia="宋体"/>
                <w:b w:val="0"/>
                <w:i w:val="0"/>
                <w:color w:val="000000"/>
                <w:sz w:val="21"/>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Song Ti"/>
                <w:b w:val="0"/>
                <w:i w:val="0"/>
                <w:color w:val="000000"/>
                <w:sz w:val="24"/>
                <w:u w:val="none"/>
              </w:rPr>
              <w:t>等级保护</w:t>
            </w:r>
          </w:p>
        </w:tc>
        <w:tc>
          <w:tcPr>
            <w:tcW w:type="dxa" w:w="4323"/>
            <w:vAlign w:val="center"/>
            <w:tcW w:w="0" w:type="auto"/>
          </w:tcPr>
          <w:p>
            <w:pPr>
              <w:jc w:val="left"/>
            </w:pPr>
            <w:r>
              <w:rPr>
                <w:rFonts w:ascii="Times New Roman" w:hAnsi="Times New Roman" w:eastAsia="宋体"/>
                <w:b w:val="0"/>
                <w:i w:val="0"/>
                <w:color w:val="000000"/>
                <w:sz w:val="21"/>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Song Ti"/>
                <w:b w:val="0"/>
                <w:i w:val="0"/>
                <w:color w:val="000000"/>
                <w:sz w:val="24"/>
                <w:u w:val="none"/>
              </w:rPr>
              <w:t>系统定级</w:t>
            </w:r>
          </w:p>
        </w:tc>
        <w:tc>
          <w:tcPr>
            <w:tcW w:type="dxa" w:w="4323"/>
            <w:vAlign w:val="center"/>
            <w:tcW w:w="0" w:type="auto"/>
          </w:tcPr>
          <w:p>
            <w:pPr>
              <w:jc w:val="left"/>
            </w:pPr>
            <w:r>
              <w:rPr>
                <w:rFonts w:ascii="Times New Roman" w:hAnsi="Times New Roman" w:eastAsia="宋体"/>
                <w:b w:val="0"/>
                <w:i w:val="0"/>
                <w:color w:val="000000"/>
                <w:sz w:val="21"/>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Song Ti"/>
                <w:b w:val="0"/>
                <w:i w:val="0"/>
                <w:color w:val="000000"/>
                <w:sz w:val="24"/>
                <w:u w:val="none"/>
              </w:rPr>
              <w:t>技术方面</w:t>
            </w:r>
          </w:p>
        </w:tc>
        <w:tc>
          <w:tcPr>
            <w:tcW w:type="dxa" w:w="4323"/>
            <w:vAlign w:val="center"/>
            <w:tcW w:w="0" w:type="auto"/>
          </w:tcPr>
          <w:p>
            <w:pPr>
              <w:jc w:val="left"/>
            </w:pPr>
            <w:r>
              <w:rPr>
                <w:rFonts w:ascii="Times New Roman" w:hAnsi="Times New Roman" w:eastAsia="宋体"/>
                <w:b w:val="0"/>
                <w:i w:val="0"/>
                <w:color w:val="000000"/>
                <w:sz w:val="21"/>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Song Ti"/>
                <w:b w:val="0"/>
                <w:i w:val="0"/>
                <w:color w:val="000000"/>
                <w:sz w:val="24"/>
                <w:u w:val="none"/>
              </w:rPr>
              <w:t>管理方面</w:t>
            </w:r>
          </w:p>
        </w:tc>
        <w:tc>
          <w:tcPr>
            <w:tcW w:type="dxa" w:w="4323"/>
            <w:vAlign w:val="center"/>
            <w:tcW w:w="0" w:type="auto"/>
          </w:tcPr>
          <w:p>
            <w:pPr>
              <w:jc w:val="left"/>
            </w:pPr>
            <w:r>
              <w:rPr>
                <w:rFonts w:ascii="Times New Roman" w:hAnsi="Times New Roman" w:eastAsia="宋体"/>
                <w:b w:val="0"/>
                <w:i w:val="0"/>
                <w:color w:val="000000"/>
                <w:sz w:val="21"/>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Song Ti"/>
                <w:b w:val="0"/>
                <w:i w:val="0"/>
                <w:color w:val="000000"/>
                <w:sz w:val="24"/>
                <w:u w:val="none"/>
              </w:rPr>
              <w:t>方案设计</w:t>
            </w:r>
          </w:p>
        </w:tc>
        <w:tc>
          <w:tcPr>
            <w:tcW w:type="dxa" w:w="4323"/>
            <w:vAlign w:val="center"/>
            <w:tcW w:w="0" w:type="auto"/>
          </w:tcPr>
          <w:p>
            <w:pPr>
              <w:jc w:val="left"/>
            </w:pPr>
            <w:r>
              <w:rPr>
                <w:rFonts w:ascii="Times New Roman" w:hAnsi="Times New Roman" w:eastAsia="宋体"/>
                <w:b w:val="0"/>
                <w:i w:val="0"/>
                <w:color w:val="000000"/>
                <w:sz w:val="21"/>
                <w:u w:val="none"/>
              </w:rPr>
              <w:t>GB/T25070-2010 信息系统等级保护安全设计技术要求</w:t>
            </w:r>
          </w:p>
        </w:tc>
      </w:tr>
      <w:tr>
        <w:tc>
          <w:tcPr>
            <w:tcW w:type="dxa" w:w="4323"/>
            <w:vAlign w:val="center"/>
            <w:tcW w:w="0" w:type="auto"/>
          </w:tcPr>
          <w:p>
            <w:pPr>
              <w:jc w:val="center"/>
            </w:pPr>
            <w:r>
              <w:rPr>
                <w:rFonts w:ascii="Times New Roman" w:hAnsi="Times New Roman" w:eastAsia="Song Ti"/>
                <w:b w:val="0"/>
                <w:i w:val="0"/>
                <w:color w:val="000000"/>
                <w:sz w:val="24"/>
                <w:u w:val="none"/>
              </w:rPr>
              <w:t>等保测评</w:t>
            </w:r>
          </w:p>
        </w:tc>
        <w:tc>
          <w:tcPr>
            <w:tcW w:type="dxa" w:w="4323"/>
            <w:vAlign w:val="center"/>
            <w:tcW w:w="0" w:type="auto"/>
          </w:tcPr>
          <w:p>
            <w:pPr>
              <w:jc w:val="left"/>
            </w:pPr>
            <w:r>
              <w:rPr>
                <w:rFonts w:ascii="Times New Roman" w:hAnsi="Times New Roman" w:eastAsia="宋体"/>
                <w:b w:val="0"/>
                <w:i w:val="0"/>
                <w:color w:val="000000"/>
                <w:sz w:val="21"/>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符合情况</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物理位置的选择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防盗窃和防破坏</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防雷击</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防火</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防水和防潮</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防静电</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温湿度控制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电力供应</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电磁防护</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结构安全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边界完整性检查</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网络设备防护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通信完整性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通信保密性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抗抵赖</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软件容错</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数据完整性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数据保密性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备份和恢复</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管理制度</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制定和发布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评审和修订</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岗位设置</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人员配备</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授权和审批</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沟通和合作</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审核和检查</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人员录用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人员离岗</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人员考核</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安全意识教育和培训</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外部人员访问管理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系统定级</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安全方案设计</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产品采购和使用</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自行软件开发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外包软件开发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工程实施</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测试验收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系统交付</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系统备案</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等级测评</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安全服务商选择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环境管理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资产管理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介质管理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设备管理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监控管理和安全管理中心</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网络安全管理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恶意代码防范管理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密码管理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变更管理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备份与恢复管理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安全事件处置</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应急预案管理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