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r>
        <w:t>请在 Word 中按 Ctrl+A 全选后按 F9 更新目录</w:t>
      </w:r>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机房装修</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电气工程</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防雷接地</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窗户封堵</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新风排风</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精密空调</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消防气灭</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UPS电力</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接入交换机和核心交换机更换（7台24口接入、1台万兆核心）；</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网络地址段规划及划分；（办公区、服务器区、互联网出口区等）</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基础网管功能启用，实现端口、链路状态可视，能快速定位风险及故障；</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武汉分支机构安全、稳定接入北京办公区网络；</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51c06bdb-e7c3-4049-a2e0-edd362eba181.jpg"/>
                    <pic:cNvPicPr/>
                  </pic:nvPicPr>
                  <pic:blipFill>
                    <a:blip r:embed="rId9"/>
                    <a:stretch>
                      <a:fillRect/>
                    </a:stretch>
                  </pic:blipFill>
                  <pic:spPr>
                    <a:xfrm>
                      <a:off x="0" y="0"/>
                      <a:ext cx="4666678" cy="3497250"/>
                    </a:xfrm>
                    <a:prstGeom prst="rect"/>
                  </pic:spPr>
                </pic:pic>
              </a:graphicData>
            </a:graphic>
          </wp:inline>
        </w:drawing>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部署互联网出口防火墙</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部署上网行为管理</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在云平台中部署安全资源池，提供日志审计、堡垒机、零信任、区域防火墙、入侵检测等功能组件</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综合分析管理平台（XDR）</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部署EDR终端安全管理模块</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部署备份平台，定期进行恢复测试</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b8cc0f51-c303-46ee-b99b-3aa3ad753aab.jpg"/>
                    <pic:cNvPicPr/>
                  </pic:nvPicPr>
                  <pic:blipFill>
                    <a:blip r:embed="rId10"/>
                    <a:stretch>
                      <a:fillRect/>
                    </a:stretch>
                  </pic:blipFill>
                  <pic:spPr>
                    <a:xfrm>
                      <a:off x="0" y="0"/>
                      <a:ext cx="4666678" cy="2662470"/>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私有云平台</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pStyle w:val="ListParagraph"/>
        <w:ind w:leftChars="200" w:left="480" w:hangingChars="200" w:hanging="480"/>
        <w:spacing w:line="12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