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北京中科进出口有限责任公司</w:t>
      </w:r>
    </w:p>
    <w:p>
      <w:pPr>
        <w:jc w:val="center"/>
        <w:spacing w:before="3402"/>
      </w:pPr>
      <w:r>
        <w:rPr>
          <w:rFonts w:ascii="SimHei" w:hAnsi="SimHei" w:eastAsia="SimHei"/>
          <w:b w:val="0"/>
          <w:i w:val="0"/>
          <w:color w:val="000000"/>
          <w:sz w:val="60"/>
          <w:u w:val="none"/>
        </w:rPr>
        <w:t>超融合项目</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2026年04月15日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目前急需改善及建设的内容包括：</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454"/>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目前急需改善及建设的内容包括：</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8458e71f-d5aa-4991-9380-737e17b8c175.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Song Ti"/>
          <w:b w:val="0"/>
          <w:i w:val="0"/>
          <w:color w:val="000000"/>
          <w:sz w:val="21"/>
          <w:u w:val="none"/>
        </w:rPr>
        <w:t>图1</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私有云平台建设</w:t>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需求清单</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交换机</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交换机</w:t>
            </w:r>
          </w:p>
        </w:tc>
        <w:tc>
          <w:tcPr>
            <w:tcW w:type="dxa" w:w="1729"/>
            <w:vAlign w:val="center"/>
            <w:tcW w:w="0" w:type="auto"/>
          </w:tcPr>
          <w:p>
            <w:pPr>
              <w:jc w:val="left"/>
            </w:pPr>
            <w:r>
              <w:rPr>
                <w:rFonts w:ascii="Times New Roman" w:hAnsi="Times New Roman" w:eastAsia="宋体"/>
                <w:b w:val="0"/>
                <w:i w:val="0"/>
                <w:color w:val="000000"/>
                <w:sz w:val="21"/>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接入交换机</w:t>
            </w:r>
          </w:p>
        </w:tc>
        <w:tc>
          <w:tcPr>
            <w:tcW w:type="dxa" w:w="1729"/>
            <w:vAlign w:val="center"/>
            <w:tcW w:w="0" w:type="auto"/>
          </w:tcPr>
          <w:p>
            <w:pPr>
              <w:jc w:val="left"/>
            </w:pPr>
            <w:r>
              <w:rPr>
                <w:rFonts w:ascii="Times New Roman" w:hAnsi="Times New Roman" w:eastAsia="宋体"/>
                <w:b w:val="0"/>
                <w:i w:val="0"/>
                <w:color w:val="000000"/>
                <w:sz w:val="21"/>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6</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核心交换机</w:t>
            </w:r>
          </w:p>
        </w:tc>
        <w:tc>
          <w:tcPr>
            <w:tcW w:type="dxa" w:w="1729"/>
            <w:vAlign w:val="center"/>
            <w:tcW w:w="0" w:type="auto"/>
          </w:tcPr>
          <w:p>
            <w:pPr>
              <w:jc w:val="left"/>
            </w:pPr>
            <w:r>
              <w:rPr>
                <w:rFonts w:ascii="Times New Roman" w:hAnsi="Times New Roman" w:eastAsia="宋体"/>
                <w:b w:val="0"/>
                <w:i w:val="0"/>
                <w:color w:val="000000"/>
                <w:sz w:val="21"/>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POE交换机</w:t>
            </w:r>
          </w:p>
        </w:tc>
        <w:tc>
          <w:tcPr>
            <w:tcW w:type="dxa" w:w="1729"/>
            <w:vAlign w:val="center"/>
            <w:tcW w:w="0" w:type="auto"/>
          </w:tcPr>
          <w:p>
            <w:pPr>
              <w:jc w:val="left"/>
            </w:pPr>
            <w:r>
              <w:rPr>
                <w:rFonts w:ascii="Times New Roman" w:hAnsi="Times New Roman" w:eastAsia="宋体"/>
                <w:b w:val="0"/>
                <w:i w:val="0"/>
                <w:color w:val="000000"/>
                <w:sz w:val="21"/>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无线AC控制器</w:t>
            </w:r>
          </w:p>
        </w:tc>
        <w:tc>
          <w:tcPr>
            <w:tcW w:type="dxa" w:w="1729"/>
            <w:vAlign w:val="center"/>
            <w:tcW w:w="0" w:type="auto"/>
          </w:tcPr>
          <w:p>
            <w:pPr>
              <w:jc w:val="left"/>
            </w:pPr>
            <w:r>
              <w:rPr>
                <w:rFonts w:ascii="Times New Roman" w:hAnsi="Times New Roman" w:eastAsia="宋体"/>
                <w:b w:val="0"/>
                <w:i w:val="0"/>
                <w:color w:val="000000"/>
                <w:sz w:val="21"/>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无线AP</w:t>
            </w:r>
          </w:p>
        </w:tc>
        <w:tc>
          <w:tcPr>
            <w:tcW w:type="dxa" w:w="1729"/>
            <w:vAlign w:val="center"/>
            <w:tcW w:w="0" w:type="auto"/>
          </w:tcPr>
          <w:p>
            <w:pPr>
              <w:jc w:val="left"/>
            </w:pPr>
            <w:r>
              <w:rPr>
                <w:rFonts w:ascii="Times New Roman" w:hAnsi="Times New Roman" w:eastAsia="宋体"/>
                <w:b w:val="0"/>
                <w:i w:val="0"/>
                <w:color w:val="000000"/>
                <w:sz w:val="21"/>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vAlign w:val="center"/>
            <w:tcW w:w="0" w:type="auto"/>
          </w:tcPr>
          <w:p>
            <w:pPr>
              <w:jc w:val="left"/>
            </w:pPr>
            <w:r>
              <w:rPr>
                <w:rFonts w:ascii="Times New Roman" w:hAnsi="Times New Roman" w:eastAsia="宋体"/>
                <w:b w:val="0"/>
                <w:i w:val="0"/>
                <w:color w:val="000000"/>
                <w:sz w:val="21"/>
                <w:u w:val="none"/>
              </w:rPr>
              <w:t>8</w:t>
            </w:r>
          </w:p>
        </w:tc>
        <w:tc>
          <w:tcPr>
            <w:tcW w:type="dxa" w:w="1729"/>
            <w:vAlign w:val="center"/>
            <w:tcW w:w="0" w:type="auto"/>
          </w:tcPr>
          <w:p>
            <w:pPr>
              <w:jc w:val="left"/>
            </w:pPr>
            <w:r>
              <w:rPr>
                <w:rFonts w:ascii="Times New Roman" w:hAnsi="Times New Roman" w:eastAsia="宋体"/>
                <w:b w:val="0"/>
                <w:i w:val="0"/>
                <w:color w:val="000000"/>
                <w:sz w:val="21"/>
                <w:u w:val="none"/>
              </w:rPr>
              <w:t>台</w:t>
            </w:r>
          </w:p>
        </w:tc>
      </w:tr>
    </w:tbl>
    <w:p>
      <w:pPr>
        <w:pStyle w:val="Heading2"/>
        <w:jc w:val="left"/>
        <w:spacing w:before="320" w:after="280" w:line="360" w:lineRule="auto"/>
        <w:numPr>
          <w:ilvl w:val="1"/>
          <w:numId w:val="1"/>
        </w:numPr>
      </w:pPr>
      <w:r>
        <w:rPr>
          <w:rFonts w:ascii="Times New Roman" w:hAnsi="Times New Roman" w:eastAsia="宋体"/>
          <w:b/>
          <w:i w:val="0"/>
          <w:color w:val="000000"/>
          <w:sz w:val="30"/>
          <w:u w:val="none"/>
        </w:rPr>
        <w:t>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783d4f73-eca9-4a25-aafd-4ee37c161424.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Song Ti"/>
          <w:b w:val="0"/>
          <w:i w:val="0"/>
          <w:color w:val="000000"/>
          <w:sz w:val="21"/>
          <w:u w:val="none"/>
        </w:rPr>
        <w:t>图2</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441"/>
            <w:vAlign w:val="center"/>
            <w:tcW w:w="0" w:type="auto"/>
          </w:tcPr>
          <w:p>
            <w:pPr>
              <w:jc w:val="center"/>
            </w:pPr>
            <w:r>
              <w:rPr>
                <w:rFonts w:ascii="Times New Roman" w:hAnsi="Times New Roman" w:eastAsia="Song Ti"/>
                <w:b w:val="0"/>
                <w:i w:val="0"/>
                <w:color w:val="000000"/>
                <w:sz w:val="24"/>
                <w:u w:val="none"/>
              </w:rPr>
              <w:t>1.1</w:t>
            </w:r>
          </w:p>
        </w:tc>
        <w:tc>
          <w:tcPr>
            <w:tcW w:type="dxa" w:w="1441"/>
            <w:vAlign w:val="center"/>
            <w:tcW w:w="0" w:type="auto"/>
          </w:tcPr>
          <w:p>
            <w:pPr>
              <w:jc w:val="left"/>
            </w:pPr>
            <w:r>
              <w:rPr>
                <w:rFonts w:ascii="Times New Roman" w:hAnsi="Times New Roman" w:eastAsia="宋体"/>
                <w:b w:val="0"/>
                <w:i w:val="0"/>
                <w:color w:val="000000"/>
                <w:sz w:val="21"/>
                <w:u w:val="none"/>
              </w:rPr>
              <w:t>软交换服务器</w:t>
            </w:r>
          </w:p>
        </w:tc>
        <w:tc>
          <w:tcPr>
            <w:tcW w:type="dxa" w:w="1441"/>
            <w:vAlign w:val="center"/>
            <w:tcW w:w="0" w:type="auto"/>
          </w:tcPr>
          <w:p>
            <w:pPr>
              <w:jc w:val="left"/>
            </w:pPr>
            <w:r>
              <w:rPr>
                <w:rFonts w:ascii="Times New Roman" w:hAnsi="Times New Roman" w:eastAsia="宋体"/>
                <w:b w:val="0"/>
                <w:i w:val="0"/>
                <w:color w:val="000000"/>
                <w:sz w:val="21"/>
                <w:u w:val="none"/>
              </w:rPr>
              <w:t>服务器</w:t>
            </w:r>
          </w:p>
        </w:tc>
        <w:tc>
          <w:tcPr>
            <w:tcW w:type="dxa" w:w="1441"/>
            <w:vAlign w:val="center"/>
            <w:tcW w:w="0" w:type="auto"/>
          </w:tcPr>
          <w:p>
            <w:pPr>
              <w:jc w:val="left"/>
            </w:pPr>
            <w:r>
              <w:rPr>
                <w:rFonts w:ascii="Times New Roman" w:hAnsi="Times New Roman" w:eastAsia="宋体"/>
                <w:b w:val="0"/>
                <w:i w:val="0"/>
                <w:color w:val="000000"/>
                <w:sz w:val="21"/>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1.2</w:t>
            </w:r>
          </w:p>
        </w:tc>
        <w:tc>
          <w:tcPr>
            <w:tcW w:type="dxa" w:w="1441"/>
            <w:vAlign w:val="center"/>
            <w:tcW w:w="0" w:type="auto"/>
          </w:tcPr>
          <w:p>
            <w:pPr>
              <w:jc w:val="left"/>
            </w:pPr>
            <w:r>
              <w:rPr>
                <w:rFonts w:ascii="Times New Roman" w:hAnsi="Times New Roman" w:eastAsia="宋体"/>
                <w:b w:val="0"/>
                <w:i w:val="0"/>
                <w:color w:val="000000"/>
                <w:sz w:val="21"/>
                <w:u w:val="none"/>
              </w:rPr>
              <w:t>IP话机</w:t>
            </w:r>
          </w:p>
        </w:tc>
        <w:tc>
          <w:tcPr>
            <w:tcW w:type="dxa" w:w="1441"/>
            <w:vAlign w:val="center"/>
            <w:tcW w:w="0" w:type="auto"/>
          </w:tcPr>
          <w:p>
            <w:pPr>
              <w:jc w:val="left"/>
            </w:pPr>
            <w:r>
              <w:rPr>
                <w:rFonts w:ascii="Times New Roman" w:hAnsi="Times New Roman" w:eastAsia="宋体"/>
                <w:b w:val="0"/>
                <w:i w:val="0"/>
                <w:color w:val="000000"/>
                <w:sz w:val="21"/>
                <w:u w:val="none"/>
              </w:rPr>
              <w:t>T53W</w:t>
            </w:r>
          </w:p>
        </w:tc>
        <w:tc>
          <w:tcPr>
            <w:tcW w:type="dxa" w:w="1441"/>
            <w:vAlign w:val="center"/>
            <w:tcW w:w="0" w:type="auto"/>
          </w:tcPr>
          <w:p>
            <w:pPr>
              <w:jc w:val="left"/>
            </w:pPr>
            <w:r>
              <w:rPr>
                <w:rFonts w:ascii="Times New Roman" w:hAnsi="Times New Roman" w:eastAsia="宋体"/>
                <w:b w:val="0"/>
                <w:i w:val="0"/>
                <w:color w:val="000000"/>
                <w:sz w:val="21"/>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网关机框</w:t>
            </w:r>
          </w:p>
        </w:tc>
        <w:tc>
          <w:tcPr>
            <w:tcW w:type="dxa" w:w="1441"/>
            <w:vAlign w:val="center"/>
            <w:tcW w:w="0" w:type="auto"/>
          </w:tcPr>
          <w:p>
            <w:pPr>
              <w:jc w:val="left"/>
            </w:pPr>
            <w:r>
              <w:rPr>
                <w:rFonts w:ascii="Times New Roman" w:hAnsi="Times New Roman" w:eastAsia="宋体"/>
                <w:b w:val="0"/>
                <w:i w:val="0"/>
                <w:color w:val="000000"/>
                <w:sz w:val="21"/>
                <w:u w:val="none"/>
              </w:rPr>
              <w:t>TGW96-24-2G-C</w:t>
            </w:r>
          </w:p>
        </w:tc>
        <w:tc>
          <w:tcPr>
            <w:tcW w:type="dxa" w:w="1441"/>
            <w:vAlign w:val="center"/>
            <w:tcW w:w="0" w:type="auto"/>
          </w:tcPr>
          <w:p>
            <w:pPr>
              <w:jc w:val="left"/>
            </w:pPr>
            <w:r>
              <w:rPr>
                <w:rFonts w:ascii="Times New Roman" w:hAnsi="Times New Roman" w:eastAsia="宋体"/>
                <w:b w:val="0"/>
                <w:i w:val="0"/>
                <w:color w:val="000000"/>
                <w:sz w:val="21"/>
                <w:u w:val="none"/>
              </w:rPr>
              <w:t>提供4个插槽</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卡板</w:t>
            </w:r>
          </w:p>
        </w:tc>
        <w:tc>
          <w:tcPr>
            <w:tcW w:type="dxa" w:w="1441"/>
            <w:vAlign w:val="center"/>
            <w:tcW w:w="0" w:type="auto"/>
          </w:tcPr>
          <w:p>
            <w:pPr>
              <w:jc w:val="left"/>
            </w:pPr>
            <w:r>
              <w:rPr>
                <w:rFonts w:ascii="Times New Roman" w:hAnsi="Times New Roman" w:eastAsia="宋体"/>
                <w:b w:val="0"/>
                <w:i w:val="0"/>
                <w:color w:val="000000"/>
                <w:sz w:val="21"/>
                <w:u w:val="none"/>
              </w:rPr>
              <w:t>TGW96-2G-24FXO-IF</w:t>
            </w:r>
          </w:p>
        </w:tc>
        <w:tc>
          <w:tcPr>
            <w:tcW w:type="dxa" w:w="1441"/>
            <w:vAlign w:val="center"/>
            <w:tcW w:w="0" w:type="auto"/>
          </w:tcPr>
          <w:p>
            <w:pPr>
              <w:jc w:val="left"/>
            </w:pPr>
            <w:r>
              <w:rPr>
                <w:rFonts w:ascii="Times New Roman" w:hAnsi="Times New Roman" w:eastAsia="宋体"/>
                <w:b w:val="0"/>
                <w:i w:val="0"/>
                <w:color w:val="000000"/>
                <w:sz w:val="21"/>
                <w:u w:val="none"/>
              </w:rPr>
              <w:t>24个模拟中继接口</w:t>
            </w:r>
          </w:p>
        </w:tc>
        <w:tc>
          <w:tcPr>
            <w:tcW w:type="dxa" w:w="1441"/>
            <w:vAlign w:val="center"/>
            <w:tcW w:w="0" w:type="auto"/>
          </w:tcPr>
          <w:p>
            <w:pPr>
              <w:jc w:val="left"/>
            </w:pPr>
            <w:r>
              <w:rPr>
                <w:rFonts w:ascii="Times New Roman" w:hAnsi="Times New Roman" w:eastAsia="宋体"/>
                <w:b w:val="0"/>
                <w:i w:val="0"/>
                <w:color w:val="000000"/>
                <w:sz w:val="21"/>
                <w:u w:val="none"/>
              </w:rPr>
              <w:t>块</w:t>
            </w:r>
          </w:p>
        </w:tc>
        <w:tc>
          <w:tcPr>
            <w:tcW w:type="dxa" w:w="1441"/>
            <w:vAlign w:val="center"/>
            <w:tcW w:w="0" w:type="auto"/>
          </w:tcPr>
          <w:p>
            <w:pPr>
              <w:jc w:val="left"/>
            </w:pPr>
            <w:r>
              <w:rPr>
                <w:rFonts w:ascii="Times New Roman" w:hAnsi="Times New Roman" w:eastAsia="宋体"/>
                <w:b w:val="0"/>
                <w:i w:val="0"/>
                <w:color w:val="000000"/>
                <w:sz w:val="21"/>
                <w:u w:val="none"/>
              </w:rPr>
              <w:t>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主服务器授权</w:t>
            </w:r>
          </w:p>
        </w:tc>
        <w:tc>
          <w:tcPr>
            <w:tcW w:type="dxa" w:w="1441"/>
            <w:vAlign w:val="center"/>
            <w:tcW w:w="0" w:type="auto"/>
          </w:tcPr>
          <w:p>
            <w:pPr>
              <w:jc w:val="left"/>
            </w:pPr>
            <w:r>
              <w:rPr>
                <w:rFonts w:ascii="Times New Roman" w:hAnsi="Times New Roman" w:eastAsia="宋体"/>
                <w:b w:val="0"/>
                <w:i w:val="0"/>
                <w:color w:val="000000"/>
                <w:sz w:val="21"/>
                <w:u w:val="none"/>
              </w:rPr>
              <w:t>Aeonix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集群服务器授权</w:t>
            </w:r>
          </w:p>
        </w:tc>
        <w:tc>
          <w:tcPr>
            <w:tcW w:type="dxa" w:w="1441"/>
            <w:vAlign w:val="center"/>
            <w:tcW w:w="0" w:type="auto"/>
          </w:tcPr>
          <w:p>
            <w:pPr>
              <w:jc w:val="left"/>
            </w:pPr>
            <w:r>
              <w:rPr>
                <w:rFonts w:ascii="Times New Roman" w:hAnsi="Times New Roman" w:eastAsia="宋体"/>
                <w:b w:val="0"/>
                <w:i w:val="0"/>
                <w:color w:val="000000"/>
                <w:sz w:val="21"/>
                <w:u w:val="none"/>
              </w:rPr>
              <w:t>Aeonix Additional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IP电话授权</w:t>
            </w:r>
          </w:p>
        </w:tc>
        <w:tc>
          <w:tcPr>
            <w:tcW w:type="dxa" w:w="1441"/>
            <w:vAlign w:val="center"/>
            <w:tcW w:w="0" w:type="auto"/>
          </w:tcPr>
          <w:p>
            <w:pPr>
              <w:jc w:val="left"/>
            </w:pPr>
            <w:r>
              <w:rPr>
                <w:rFonts w:ascii="Times New Roman" w:hAnsi="Times New Roman" w:eastAsia="宋体"/>
                <w:b w:val="0"/>
                <w:i w:val="0"/>
                <w:color w:val="000000"/>
                <w:sz w:val="21"/>
                <w:u w:val="none"/>
              </w:rPr>
              <w:t>Advanced user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三方终端授权</w:t>
            </w:r>
          </w:p>
        </w:tc>
        <w:tc>
          <w:tcPr>
            <w:tcW w:type="dxa" w:w="1441"/>
            <w:vAlign w:val="center"/>
            <w:tcW w:w="0" w:type="auto"/>
          </w:tcPr>
          <w:p>
            <w:pPr>
              <w:jc w:val="left"/>
            </w:pPr>
            <w:r>
              <w:rPr>
                <w:rFonts w:ascii="Times New Roman" w:hAnsi="Times New Roman" w:eastAsia="宋体"/>
                <w:b w:val="0"/>
                <w:i w:val="0"/>
                <w:color w:val="000000"/>
                <w:sz w:val="21"/>
                <w:u w:val="none"/>
              </w:rPr>
              <w:t>Non-Tadiran device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SIP中继授权</w:t>
            </w:r>
          </w:p>
        </w:tc>
        <w:tc>
          <w:tcPr>
            <w:tcW w:type="dxa" w:w="1441"/>
            <w:vAlign w:val="center"/>
            <w:tcW w:w="0" w:type="auto"/>
          </w:tcPr>
          <w:p>
            <w:pPr>
              <w:jc w:val="left"/>
            </w:pPr>
            <w:r>
              <w:rPr>
                <w:rFonts w:ascii="Times New Roman" w:hAnsi="Times New Roman" w:eastAsia="宋体"/>
                <w:b w:val="0"/>
                <w:i w:val="0"/>
                <w:color w:val="000000"/>
                <w:sz w:val="21"/>
                <w:u w:val="none"/>
              </w:rPr>
              <w:t>Aeonix SIP Trunk/Gateway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32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3年服务费</w:t>
            </w:r>
          </w:p>
        </w:tc>
        <w:tc>
          <w:tcPr>
            <w:tcW w:type="dxa" w:w="1441"/>
            <w:vAlign w:val="center"/>
            <w:tcW w:w="0" w:type="auto"/>
          </w:tcPr>
          <w:p>
            <w:pPr>
              <w:jc w:val="left"/>
            </w:pPr>
            <w:r>
              <w:rPr>
                <w:rFonts w:ascii="Times New Roman" w:hAnsi="Times New Roman" w:eastAsia="宋体"/>
                <w:b w:val="0"/>
                <w:i w:val="0"/>
                <w:color w:val="000000"/>
                <w:sz w:val="21"/>
                <w:u w:val="none"/>
              </w:rPr>
              <w:t>Partner Support  (3 Years, SW Only)</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安装材料</w:t>
            </w:r>
          </w:p>
        </w:tc>
        <w:tc>
          <w:tcPr>
            <w:tcW w:type="dxa" w:w="1441"/>
            <w:vAlign w:val="center"/>
            <w:tcW w:w="0" w:type="auto"/>
          </w:tcPr>
          <w:p>
            <w:pPr>
              <w:jc w:val="left"/>
            </w:pPr>
            <w:r>
              <w:rPr>
                <w:rFonts w:ascii="Times New Roman" w:hAnsi="Times New Roman" w:eastAsia="宋体"/>
                <w:b w:val="0"/>
                <w:i w:val="0"/>
                <w:color w:val="000000"/>
                <w:sz w:val="21"/>
                <w:u w:val="none"/>
              </w:rPr>
              <w:t>安装辅材</w:t>
            </w:r>
          </w:p>
        </w:tc>
        <w:tc>
          <w:tcPr>
            <w:tcW w:type="dxa" w:w="1441"/>
            <w:vAlign w:val="center"/>
            <w:tcW w:w="0" w:type="auto"/>
          </w:tcPr>
          <w:p>
            <w:pPr>
              <w:jc w:val="left"/>
            </w:pPr>
            <w:r>
              <w:rPr>
                <w:rFonts w:ascii="Times New Roman" w:hAnsi="Times New Roman" w:eastAsia="宋体"/>
                <w:b w:val="0"/>
                <w:i w:val="0"/>
                <w:color w:val="000000"/>
                <w:sz w:val="21"/>
                <w:u w:val="none"/>
              </w:rPr>
              <w:t>根</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技术资料</w:t>
            </w:r>
          </w:p>
        </w:tc>
        <w:tc>
          <w:tcPr>
            <w:tcW w:type="dxa" w:w="1441"/>
            <w:vAlign w:val="center"/>
            <w:tcW w:w="0" w:type="auto"/>
          </w:tcPr>
          <w:p>
            <w:pPr>
              <w:jc w:val="left"/>
            </w:pPr>
            <w:r>
              <w:rPr>
                <w:rFonts w:ascii="Times New Roman" w:hAnsi="Times New Roman" w:eastAsia="宋体"/>
                <w:b w:val="0"/>
                <w:i w:val="0"/>
                <w:color w:val="000000"/>
                <w:sz w:val="21"/>
                <w:u w:val="none"/>
              </w:rPr>
            </w:r>
          </w:p>
        </w:tc>
        <w:tc>
          <w:tcPr>
            <w:tcW w:type="dxa" w:w="1441"/>
            <w:vAlign w:val="center"/>
            <w:tcW w:w="0" w:type="auto"/>
          </w:tcPr>
          <w:p>
            <w:pPr>
              <w:jc w:val="left"/>
            </w:pPr>
            <w:r>
              <w:rPr>
                <w:rFonts w:ascii="Times New Roman" w:hAnsi="Times New Roman" w:eastAsia="宋体"/>
                <w:b w:val="0"/>
                <w:i w:val="0"/>
                <w:color w:val="000000"/>
                <w:sz w:val="21"/>
                <w:u w:val="none"/>
              </w:rPr>
              <w:t>项</w:t>
            </w:r>
          </w:p>
        </w:tc>
        <w:tc>
          <w:tcPr>
            <w:tcW w:type="dxa" w:w="1441"/>
            <w:vAlign w:val="center"/>
            <w:tcW w:w="0" w:type="auto"/>
          </w:tcPr>
          <w:p>
            <w:pPr>
              <w:jc w:val="left"/>
            </w:pPr>
            <w:r>
              <w:rPr>
                <w:rFonts w:ascii="Times New Roman" w:hAnsi="Times New Roman" w:eastAsia="宋体"/>
                <w:b w:val="0"/>
                <w:i w:val="0"/>
                <w:color w:val="000000"/>
                <w:sz w:val="21"/>
                <w:u w:val="none"/>
              </w:rPr>
              <w:t>1</w:t>
            </w:r>
          </w:p>
        </w:tc>
      </w:tr>
    </w:tbl>
    <w:p>
      <w:pPr>
        <w:pStyle w:val="Heading2"/>
        <w:jc w:val="left"/>
        <w:spacing w:before="320" w:after="280" w:line="360" w:lineRule="auto"/>
        <w:numPr>
          <w:ilvl w:val="1"/>
          <w:numId w:val="1"/>
        </w:numPr>
      </w:pPr>
      <w:r>
        <w:rPr>
          <w:rFonts w:ascii="Times New Roman" w:hAnsi="Times New Roman" w:eastAsia="宋体"/>
          <w:b/>
          <w:i w:val="0"/>
          <w:color w:val="000000"/>
          <w:sz w:val="30"/>
          <w:u w:val="none"/>
        </w:rPr>
        <w:t>服务器和存储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虚拟化一体机</w:t>
            </w:r>
          </w:p>
        </w:tc>
        <w:tc>
          <w:tcPr>
            <w:tcW w:type="dxa" w:w="1729"/>
            <w:vAlign w:val="center"/>
            <w:tcW w:w="0" w:type="auto"/>
          </w:tcPr>
          <w:p>
            <w:pPr>
              <w:jc w:val="left"/>
            </w:pPr>
            <w:r>
              <w:rPr>
                <w:rFonts w:ascii="Times New Roman" w:hAnsi="Times New Roman" w:eastAsia="宋体"/>
                <w:b w:val="0"/>
                <w:i w:val="0"/>
                <w:color w:val="000000"/>
                <w:sz w:val="21"/>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企业级分布式存储</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容器引擎</w:t>
            </w:r>
          </w:p>
        </w:tc>
        <w:tc>
          <w:tcPr>
            <w:tcW w:type="dxa" w:w="1729"/>
            <w:vAlign w:val="center"/>
            <w:tcW w:w="0" w:type="auto"/>
          </w:tcPr>
          <w:p>
            <w:pPr>
              <w:jc w:val="left"/>
            </w:pPr>
            <w:r>
              <w:rPr>
                <w:rFonts w:ascii="Times New Roman" w:hAnsi="Times New Roman" w:eastAsia="宋体"/>
                <w:b w:val="0"/>
                <w:i w:val="0"/>
                <w:color w:val="000000"/>
                <w:sz w:val="21"/>
                <w:u w:val="none"/>
              </w:rPr>
              <w:t>含：</w:t>
              <w:br/>
              <w:t>200套* 深信服容器引擎软件V1.0;</w:t>
              <w:br/>
              <w:t>3年* 软件升级(适用于深信服容器引擎（SKE）);</w:t>
              <w:br/>
              <w:t>5人天* 部署服务;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数据库管理平台</w:t>
            </w:r>
          </w:p>
        </w:tc>
        <w:tc>
          <w:tcPr>
            <w:tcW w:type="dxa" w:w="1729"/>
            <w:vAlign w:val="center"/>
            <w:tcW w:w="0" w:type="auto"/>
          </w:tcPr>
          <w:p>
            <w:pPr>
              <w:jc w:val="left"/>
            </w:pPr>
            <w:r>
              <w:rPr>
                <w:rFonts w:ascii="Times New Roman" w:hAnsi="Times New Roman" w:eastAsia="宋体"/>
                <w:b w:val="0"/>
                <w:i w:val="0"/>
                <w:color w:val="000000"/>
                <w:sz w:val="21"/>
                <w:u w:val="none"/>
              </w:rPr>
              <w:t>含：</w:t>
              <w:br/>
              <w:t>1套* 数据库负载组件;</w:t>
              <w:br/>
              <w:t>5套* 深信服数据库管理平台软件V2.0;</w:t>
              <w:br/>
              <w:t>3年* 软件升级;</w:t>
              <w:br/>
              <w:t>5套* DMP平台部署实施服务;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企业级数据备份与恢复系统</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全网行为管理</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下一代防火墙</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日志审计分析管理系统软件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1套* 深信服日志审计分析管理系统软件V3.0 ,含：</w:t>
              <w:br/>
              <w:t>3年* 软件升级;</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运维安全管理系统软件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统一端点安全管理系统</w:t>
            </w:r>
          </w:p>
        </w:tc>
        <w:tc>
          <w:tcPr>
            <w:tcW w:type="dxa" w:w="1729"/>
            <w:vAlign w:val="center"/>
            <w:tcW w:w="0" w:type="auto"/>
          </w:tcPr>
          <w:p>
            <w:pPr>
              <w:jc w:val="left"/>
            </w:pPr>
            <w:r>
              <w:rPr>
                <w:rFonts w:ascii="Times New Roman" w:hAnsi="Times New Roman" w:eastAsia="宋体"/>
                <w:b w:val="0"/>
                <w:i w:val="0"/>
                <w:color w:val="000000"/>
                <w:sz w:val="21"/>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零信任</w:t>
            </w:r>
          </w:p>
        </w:tc>
        <w:tc>
          <w:tcPr>
            <w:tcW w:type="dxa" w:w="1729"/>
            <w:vAlign w:val="center"/>
            <w:tcW w:w="0" w:type="auto"/>
          </w:tcPr>
          <w:p>
            <w:pPr>
              <w:jc w:val="left"/>
            </w:pPr>
            <w:r>
              <w:rPr>
                <w:rFonts w:ascii="Times New Roman" w:hAnsi="Times New Roman" w:eastAsia="宋体"/>
                <w:b w:val="0"/>
                <w:i w:val="0"/>
                <w:color w:val="000000"/>
                <w:sz w:val="21"/>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pPr>
        <w:pStyle w:val="Heading2"/>
        <w:jc w:val="left"/>
        <w:spacing w:before="320" w:after="280" w:line="360" w:lineRule="auto"/>
        <w:numPr>
          <w:ilvl w:val="1"/>
          <w:numId w:val="1"/>
        </w:numPr>
      </w:pPr>
      <w:r>
        <w:rPr>
          <w:rFonts w:ascii="Times New Roman" w:hAnsi="Times New Roman" w:eastAsia="宋体"/>
          <w:b/>
          <w:i w:val="0"/>
          <w:color w:val="000000"/>
          <w:sz w:val="30"/>
          <w:u w:val="none"/>
        </w:rPr>
        <w:t>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北京中科进出口有限责任公司</w:t>
    </w:r>
    <w:r>
      <w:tab/>
    </w:r>
    <w:r>
      <w:t>超融合项目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decimal"/>
      <w:lvlText w:val="第%1章  "/>
      <w:lvlJc w:val="left"/>
      <w:pPr>
        <w:pStyle w:val="Heading 1"/>
        <w:tabs>
          <w:tab w:val="num" w:pos="0"/>
        </w:tabs>
        <w:ind w:left="0"/>
      </w:pPr>
      <w:rPr>
        <w:rFonts w:ascii="Times New Roman" w:hAnsi="Times New Roman"/>
        <w:sz w:val="32"/>
        <w:color w:val="000000"/>
        <w:b w:val="true"/>
      </w:rPr>
    </w:lvl>
    <w:lvl w:ilvl="1">
      <w:start w:val="1"/>
      <w:numFmt w:val="decimal"/>
      <w:lvlText w:val="%1.%2.  "/>
      <w:lvlJc w:val="left"/>
      <w:pPr>
        <w:pStyle w:val="Heading 2"/>
        <w:tabs>
          <w:tab w:val="num" w:pos="0"/>
        </w:tabs>
        <w:ind w:left="0" w:firstLine="0"/>
      </w:pPr>
      <w:rPr>
        <w:rFonts w:ascii="Times New Roman" w:hAnsi="Times New Roman"/>
        <w:sz w:val="30"/>
        <w:color w:val="000000"/>
        <w:b w:val="true"/>
      </w:rPr>
    </w:lvl>
    <w:lvl w:ilvl="2">
      <w:start w:val="1"/>
      <w:numFmt w:val="decimal"/>
      <w:lvlText w:val="%1.%2.%3.  "/>
      <w:lvlJc w:val="left"/>
      <w:pPr>
        <w:pStyle w:val="Heading 3"/>
        <w:tabs>
          <w:tab w:val="num" w:pos="0"/>
        </w:tabs>
        <w:ind w:left="0" w:firstLine="0"/>
      </w:pPr>
      <w:rPr>
        <w:rFonts w:ascii="Times New Roman" w:hAnsi="Times New Roman"/>
        <w:sz w:val="28"/>
        <w:color w:val="000000"/>
        <w:b w:val="true"/>
      </w:rPr>
    </w:lvl>
    <w:lvl w:ilvl="3">
      <w:start w:val="1"/>
      <w:numFmt w:val="decimal"/>
      <w:lvlText w:val="%1.%2.%3.%4.  "/>
      <w:lvlJc w:val="left"/>
      <w:pPr>
        <w:pStyle w:val="Heading 4"/>
        <w:tabs>
          <w:tab w:val="num" w:pos="0"/>
        </w:tabs>
        <w:ind w:left="0" w:firstLine="0"/>
      </w:pPr>
      <w:rPr>
        <w:rFonts w:ascii="Times New Roman" w:hAnsi="Times New Roman"/>
        <w:sz w:val="24"/>
        <w:color w:val="000000"/>
        <w:b w:val="tru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