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金诚信矿业股份有限公司</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2026年04月03日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p>
    <w:p>
      <w:r>
        <w:rPr>
          <w:b/>
        </w:rPr>
        <w:t>一、项目概况</w:t>
      </w:r>
      <w:r>
        <w:tab/>
      </w:r>
      <w:r>
        <w:rPr>
          <w:color w:val="999999"/>
        </w:rPr>
        <w:t>...</w:t>
      </w:r>
    </w:p>
    <w:p>
      <w:pPr>
        <w:ind w:left="227"/>
      </w:pPr>
      <w:r>
        <w:t>1.1项目背景</w:t>
      </w:r>
      <w:r>
        <w:tab/>
      </w:r>
      <w:r>
        <w:rPr>
          <w:color w:val="999999"/>
        </w:rPr>
        <w:t>...</w:t>
      </w:r>
    </w:p>
    <w:p>
      <w:pPr>
        <w:ind w:left="227"/>
      </w:pPr>
      <w:r>
        <w:t>1.2建设内容</w:t>
      </w:r>
      <w:r>
        <w:tab/>
      </w:r>
      <w:r>
        <w:rPr>
          <w:color w:val="999999"/>
        </w:rPr>
        <w:t>...</w:t>
      </w:r>
    </w:p>
    <w:p>
      <w:pPr>
        <w:ind w:left="227"/>
      </w:pPr>
      <w:r>
        <w:t>机房环境改造：</w:t>
      </w:r>
      <w:r>
        <w:tab/>
      </w:r>
      <w:r>
        <w:rPr>
          <w:color w:val="999999"/>
        </w:rPr>
        <w:t>...</w:t>
      </w:r>
    </w:p>
    <w:p>
      <w:pPr>
        <w:ind w:left="227"/>
      </w:pPr>
      <w:r>
        <w:t>基础网络环境改造</w:t>
      </w:r>
      <w:r>
        <w:tab/>
      </w:r>
      <w:r>
        <w:rPr>
          <w:color w:val="999999"/>
        </w:rPr>
        <w:t>...</w:t>
      </w:r>
    </w:p>
    <w:p>
      <w:pPr>
        <w:ind w:left="227"/>
      </w:pPr>
      <w:r>
        <w:t>内线电话（工作座机）更新</w:t>
      </w:r>
      <w:r>
        <w:tab/>
      </w:r>
      <w:r>
        <w:rPr>
          <w:color w:val="999999"/>
        </w:rPr>
        <w:t>...</w:t>
      </w:r>
    </w:p>
    <w:p>
      <w:pPr>
        <w:ind w:left="227"/>
      </w:pPr>
      <w:r>
        <w:t>2.3.1 效果图片</w:t>
      </w:r>
      <w:r>
        <w:tab/>
      </w:r>
      <w:r>
        <w:rPr>
          <w:color w:val="999999"/>
        </w:rPr>
        <w:t>...</w:t>
      </w:r>
    </w:p>
    <w:p>
      <w:pPr>
        <w:ind w:left="227"/>
      </w:pPr>
      <w:r>
        <w:t>私有云平台建设</w:t>
      </w:r>
      <w:r>
        <w:tab/>
      </w:r>
      <w:r>
        <w:rPr>
          <w:color w:val="999999"/>
        </w:rPr>
        <w:t>...</w:t>
      </w:r>
    </w:p>
    <w:p>
      <w:r>
        <w:rPr>
          <w:b/>
        </w:rPr>
        <w:t>一、 项目背景与现状挑战</w:t>
      </w:r>
      <w:r>
        <w:tab/>
      </w:r>
      <w:r>
        <w:rPr>
          <w:color w:val="999999"/>
        </w:rPr>
        <w:t>...</w:t>
      </w:r>
    </w:p>
    <w:p>
      <w:r>
        <w:rPr>
          <w:b/>
        </w:rPr>
        <w:t>二、 建设目标</w:t>
      </w:r>
      <w:r>
        <w:tab/>
      </w:r>
      <w:r>
        <w:rPr>
          <w:color w:val="999999"/>
        </w:rPr>
        <w:t>...</w:t>
      </w:r>
    </w:p>
    <w:p>
      <w:r>
        <w:rPr>
          <w:b/>
        </w:rPr>
        <w:t>三、 详细建设方案</w:t>
      </w:r>
      <w:r>
        <w:tab/>
      </w:r>
      <w:r>
        <w:rPr>
          <w:color w:val="999999"/>
        </w:rPr>
        <w:t>...</w:t>
      </w:r>
    </w:p>
    <w:p>
      <w:pPr>
        <w:ind w:left="227"/>
      </w:pPr>
      <w:r>
        <w:t>信息安全建设</w:t>
      </w:r>
      <w:r>
        <w:tab/>
      </w:r>
      <w:r>
        <w:rPr>
          <w:color w:val="999999"/>
        </w:rPr>
        <w:t>...</w:t>
      </w:r>
    </w:p>
    <w:p>
      <w:r>
        <w:rPr>
          <w:b/>
        </w:rPr>
        <w:t>三、需求清单</w:t>
      </w:r>
      <w:r>
        <w:tab/>
      </w:r>
      <w:r>
        <w:rPr>
          <w:color w:val="999999"/>
        </w:rPr>
        <w:t>...</w:t>
      </w:r>
    </w:p>
    <w:p>
      <w:pPr>
        <w:ind w:left="227"/>
      </w:pPr>
      <w:r>
        <w:t>3.1 交换机</w:t>
      </w:r>
      <w:r>
        <w:tab/>
      </w:r>
      <w:r>
        <w:rPr>
          <w:color w:val="999999"/>
        </w:rPr>
        <w:t>...</w:t>
      </w:r>
    </w:p>
    <w:p>
      <w:pPr>
        <w:ind w:left="227"/>
      </w:pPr>
      <w:r>
        <w:t>3.2 语音电话</w:t>
      </w:r>
      <w:r>
        <w:tab/>
      </w:r>
      <w:r>
        <w:rPr>
          <w:color w:val="999999"/>
        </w:rPr>
        <w:t>...</w:t>
      </w:r>
    </w:p>
    <w:p>
      <w:pPr>
        <w:ind w:left="227"/>
      </w:pPr>
      <w:r>
        <w:t>3.3 服务器和存储</w:t>
      </w:r>
      <w:r>
        <w:tab/>
      </w:r>
      <w:r>
        <w:rPr>
          <w:color w:val="999999"/>
        </w:rPr>
        <w:t>...</w:t>
      </w:r>
    </w:p>
    <w:p>
      <w:pPr>
        <w:ind w:left="227"/>
      </w:pPr>
      <w:r>
        <w:t>3.4 安全</w:t>
      </w:r>
      <w:r>
        <w:tab/>
      </w:r>
      <w:r>
        <w:rPr>
          <w:color w:val="999999"/>
        </w:rPr>
        <w:t>...</w:t>
      </w:r>
    </w:p>
    <w:p>
      <w:pPr>
        <w:ind w:left="227"/>
      </w:pPr>
      <w:r>
        <w:t>3.5 招标参数推荐</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一、项目概况</w:t>
      </w:r>
    </w:p>
    <w:p>
      <w:pPr>
        <w:pStyle w:val="Heading2"/>
        <w:jc w:val="left"/>
        <w:spacing w:before="0" w:after="0" w:line="360" w:lineRule="auto"/>
      </w:pPr>
      <w:r>
        <w:rPr>
          <w:rFonts w:ascii="Times New Roman" w:hAnsi="Times New Roman" w:eastAsia="宋体"/>
          <w:b/>
          <w:i w:val="0"/>
          <w:color w:val="000000"/>
          <w:sz w:val="30"/>
          <w:u w:val="none"/>
        </w:rPr>
        <w:t>1.1项目背景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2"/>
        <w:jc w:val="left"/>
        <w:spacing w:before="0" w:after="0" w:line="360" w:lineRule="auto"/>
      </w:pPr>
      <w:r>
        <w:rPr>
          <w:rFonts w:ascii="Times New Roman" w:hAnsi="Times New Roman" w:eastAsia="宋体"/>
          <w:b/>
          <w:i w:val="0"/>
          <w:color w:val="000000"/>
          <w:sz w:val="30"/>
          <w:u w:val="none"/>
        </w:rPr>
        <w:t>机房环境改造：</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目前机房环境不满足等保要求，存在影响业务运行的风险（防静电地板、线缆、UPS老化，机柜空间不足，整体功率超负载运行），需要：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机房装修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电气工程</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防雷接地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窗户封堵</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新风排风</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精密空调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消防气灭</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UPS电力</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机柜、布线</w:t>
      </w:r>
    </w:p>
    <w:p>
      <w:r>
        <w:br w:type="page"/>
      </w:r>
    </w:p>
    <w:p>
      <w:pPr>
        <w:pStyle w:val="Heading2"/>
        <w:jc w:val="left"/>
        <w:spacing w:before="0" w:after="0" w:line="360" w:lineRule="auto"/>
      </w:pPr>
      <w:r>
        <w:rPr>
          <w:rFonts w:ascii="Times New Roman" w:hAnsi="Times New Roman" w:eastAsia="宋体"/>
          <w:b/>
          <w:i w:val="0"/>
          <w:color w:val="000000"/>
          <w:sz w:val="30"/>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接入交换机和核心交换机更换（7台24口接入、1台万兆核心）；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网络地址段规划及划分；（办公区、服务器区、互联网出口区等）</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基础网管功能启用，实现端口、链路状态可视，能快速定位风险及故障；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武汉分支机构安全、稳定接入北京办公区网络；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无线覆盖更新，AC一套、AP 8台；</w:t>
      </w:r>
    </w:p>
    <w:p>
      <w:r>
        <w:br w:type="page"/>
      </w:r>
    </w:p>
    <w:p>
      <w:pPr>
        <w:pStyle w:val="Heading2"/>
        <w:jc w:val="left"/>
        <w:spacing w:before="0" w:after="0" w:line="360" w:lineRule="auto"/>
      </w:pPr>
      <w:r>
        <w:rPr>
          <w:rFonts w:ascii="Times New Roman" w:hAnsi="Times New Roman" w:eastAsia="宋体"/>
          <w:b/>
          <w:i w:val="0"/>
          <w:color w:val="000000"/>
          <w:sz w:val="30"/>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2"/>
        <w:jc w:val="left"/>
        <w:spacing w:before="0" w:after="0" w:line="360" w:lineRule="auto"/>
      </w:pPr>
      <w:r>
        <w:rPr>
          <w:rFonts w:ascii="Times New Roman" w:hAnsi="Times New Roman" w:eastAsia="宋体"/>
          <w:b/>
          <w:i w:val="0"/>
          <w:color w:val="000000"/>
          <w:sz w:val="30"/>
          <w:u w:val="none"/>
        </w:rPr>
        <w:t>2.3.1 效果图片</w:t>
      </w:r>
    </w:p>
    <w:p>
      <w:pPr>
        <w:spacing w:before="283"/>
        <w:jc w:val="center"/>
      </w:pPr>
      <w:r>
        <w:drawing>
          <wp:inline xmlns:a="http://schemas.openxmlformats.org/drawingml/2006/main" xmlns:pic="http://schemas.openxmlformats.org/drawingml/2006/picture">
            <wp:extent cx="4666678" cy="3497250"/>
            <wp:docPr id="1" name="Picture 1"/>
            <wp:cNvGraphicFramePr>
              <a:graphicFrameLocks noChangeAspect="1"/>
            </wp:cNvGraphicFramePr>
            <a:graphic>
              <a:graphicData uri="http://schemas.openxmlformats.org/drawingml/2006/picture">
                <pic:pic>
                  <pic:nvPicPr>
                    <pic:cNvPr id="0" name="51c06bdb-e7c3-4049-a2e0-edd362eba181.jpg"/>
                    <pic:cNvPicPr/>
                  </pic:nvPicPr>
                  <pic:blipFill>
                    <a:blip r:embed="rId9"/>
                    <a:stretch>
                      <a:fillRect/>
                    </a:stretch>
                  </pic:blipFill>
                  <pic:spPr>
                    <a:xfrm>
                      <a:off x="0" y="0"/>
                      <a:ext cx="4666678" cy="3497250"/>
                    </a:xfrm>
                    <a:prstGeom prst="rect"/>
                  </pic:spPr>
                </pic:pic>
              </a:graphicData>
            </a:graphic>
          </wp:inline>
        </w:drawing>
      </w:r>
    </w:p>
    <w:p>
      <w:r>
        <w:br w:type="page"/>
      </w:r>
    </w:p>
    <w:p>
      <w:pPr>
        <w:pStyle w:val="Heading2"/>
        <w:jc w:val="left"/>
        <w:spacing w:before="0" w:after="0" w:line="360" w:lineRule="auto"/>
      </w:pPr>
      <w:r>
        <w:rPr>
          <w:rFonts w:ascii="Times New Roman" w:hAnsi="Times New Roman" w:eastAsia="宋体"/>
          <w:b/>
          <w:i w:val="0"/>
          <w:color w:val="000000"/>
          <w:sz w:val="30"/>
          <w:u w:val="none"/>
        </w:rPr>
        <w:t>私有云平台建设</w:t>
      </w:r>
    </w:p>
    <w:p>
      <w:pPr>
        <w:pStyle w:val="Heading1"/>
        <w:jc w:val="left"/>
        <w:spacing w:before="0" w:after="0" w:line="360" w:lineRule="auto"/>
      </w:pPr>
      <w:r>
        <w:rPr>
          <w:rFonts w:ascii="Times New Roman" w:hAnsi="Times New Roman" w:eastAsia="宋体"/>
          <w:b/>
          <w:i w:val="0"/>
          <w:color w:val="000000"/>
          <w:sz w:val="32"/>
          <w:u w:val="none"/>
        </w:rPr>
        <w:t>一、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0" w:line="360" w:lineRule="auto"/>
      </w:pPr>
      <w:r>
        <w:rPr>
          <w:rFonts w:ascii="Times New Roman" w:hAnsi="Times New Roman" w:eastAsia="宋体"/>
          <w:b/>
          <w:i w:val="0"/>
          <w:color w:val="000000"/>
          <w:sz w:val="32"/>
          <w:u w:val="none"/>
        </w:rPr>
        <w:t>二、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0" w:line="360" w:lineRule="auto"/>
      </w:pPr>
      <w:r>
        <w:rPr>
          <w:rFonts w:ascii="Times New Roman" w:hAnsi="Times New Roman" w:eastAsia="宋体"/>
          <w:b/>
          <w:i w:val="0"/>
          <w:color w:val="000000"/>
          <w:sz w:val="32"/>
          <w:u w:val="none"/>
        </w:rPr>
        <w:t>三、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部署互联网出口防火墙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部署上网行为管理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在云平台中部署安全资源池，提供日志审计、堡垒机、零信任、区域防火墙、入侵检测等功能组件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综合分析管理平台（XDR）</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部署EDR终端安全管理模块</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部署备份平台，定期进行恢复测试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r>
    </w:p>
    <w:p>
      <w:pPr>
        <w:pStyle w:val="Heading2"/>
        <w:jc w:val="left"/>
        <w:spacing w:before="0" w:after="0" w:line="360" w:lineRule="auto"/>
      </w:pPr>
      <w:r>
        <w:rPr>
          <w:rFonts w:ascii="Times New Roman" w:hAnsi="Times New Roman" w:eastAsia="宋体"/>
          <w:b/>
          <w:i w:val="0"/>
          <w:color w:val="000000"/>
          <w:sz w:val="30"/>
          <w:u w:val="none"/>
        </w:rPr>
        <w:t>3.1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交换机</w:t>
            </w:r>
          </w:p>
        </w:tc>
        <w:tc>
          <w:tcPr>
            <w:tcW w:type="dxa" w:w="1729"/>
            <w:tcW w:w="0" w:type="auto"/>
          </w:tcPr>
          <w:p>
            <w:pPr>
              <w:jc w:val="left"/>
            </w:pPr>
            <w:r>
              <w:rPr>
                <w:rFonts w:ascii="Times New Roman" w:hAnsi="Times New Roman" w:eastAsia="FangSong"/>
                <w:b w:val="0"/>
                <w:i w:val="0"/>
                <w:color w:val="000000"/>
                <w:sz w:val="24"/>
                <w:u w:val="none"/>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接入交换机</w:t>
            </w:r>
          </w:p>
        </w:tc>
        <w:tc>
          <w:tcPr>
            <w:tcW w:type="dxa" w:w="1729"/>
            <w:tcW w:w="0" w:type="auto"/>
          </w:tcPr>
          <w:p>
            <w:pPr>
              <w:jc w:val="left"/>
            </w:pPr>
            <w:r>
              <w:rPr>
                <w:rFonts w:ascii="Times New Roman" w:hAnsi="Times New Roman" w:eastAsia="FangSong"/>
                <w:b w:val="0"/>
                <w:i w:val="0"/>
                <w:color w:val="000000"/>
                <w:sz w:val="24"/>
                <w:u w:val="none"/>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核心交换机</w:t>
            </w:r>
          </w:p>
        </w:tc>
        <w:tc>
          <w:tcPr>
            <w:tcW w:type="dxa" w:w="1729"/>
            <w:tcW w:w="0" w:type="auto"/>
          </w:tcPr>
          <w:p>
            <w:pPr>
              <w:jc w:val="left"/>
            </w:pPr>
            <w:r>
              <w:rPr>
                <w:rFonts w:ascii="Times New Roman" w:hAnsi="Times New Roman" w:eastAsia="FangSong"/>
                <w:b w:val="0"/>
                <w:i w:val="0"/>
                <w:color w:val="000000"/>
                <w:sz w:val="24"/>
                <w:u w:val="none"/>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POE交换机</w:t>
            </w:r>
          </w:p>
        </w:tc>
        <w:tc>
          <w:tcPr>
            <w:tcW w:type="dxa" w:w="1729"/>
            <w:tcW w:w="0" w:type="auto"/>
          </w:tcPr>
          <w:p>
            <w:pPr>
              <w:jc w:val="left"/>
            </w:pPr>
            <w:r>
              <w:rPr>
                <w:rFonts w:ascii="Times New Roman" w:hAnsi="Times New Roman" w:eastAsia="FangSong"/>
                <w:b w:val="0"/>
                <w:i w:val="0"/>
                <w:color w:val="000000"/>
                <w:sz w:val="24"/>
                <w:u w:val="none"/>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无线AC控制器</w:t>
            </w:r>
          </w:p>
        </w:tc>
        <w:tc>
          <w:tcPr>
            <w:tcW w:type="dxa" w:w="1729"/>
            <w:tcW w:w="0" w:type="auto"/>
          </w:tcPr>
          <w:p>
            <w:pPr>
              <w:jc w:val="left"/>
            </w:pPr>
            <w:r>
              <w:rPr>
                <w:rFonts w:ascii="Times New Roman" w:hAnsi="Times New Roman" w:eastAsia="FangSong"/>
                <w:b w:val="0"/>
                <w:i w:val="0"/>
                <w:color w:val="000000"/>
                <w:sz w:val="24"/>
                <w:u w:val="none"/>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无线AP</w:t>
            </w:r>
          </w:p>
        </w:tc>
        <w:tc>
          <w:tcPr>
            <w:tcW w:type="dxa" w:w="1729"/>
            <w:tcW w:w="0" w:type="auto"/>
          </w:tcPr>
          <w:p>
            <w:pPr>
              <w:jc w:val="left"/>
            </w:pPr>
            <w:r>
              <w:rPr>
                <w:rFonts w:ascii="Times New Roman" w:hAnsi="Times New Roman" w:eastAsia="FangSong"/>
                <w:b w:val="0"/>
                <w:i w:val="0"/>
                <w:color w:val="000000"/>
                <w:sz w:val="24"/>
                <w:u w:val="none"/>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type="dxa" w:w="1729"/>
            <w:tcW w:w="0" w:type="auto"/>
          </w:tcPr>
          <w:p>
            <w:pPr>
              <w:jc w:val="left"/>
            </w:pPr>
            <w:r>
              <w:rPr>
                <w:rFonts w:ascii="Times New Roman" w:hAnsi="Times New Roman" w:eastAsia="FangSong"/>
                <w:b w:val="0"/>
                <w:i w:val="0"/>
                <w:color w:val="000000"/>
                <w:sz w:val="24"/>
                <w:u w:val="none"/>
              </w:rPr>
              <w:t>8</w:t>
            </w:r>
          </w:p>
        </w:tc>
        <w:tc>
          <w:tcPr>
            <w:tcW w:type="dxa" w:w="1729"/>
            <w:tcW w:w="0" w:type="auto"/>
          </w:tcPr>
          <w:p>
            <w:pPr>
              <w:jc w:val="left"/>
            </w:pPr>
            <w:r>
              <w:rPr>
                <w:rFonts w:ascii="Times New Roman" w:hAnsi="Times New Roman" w:eastAsia="FangSong"/>
                <w:b w:val="0"/>
                <w:i w:val="0"/>
                <w:color w:val="000000"/>
                <w:sz w:val="24"/>
                <w:u w:val="none"/>
              </w:rPr>
              <w:t>台</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3.2 语音电话</w:t>
      </w:r>
    </w:p>
    <w:p>
      <w:pPr>
        <w:spacing w:before="283"/>
        <w:jc w:val="center"/>
      </w:pPr>
      <w:r>
        <w:drawing>
          <wp:inline xmlns:a="http://schemas.openxmlformats.org/drawingml/2006/main" xmlns:pic="http://schemas.openxmlformats.org/drawingml/2006/picture">
            <wp:extent cx="4666678" cy="2662470"/>
            <wp:docPr id="2" name="Picture 2"/>
            <wp:cNvGraphicFramePr>
              <a:graphicFrameLocks noChangeAspect="1"/>
            </wp:cNvGraphicFramePr>
            <a:graphic>
              <a:graphicData uri="http://schemas.openxmlformats.org/drawingml/2006/picture">
                <pic:pic>
                  <pic:nvPicPr>
                    <pic:cNvPr id="0" name="b8cc0f51-c303-46ee-b99b-3aa3ad753aab.jpg"/>
                    <pic:cNvPicPr/>
                  </pic:nvPicPr>
                  <pic:blipFill>
                    <a:blip r:embed="rId10"/>
                    <a:stretch>
                      <a:fillRect/>
                    </a:stretch>
                  </pic:blipFill>
                  <pic:spPr>
                    <a:xfrm>
                      <a:off x="0" y="0"/>
                      <a:ext cx="4666678" cy="2662470"/>
                    </a:xfrm>
                    <a:prstGeom prst="rect"/>
                  </pic:spPr>
                </pic:pic>
              </a:graphicData>
            </a:graphic>
          </wp:inline>
        </w:drawing>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项目名称</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型号</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规格</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441"/>
            <w:vAlign w:val="center"/>
            <w:tcW w:w="0" w:type="auto"/>
          </w:tcPr>
          <w:p>
            <w:pPr>
              <w:jc w:val="center"/>
            </w:pPr>
            <w:r>
              <w:rPr>
                <w:rFonts w:ascii="Times New Roman" w:hAnsi="Times New Roman" w:eastAsia="FangSong"/>
                <w:b w:val="0"/>
                <w:i w:val="0"/>
                <w:color w:val="000000"/>
                <w:sz w:val="24"/>
                <w:u w:val="none"/>
              </w:rPr>
              <w:t>1.1</w:t>
            </w:r>
          </w:p>
        </w:tc>
        <w:tc>
          <w:tcPr>
            <w:tcW w:type="dxa" w:w="1441"/>
            <w:tcW w:w="0" w:type="auto"/>
          </w:tcPr>
          <w:p>
            <w:pPr>
              <w:jc w:val="left"/>
            </w:pPr>
            <w:r>
              <w:rPr>
                <w:rFonts w:ascii="Times New Roman" w:hAnsi="Times New Roman" w:eastAsia="FangSong"/>
                <w:b w:val="0"/>
                <w:i w:val="0"/>
                <w:color w:val="000000"/>
                <w:sz w:val="24"/>
                <w:u w:val="none"/>
              </w:rPr>
              <w:t>软交换服务器</w:t>
            </w:r>
          </w:p>
        </w:tc>
        <w:tc>
          <w:tcPr>
            <w:tcW w:type="dxa" w:w="1441"/>
            <w:tcW w:w="0" w:type="auto"/>
          </w:tcPr>
          <w:p>
            <w:pPr>
              <w:jc w:val="left"/>
            </w:pPr>
            <w:r>
              <w:rPr>
                <w:rFonts w:ascii="Times New Roman" w:hAnsi="Times New Roman" w:eastAsia="FangSong"/>
                <w:b w:val="0"/>
                <w:i w:val="0"/>
                <w:color w:val="000000"/>
                <w:sz w:val="24"/>
                <w:u w:val="none"/>
              </w:rPr>
              <w:t>服务器</w:t>
            </w:r>
          </w:p>
        </w:tc>
        <w:tc>
          <w:tcPr>
            <w:tcW w:type="dxa" w:w="1441"/>
            <w:tcW w:w="0" w:type="auto"/>
          </w:tcPr>
          <w:p>
            <w:pPr>
              <w:jc w:val="left"/>
            </w:pPr>
            <w:r>
              <w:rPr>
                <w:rFonts w:ascii="Times New Roman" w:hAnsi="Times New Roman" w:eastAsia="FangSong"/>
                <w:b w:val="0"/>
                <w:i w:val="0"/>
                <w:color w:val="000000"/>
                <w:sz w:val="24"/>
                <w:u w:val="none"/>
              </w:rPr>
              <w:t>2颗英特尔至强金牌5120（2.20GHZ，14核28线程）/64GB 内存/硬盘容量1.2T*4  SAS2 .5 10K（RAID）/XR150ARAID控制器(支持RAID 0/1/5/6)/ 主板集成2口千兆网卡 2口万兆光口（不含模块）/双交流电源900W/导轨/ 三年保修服务</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1.2</w:t>
            </w:r>
          </w:p>
        </w:tc>
        <w:tc>
          <w:tcPr>
            <w:tcW w:type="dxa" w:w="1441"/>
            <w:tcW w:w="0" w:type="auto"/>
          </w:tcPr>
          <w:p>
            <w:pPr>
              <w:jc w:val="left"/>
            </w:pPr>
            <w:r>
              <w:rPr>
                <w:rFonts w:ascii="Times New Roman" w:hAnsi="Times New Roman" w:eastAsia="FangSong"/>
                <w:b w:val="0"/>
                <w:i w:val="0"/>
                <w:color w:val="000000"/>
                <w:sz w:val="24"/>
                <w:u w:val="none"/>
              </w:rPr>
              <w:t>IP话机</w:t>
            </w:r>
          </w:p>
        </w:tc>
        <w:tc>
          <w:tcPr>
            <w:tcW w:type="dxa" w:w="1441"/>
            <w:tcW w:w="0" w:type="auto"/>
          </w:tcPr>
          <w:p>
            <w:pPr>
              <w:jc w:val="left"/>
            </w:pPr>
            <w:r>
              <w:rPr>
                <w:rFonts w:ascii="Times New Roman" w:hAnsi="Times New Roman" w:eastAsia="FangSong"/>
                <w:b w:val="0"/>
                <w:i w:val="0"/>
                <w:color w:val="000000"/>
                <w:sz w:val="24"/>
                <w:u w:val="none"/>
              </w:rPr>
              <w:t>T53W</w:t>
            </w:r>
          </w:p>
        </w:tc>
        <w:tc>
          <w:tcPr>
            <w:tcW w:type="dxa" w:w="1441"/>
            <w:tcW w:w="0" w:type="auto"/>
          </w:tcPr>
          <w:p>
            <w:pPr>
              <w:jc w:val="left"/>
            </w:pPr>
            <w:r>
              <w:rPr>
                <w:rFonts w:ascii="Times New Roman" w:hAnsi="Times New Roman" w:eastAsia="FangSong"/>
                <w:b w:val="0"/>
                <w:i w:val="0"/>
                <w:color w:val="000000"/>
                <w:sz w:val="24"/>
                <w:u w:val="none"/>
              </w:rPr>
              <w:t>• 3.7 英寸 360x160 像素，可调节角度的显示屏</w:t>
              <w:br/>
              <w:t>• 8 个线路键，12 个 SIP 帐号，21 个记忆键</w:t>
              <w:br/>
              <w:t>• 内置蓝牙、WIFI（T53W）*</w:t>
              <w:br/>
              <w:t>• 双端口千兆以太网</w:t>
              <w:br/>
              <w:t>• 1 个USB 端口，可用于通话录音和无线 USB 耳机</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网关机框</w:t>
            </w:r>
          </w:p>
        </w:tc>
        <w:tc>
          <w:tcPr>
            <w:tcW w:type="dxa" w:w="1441"/>
            <w:tcW w:w="0" w:type="auto"/>
          </w:tcPr>
          <w:p>
            <w:pPr>
              <w:jc w:val="left"/>
            </w:pPr>
            <w:r>
              <w:rPr>
                <w:rFonts w:ascii="Times New Roman" w:hAnsi="Times New Roman" w:eastAsia="FangSong"/>
                <w:b w:val="0"/>
                <w:i w:val="0"/>
                <w:color w:val="000000"/>
                <w:sz w:val="24"/>
                <w:u w:val="none"/>
              </w:rPr>
              <w:t>TGW96-24-2G-C</w:t>
            </w:r>
          </w:p>
        </w:tc>
        <w:tc>
          <w:tcPr>
            <w:tcW w:type="dxa" w:w="1441"/>
            <w:tcW w:w="0" w:type="auto"/>
          </w:tcPr>
          <w:p>
            <w:pPr>
              <w:jc w:val="left"/>
            </w:pPr>
            <w:r>
              <w:rPr>
                <w:rFonts w:ascii="Times New Roman" w:hAnsi="Times New Roman" w:eastAsia="FangSong"/>
                <w:b w:val="0"/>
                <w:i w:val="0"/>
                <w:color w:val="000000"/>
                <w:sz w:val="24"/>
                <w:u w:val="none"/>
              </w:rPr>
              <w:t>提供4个插槽</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卡板</w:t>
            </w:r>
          </w:p>
        </w:tc>
        <w:tc>
          <w:tcPr>
            <w:tcW w:type="dxa" w:w="1441"/>
            <w:tcW w:w="0" w:type="auto"/>
          </w:tcPr>
          <w:p>
            <w:pPr>
              <w:jc w:val="left"/>
            </w:pPr>
            <w:r>
              <w:rPr>
                <w:rFonts w:ascii="Times New Roman" w:hAnsi="Times New Roman" w:eastAsia="FangSong"/>
                <w:b w:val="0"/>
                <w:i w:val="0"/>
                <w:color w:val="000000"/>
                <w:sz w:val="24"/>
                <w:u w:val="none"/>
              </w:rPr>
              <w:t>TGW96-2G-24FXO-IF</w:t>
            </w:r>
          </w:p>
        </w:tc>
        <w:tc>
          <w:tcPr>
            <w:tcW w:type="dxa" w:w="1441"/>
            <w:tcW w:w="0" w:type="auto"/>
          </w:tcPr>
          <w:p>
            <w:pPr>
              <w:jc w:val="left"/>
            </w:pPr>
            <w:r>
              <w:rPr>
                <w:rFonts w:ascii="Times New Roman" w:hAnsi="Times New Roman" w:eastAsia="FangSong"/>
                <w:b w:val="0"/>
                <w:i w:val="0"/>
                <w:color w:val="000000"/>
                <w:sz w:val="24"/>
                <w:u w:val="none"/>
              </w:rPr>
              <w:t>24个模拟中继接口</w:t>
            </w:r>
          </w:p>
        </w:tc>
        <w:tc>
          <w:tcPr>
            <w:tcW w:type="dxa" w:w="1441"/>
            <w:tcW w:w="0" w:type="auto"/>
          </w:tcPr>
          <w:p>
            <w:pPr>
              <w:jc w:val="left"/>
            </w:pPr>
            <w:r>
              <w:rPr>
                <w:rFonts w:ascii="Times New Roman" w:hAnsi="Times New Roman" w:eastAsia="FangSong"/>
                <w:b w:val="0"/>
                <w:i w:val="0"/>
                <w:color w:val="000000"/>
                <w:sz w:val="24"/>
                <w:u w:val="none"/>
              </w:rPr>
              <w:t>块</w:t>
            </w:r>
          </w:p>
        </w:tc>
        <w:tc>
          <w:tcPr>
            <w:tcW w:type="dxa" w:w="1441"/>
            <w:tcW w:w="0" w:type="auto"/>
          </w:tcPr>
          <w:p>
            <w:pPr>
              <w:jc w:val="left"/>
            </w:pPr>
            <w:r>
              <w:rPr>
                <w:rFonts w:ascii="Times New Roman" w:hAnsi="Times New Roman" w:eastAsia="FangSong"/>
                <w:b w:val="0"/>
                <w:i w:val="0"/>
                <w:color w:val="000000"/>
                <w:sz w:val="24"/>
                <w:u w:val="none"/>
              </w:rPr>
              <w:t>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主服务器授权</w:t>
            </w:r>
          </w:p>
        </w:tc>
        <w:tc>
          <w:tcPr>
            <w:tcW w:type="dxa" w:w="1441"/>
            <w:tcW w:w="0" w:type="auto"/>
          </w:tcPr>
          <w:p>
            <w:pPr>
              <w:jc w:val="left"/>
            </w:pPr>
            <w:r>
              <w:rPr>
                <w:rFonts w:ascii="Times New Roman" w:hAnsi="Times New Roman" w:eastAsia="FangSong"/>
                <w:b w:val="0"/>
                <w:i w:val="0"/>
                <w:color w:val="000000"/>
                <w:sz w:val="24"/>
                <w:u w:val="none"/>
              </w:rPr>
              <w:t>Aeonix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集群服务器授权</w:t>
            </w:r>
          </w:p>
        </w:tc>
        <w:tc>
          <w:tcPr>
            <w:tcW w:type="dxa" w:w="1441"/>
            <w:tcW w:w="0" w:type="auto"/>
          </w:tcPr>
          <w:p>
            <w:pPr>
              <w:jc w:val="left"/>
            </w:pPr>
            <w:r>
              <w:rPr>
                <w:rFonts w:ascii="Times New Roman" w:hAnsi="Times New Roman" w:eastAsia="FangSong"/>
                <w:b w:val="0"/>
                <w:i w:val="0"/>
                <w:color w:val="000000"/>
                <w:sz w:val="24"/>
                <w:u w:val="none"/>
              </w:rPr>
              <w:t>Aeonix Additional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IP电话授权</w:t>
            </w:r>
          </w:p>
        </w:tc>
        <w:tc>
          <w:tcPr>
            <w:tcW w:type="dxa" w:w="1441"/>
            <w:tcW w:w="0" w:type="auto"/>
          </w:tcPr>
          <w:p>
            <w:pPr>
              <w:jc w:val="left"/>
            </w:pPr>
            <w:r>
              <w:rPr>
                <w:rFonts w:ascii="Times New Roman" w:hAnsi="Times New Roman" w:eastAsia="FangSong"/>
                <w:b w:val="0"/>
                <w:i w:val="0"/>
                <w:color w:val="000000"/>
                <w:sz w:val="24"/>
                <w:u w:val="none"/>
              </w:rPr>
              <w:t>Advanced user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三方终端授权</w:t>
            </w:r>
          </w:p>
        </w:tc>
        <w:tc>
          <w:tcPr>
            <w:tcW w:type="dxa" w:w="1441"/>
            <w:tcW w:w="0" w:type="auto"/>
          </w:tcPr>
          <w:p>
            <w:pPr>
              <w:jc w:val="left"/>
            </w:pPr>
            <w:r>
              <w:rPr>
                <w:rFonts w:ascii="Times New Roman" w:hAnsi="Times New Roman" w:eastAsia="FangSong"/>
                <w:b w:val="0"/>
                <w:i w:val="0"/>
                <w:color w:val="000000"/>
                <w:sz w:val="24"/>
                <w:u w:val="none"/>
              </w:rPr>
              <w:t>Non-Tadiran device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SIP中继授权</w:t>
            </w:r>
          </w:p>
        </w:tc>
        <w:tc>
          <w:tcPr>
            <w:tcW w:type="dxa" w:w="1441"/>
            <w:tcW w:w="0" w:type="auto"/>
          </w:tcPr>
          <w:p>
            <w:pPr>
              <w:jc w:val="left"/>
            </w:pPr>
            <w:r>
              <w:rPr>
                <w:rFonts w:ascii="Times New Roman" w:hAnsi="Times New Roman" w:eastAsia="FangSong"/>
                <w:b w:val="0"/>
                <w:i w:val="0"/>
                <w:color w:val="000000"/>
                <w:sz w:val="24"/>
                <w:u w:val="none"/>
              </w:rPr>
              <w:t>Aeonix SIP Trunk/Gateway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32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3年服务费</w:t>
            </w:r>
          </w:p>
        </w:tc>
        <w:tc>
          <w:tcPr>
            <w:tcW w:type="dxa" w:w="1441"/>
            <w:tcW w:w="0" w:type="auto"/>
          </w:tcPr>
          <w:p>
            <w:pPr>
              <w:jc w:val="left"/>
            </w:pPr>
            <w:r>
              <w:rPr>
                <w:rFonts w:ascii="Times New Roman" w:hAnsi="Times New Roman" w:eastAsia="FangSong"/>
                <w:b w:val="0"/>
                <w:i w:val="0"/>
                <w:color w:val="000000"/>
                <w:sz w:val="24"/>
                <w:u w:val="none"/>
              </w:rPr>
              <w:t>Partner Support  (3 Years, SW Only)</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安装材料</w:t>
            </w:r>
          </w:p>
        </w:tc>
        <w:tc>
          <w:tcPr>
            <w:tcW w:type="dxa" w:w="1441"/>
            <w:tcW w:w="0" w:type="auto"/>
          </w:tcPr>
          <w:p>
            <w:pPr>
              <w:jc w:val="left"/>
            </w:pPr>
            <w:r>
              <w:rPr>
                <w:rFonts w:ascii="Times New Roman" w:hAnsi="Times New Roman" w:eastAsia="FangSong"/>
                <w:b w:val="0"/>
                <w:i w:val="0"/>
                <w:color w:val="000000"/>
                <w:sz w:val="24"/>
                <w:u w:val="none"/>
              </w:rPr>
              <w:t>安装辅材</w:t>
            </w:r>
          </w:p>
        </w:tc>
        <w:tc>
          <w:tcPr>
            <w:tcW w:type="dxa" w:w="1441"/>
            <w:tcW w:w="0" w:type="auto"/>
          </w:tcPr>
          <w:p>
            <w:pPr>
              <w:jc w:val="left"/>
            </w:pPr>
            <w:r>
              <w:rPr>
                <w:rFonts w:ascii="Times New Roman" w:hAnsi="Times New Roman" w:eastAsia="FangSong"/>
                <w:b w:val="0"/>
                <w:i w:val="0"/>
                <w:color w:val="000000"/>
                <w:sz w:val="24"/>
                <w:u w:val="none"/>
              </w:rPr>
              <w:t>根</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技术资料</w:t>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t>项</w:t>
            </w:r>
          </w:p>
        </w:tc>
        <w:tc>
          <w:tcPr>
            <w:tcW w:type="dxa" w:w="1441"/>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虚拟化一体机</w:t>
            </w:r>
          </w:p>
        </w:tc>
        <w:tc>
          <w:tcPr>
            <w:tcW w:type="dxa" w:w="1729"/>
            <w:tcW w:w="0" w:type="auto"/>
          </w:tcPr>
          <w:p>
            <w:pPr>
              <w:jc w:val="left"/>
            </w:pPr>
            <w:r>
              <w:rPr>
                <w:rFonts w:ascii="Times New Roman" w:hAnsi="Times New Roman" w:eastAsia="FangSong"/>
                <w:b w:val="0"/>
                <w:i w:val="0"/>
                <w:color w:val="000000"/>
                <w:sz w:val="24"/>
                <w:u w:val="none"/>
              </w:rPr>
              <w:t>硬件参数：规格：2U，CPU：2颗Intel Xeon Gold 6526Y CPU@2.80GHZ（16C），内存：4*32GB DDR5 5600，系统盘：2*480GB SATA SSD，缓存盘：选配，数据盘：选配，标配盘位数：12，电源：白金，冗余电源，接口：4千兆电口+2万兆光口。</w:t>
              <w:br/>
              <w:br/>
              <w:t>3台* aServer-X5-2205标准产品 ,含：</w:t>
              <w:br/>
              <w:t>6套* 计算服务器虚拟化软件V6.0;</w:t>
              <w:br/>
              <w:t>6套* 网络虚拟化软件V6.0;</w:t>
              <w:br/>
              <w:t>6套* 安全虚拟化软件V6.0（企业版）;</w:t>
              <w:br/>
              <w:t>6套* 云计算管理软件V6.0  高级版;</w:t>
              <w:br/>
              <w:t xml:space="preserve">6套*  VDI云桌面管理软件 </w:t>
              <w:br/>
              <w:t>20台* 云桌面授权</w:t>
              <w:br/>
              <w:t>3年* SDDC基础运维软件V1.0（一体机版）;</w:t>
              <w:br/>
              <w:t>24条* 五代服务器选配内存32G(DDR5);</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企业级分布式存储</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SSD，缓存盘：选配，数据盘：选配，标配盘位数：12，电源：白金，冗余电源，接口：2千兆电口+4万兆光口。</w:t>
              <w:b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br/>
              <w:br/>
              <w:t>3台* aStor-EDS1250-W标准产品 ,含：</w:t>
              <w:br/>
              <w:t>2套* 企业级安全分布式存储软件V5.0（EDS均衡型存储授权-100T）;</w:t>
              <w:br/>
              <w:t>6个* 国产固态硬盘-3.84T-U.2 NVME SSD(读密集型);</w:t>
              <w:br/>
              <w:t>24个* 机械硬盘8T;</w:t>
              <w:br/>
              <w:t>6条* 服务器选配内存32G（X86架构通用）;</w:t>
              <w:br/>
              <w:t>3年* EDS基础运维服务;</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容器引擎</w:t>
            </w:r>
          </w:p>
        </w:tc>
        <w:tc>
          <w:tcPr>
            <w:tcW w:type="dxa" w:w="1729"/>
            <w:tcW w:w="0" w:type="auto"/>
          </w:tcPr>
          <w:p>
            <w:pPr>
              <w:jc w:val="left"/>
            </w:pPr>
            <w:r>
              <w:rPr>
                <w:rFonts w:ascii="Times New Roman" w:hAnsi="Times New Roman" w:eastAsia="FangSong"/>
                <w:b w:val="0"/>
                <w:i w:val="0"/>
                <w:color w:val="000000"/>
                <w:sz w:val="24"/>
                <w:u w:val="none"/>
              </w:rPr>
              <w:t>含：</w:t>
              <w:br/>
              <w:t>200套* 深信服容器引擎软件V1.0;</w:t>
              <w:br/>
              <w:t>3年* 软件升级(适用于深信服容器引擎（SKE）);</w:t>
              <w:br/>
              <w:t>5人天* 部署服务;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数据库管理平台</w:t>
            </w:r>
          </w:p>
        </w:tc>
        <w:tc>
          <w:tcPr>
            <w:tcW w:type="dxa" w:w="1729"/>
            <w:tcW w:w="0" w:type="auto"/>
          </w:tcPr>
          <w:p>
            <w:pPr>
              <w:jc w:val="left"/>
            </w:pPr>
            <w:r>
              <w:rPr>
                <w:rFonts w:ascii="Times New Roman" w:hAnsi="Times New Roman" w:eastAsia="FangSong"/>
                <w:b w:val="0"/>
                <w:i w:val="0"/>
                <w:color w:val="000000"/>
                <w:sz w:val="24"/>
                <w:u w:val="none"/>
              </w:rPr>
              <w:t>含：</w:t>
              <w:br/>
              <w:t>1套* 数据库负载组件;</w:t>
              <w:br/>
              <w:t>5套* 深信服数据库管理平台软件V2.0;</w:t>
              <w:br/>
              <w:t>3年* 软件升级;</w:t>
              <w:br/>
              <w:t>5套* DMP平台部署实施服务;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企业级数据备份与恢复系统</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SSD，缓存盘：选配，数据盘：选配，标配盘位数：12，电源：白金，冗余电源，接口：2千兆电口+2万兆光口。</w:t>
              <w:br/>
              <w:br/>
              <w:t>1台* aStor-Backup-1250W标准产品 ,含：</w:t>
              <w:br/>
              <w:t>1套* 深信服企业级数据备份与恢复系统软件V3.0（50T)-标准版(SpecialBackup);</w:t>
              <w:br/>
              <w:t>1个* 服务器机械硬盘64T（8*8T）;</w:t>
              <w:br/>
              <w:t>2个* 光纤线-多模-LC-LC-5M;</w:t>
              <w:br/>
              <w:t>2个* 万兆多模-850-300m-双纤;</w:t>
              <w:br/>
              <w:t>3年* 备份软件升级服务【含软件升级（适用于（SpecialBackup）软件版本）】;</w:t>
              <w:br/>
              <w:t>3年* 产品质保（标准版）;</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全网行为管理</w:t>
            </w:r>
          </w:p>
        </w:tc>
        <w:tc>
          <w:tcPr>
            <w:tcW w:type="dxa" w:w="1729"/>
            <w:tcW w:w="0" w:type="auto"/>
          </w:tcPr>
          <w:p>
            <w:pPr>
              <w:jc w:val="left"/>
            </w:pPr>
            <w:r>
              <w:rPr>
                <w:rFonts w:ascii="Times New Roman" w:hAnsi="Times New Roman" w:eastAsia="FangSong"/>
                <w:b w:val="0"/>
                <w:i w:val="0"/>
                <w:color w:val="000000"/>
                <w:sz w:val="24"/>
                <w:u w:val="none"/>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br/>
              <w:t>硬件参数：规格：1U，内存大小：4G，硬盘容量：128G SSD，电源：单电源，接口：6千兆电口。</w:t>
              <w:br/>
              <w:t>功能描述：全网行为管理聚焦企事业组织网络行为安全，实现全网资产、身份、行为可视可控，智能感知内部威胁风险，帮助用户构建有效防御体系。</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下一代防火墙</w:t>
            </w:r>
          </w:p>
        </w:tc>
        <w:tc>
          <w:tcPr>
            <w:tcW w:type="dxa" w:w="1729"/>
            <w:tcW w:w="0" w:type="auto"/>
          </w:tcPr>
          <w:p>
            <w:pPr>
              <w:jc w:val="left"/>
            </w:pPr>
            <w:r>
              <w:rPr>
                <w:rFonts w:ascii="Times New Roman" w:hAnsi="Times New Roman" w:eastAsia="FangSong"/>
                <w:b w:val="0"/>
                <w:i w:val="0"/>
                <w:color w:val="000000"/>
                <w:sz w:val="24"/>
                <w:u w:val="none"/>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br/>
              <w:t>硬件参数：规格：1U，内存大小：4G，硬盘容量：128G SSD，电源：单电源，接口：8千兆电口+2千兆光口SFP。</w:t>
              <w:br/>
              <w:t>功能描述：下一代防火墙以保障用户核心资产为目标，提供L2-L7层各类威胁的检测和防护，是一款能够有效应对传统网络攻击和未知威胁攻击的网络安全产品。</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日志审计分析管理系统软件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1套* 深信服日志审计分析管理系统软件V3.0 ,含：</w:t>
              <w:br/>
              <w:t>3年* 软件升级;</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运维安全管理系统软件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提供运维人员单点登录、用户权限细粒度授权及访问控制、运维过程审计等功能，并满足等级保护三级建设要求</w:t>
              <w:br/>
              <w:t>1套* 深信服运维安全管理系统软件V3.0(适用于OSM-1000-V50，堡垒主机内控管理平台S50) ,含：</w:t>
              <w:br/>
              <w:t>3年* 软件升级（OSM-1000-V50);</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统一端点安全管理系统</w:t>
            </w:r>
          </w:p>
        </w:tc>
        <w:tc>
          <w:tcPr>
            <w:tcW w:type="dxa" w:w="1729"/>
            <w:tcW w:w="0" w:type="auto"/>
          </w:tcPr>
          <w:p>
            <w:pPr>
              <w:jc w:val="left"/>
            </w:pPr>
            <w:r>
              <w:rPr>
                <w:rFonts w:ascii="Times New Roman" w:hAnsi="Times New Roman" w:eastAsia="FangSong"/>
                <w:b w:val="0"/>
                <w:i w:val="0"/>
                <w:color w:val="000000"/>
                <w:sz w:val="24"/>
                <w:u w:val="none"/>
              </w:rPr>
              <w:t>性能参数：最大支持管控aES客户端数量：1W点。</w:t>
              <w:br/>
              <w:br/>
              <w:t>安全策略模板一体化设置，全网资产盘点与风险可视，自动化日志可视化报表一键导出，管理账号分权分域，总分平台级联控制；管理平台需搭配客户端软件一齐使用，单独购买无效，含1年升级维护费用</w:t>
              <w:br/>
              <w:br/>
              <w:t>1套* 统一端点安全管理系统软件V6.0（产品控制中心） ,含：</w:t>
              <w:br/>
              <w:t>150套* 端点安全软件V6.0（PC全量版）;</w:t>
              <w:br/>
              <w:t>20套* 端点安全软件V6.0（服务器全量版）;</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零信任</w:t>
            </w:r>
          </w:p>
        </w:tc>
        <w:tc>
          <w:tcPr>
            <w:tcW w:type="dxa" w:w="1729"/>
            <w:tcW w:w="0" w:type="auto"/>
          </w:tcPr>
          <w:p>
            <w:pPr>
              <w:jc w:val="left"/>
            </w:pPr>
            <w:r>
              <w:rPr>
                <w:rFonts w:ascii="Times New Roman" w:hAnsi="Times New Roman" w:eastAsia="FangSong"/>
                <w:b w:val="0"/>
                <w:i w:val="0"/>
                <w:color w:val="000000"/>
                <w:sz w:val="24"/>
                <w:u w:val="none"/>
              </w:rPr>
              <w:t>SSL性能参数：最大理论加密流量（Mbps）：300，最大理论建议并发用户数：400，最大理论https并发连接数（个）：15000，理论https新建连接数（个/秒）：60；IPSEC性能参数：加密最大流量（Mbps）：85，理论并发隧道数（Tunnel）：300。</w:t>
              <w:br/>
              <w:t>硬件参数：规格：1U，内存大小：16G，硬盘容量：128G SSD，电源：单电源，接口：8千兆电口+2万兆光口SFP+。</w:t>
              <w:br/>
              <w:t>1台* aTrust-1000-B1030M标准产品 ,含：</w:t>
              <w:br/>
              <w:t>1套* 零信任访问控制系统软件V2.0;</w:t>
              <w:br/>
              <w:t>200套* 零信任接入授权（授权买断）;</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私有云平台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为保障平台上运行业务的安全防护和扩展性和兼容性，平台支持扩展同一品牌的虚拟应用防火墙、虚拟应用交付、SSL VPN软件、数据库审计软件等组件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金诚信矿业股份有限公司</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