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AI投标辅助工具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一、项目背景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二、项目建设目标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三、目标用户与使用方式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销售/售前人员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投标专员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四、整体业务流程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五、核心需求分析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严格目录结构生成（核心需求）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需求说明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固定格式内容自动填充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内容类型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逐条响应内容生成（重点能力）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适用内容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技术类内容辅助生成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生成依据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企业资料支持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6. Word文档生成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六、核心能力模型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招标文件解析能力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模板识别与填充能力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技术内容生成能力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文档生成能力</w:t>
      </w:r>
      <w:r>
        <w:tab/>
      </w:r>
      <w:r>
        <w:rPr>
          <w:color w:val="999999"/>
        </w:rPr>
        <w:t>...</w:t>
      </w:r>
    </w:p>
    <w:p>
      <w:r>
        <w:rPr>
          <w:b/>
        </w:rPr>
        <w:t>七、AI能力边界说明（非常重要）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AI适合做的部分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AI不适合完全自动化的部分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建议模式</w:t>
      </w:r>
      <w:r>
        <w:tab/>
      </w:r>
      <w:r>
        <w:rPr>
          <w:color w:val="999999"/>
        </w:rPr>
        <w:t>...</w:t>
      </w:r>
    </w:p>
    <w:p>
      <w:r>
        <w:rPr>
          <w:b/>
        </w:rPr>
        <w:t>八、本项目明确“不做”的内容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不做偏离分析判断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不做完全自动标书生成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不做多人协同编辑（当前阶段）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不做复杂系统集成（当前阶段）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不做中标概率预测</w:t>
      </w:r>
      <w:r>
        <w:tab/>
      </w:r>
      <w:r>
        <w:rPr>
          <w:color w:val="999999"/>
        </w:rPr>
        <w:t>...</w:t>
      </w:r>
    </w:p>
    <w:p>
      <w:r>
        <w:rPr>
          <w:b/>
        </w:rPr>
        <w:t>九、核心价值总结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提高效率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降低错误率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减少重复劳动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提升内容质量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标准化投标流程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十、技术可行性分析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文档解析技术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大模型能力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知识库能力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文档生成技术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十一、实施建议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第一阶段（建议优先落地）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第二阶段（优化）</w:t>
      </w:r>
      <w:r>
        <w:tab/>
      </w:r>
      <w:r>
        <w:rPr>
          <w:color w:val="999999"/>
        </w:rPr>
        <w:t>...</w:t>
      </w:r>
    </w:p>
    <w:p>
      <w:r>
        <w:rPr>
          <w:b/>
        </w:rPr>
        <w:t>十二、风险与建议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风险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十三、结论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AI投标文件编制辅助系统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调研报告与可行性建议（完整版）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项目背景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在教育及文化行业的文献资料采购类项目中，投标文件编制通常存在如下问题：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招标文件结构复杂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投标文件章节、顺序、格式要求严格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人工拆解目录耗时且容易出错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重复性工作多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投标函、授权书、声明函等大量重复填写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基础信息反复录入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逐条响应工作繁琐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技术参数、服务条款需逐条应答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表格多、格式严格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技术方案编写效率低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售后、实施、培训、团队等内容反复编写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难以快速复用历史资料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排版与整理工作复杂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Word格式要求严格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需要投标专员反复整理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建设一套：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“AI投标文件编制辅助系统（严格响应型）”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实现以下目标：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严格按招标文件要求生成投标文件结构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自动填充基础信息，减少重复劳动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自动生成逐条响应内容，提高效率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辅助生成技术类章节内容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输出可编辑Word文档，方便最终整理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目标用户与使用方式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销售/售前人员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技术方案撰写与优化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技术响应内容确认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案例与方案调整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是否满足评分要求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投标专员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商务信息填写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资质材料整理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文档结构与排版整理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格式合规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是否漏项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文档完整性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整体业务流程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上传招标文件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AI解析招标要求（目录 + 模板 + 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自动填充基础信息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逐条响应内容生成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技术章节辅助撰写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用户调整与完善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导出Word文件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核心需求分析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严格目录结构生成（核心需求）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需求说明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投标文件必须严格按照招标文件规定的：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章节顺序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子章节结构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进行编排，例如：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第一章 投标函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第二章 报价函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第三章 授权书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第四章 资格证明文件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第五章 技术响应文件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不允许AI自由生成目录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必须从招标文件中提取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必须保持一致性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固定格式内容自动填充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内容类型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报价函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授权书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声明函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承诺函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资格证明文件说明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自动识别模板内容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自动抽取字段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招标编号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法人信息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日期等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逐条响应内容生成（重点能力）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适用内容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技术参数响应表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商务条款响应表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服务条款响应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偏离表（按格式填写）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提取原始表格结构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保持原字段不变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按条款逐条生成响应内容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支持人工逐条修改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技术类内容辅助生成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支持模块（可枚举配置）：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实施方案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售后服务方案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培训方案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项目团队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项目业绩与案例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服务承诺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质量保障措施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进度计划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生成依据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历史投标文件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企业资料支持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初期方式：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手动上传资料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支持内容：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历史标书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公司介绍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项目案例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人员简历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Word文档生成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标准Word文档（.docx）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保持章节结构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支持目录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支持后续人工修改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便于投标专员整理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核心能力模型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招标文件解析能力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提取目录结构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提取固定模板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提取表格与条款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模板识别与填充能力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识别函件模板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条款拆解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内容应答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技术内容生成能力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基于企业资料生成内容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支持结构化输出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支持多轮修改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结构化拼装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Word输出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格式基础控制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AI能力边界说明（非常重要）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AI适合做的部分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文档结构提取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模板识别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内容生成（技术类）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条款理解与应答生成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AI不适合完全自动化的部分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最终内容确认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法律/合规责任判断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100%无误的结构解析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AI生成 + 人工确认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本项目明确“不做”的内容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不做偏离分析判断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实际投标不允许负偏离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采用逐条应答方式替代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不做完全自动标书生成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不符合实际业务流程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不做多人协同编辑（当前阶段）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不做复杂系统集成（当前阶段）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不做中标概率预测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核心价值总结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投标文件编制效率提升30%~60%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降低错误率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结构错误减少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漏项减少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模板自动填充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内容复用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提升内容质量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技术方案更规范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表达更专业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标准化投标流程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技术可行性分析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文档解析技术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支持Word/PDF解析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可提取结构与内容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大模型能力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可理解招标文件语义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可生成结构化内容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知识库能力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支持历史标书复用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支持语义检索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Word自动生成成熟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实施建议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第一阶段（建议优先落地）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招标解析（半自动）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Word导出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第二阶段（优化）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知识库增强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自动检查能力增强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风险与建议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风险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招标文件格式差异大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AI输出需人工校验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企业资料质量影响效果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建立标准资料库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采用人机协同模式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分阶段推进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结论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本项目具备明确业务价值与技术可行性。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建议优先建设“严格响应型AI投标辅助系统”，</w:t>
        <w:br/>
        <w:t>通过半自动方式实现投标文件编制效率提升与质量提升。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AI投标辅助工具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isLgl/>
    <w:lvl w:ilvl="0">
      <w:start w:val="1"/>
      <w:numFmt w:val="decimal"/>
      <w:lvlText w:val="第%1章  "/>
      <w:lvlJc w:val="left"/>
      <w:pPr>
        <w:tabs>
          <w:tab w:val="num" w:pos="0"/>
        </w:tabs>
        <w:ind w:left="0"/>
      </w:pPr>
      <w:rPr>
        <w:rFonts w:ascii="Times New Roman" w:hAnsi="Times New Roman"/>
        <w:sz w:val="32"/>
        <w:color w:val="000000"/>
        <w:b w:val="true"/>
      </w:rPr>
    </w:lvl>
    <w:lvl w:ilvl="1">
      <w:start w:val="1"/>
      <w:numFmt w:val="decimal"/>
      <w:lvlText w:val="%1.%2.  "/>
      <w:lvlJc w:val="left"/>
      <w:lvlRestart w:val="true"/>
      <w:pPr>
        <w:tabs>
          <w:tab w:val="num" w:pos="0"/>
        </w:tabs>
        <w:ind w:left="0" w:firstLine="0"/>
      </w:pPr>
      <w:rPr>
        <w:rFonts w:ascii="Times New Roman" w:hAnsi="Times New Roman"/>
        <w:sz w:val="30"/>
        <w:color w:val="000000"/>
        <w:b w:val="true"/>
      </w:rPr>
    </w:lvl>
    <w:lvl w:ilvl="2">
      <w:start w:val="1"/>
      <w:numFmt w:val="decimal"/>
      <w:lvlText w:val="%1.%2.%3.  "/>
      <w:lvlJc w:val="left"/>
      <w:lvlRestart w:val="true"/>
      <w:pPr>
        <w:tabs>
          <w:tab w:val="num" w:pos="0"/>
        </w:tabs>
        <w:ind w:left="0" w:firstLine="0"/>
      </w:pPr>
      <w:rPr>
        <w:rFonts w:ascii="Times New Roman" w:hAnsi="Times New Roman"/>
        <w:sz w:val="28"/>
        <w:color w:val="000000"/>
        <w:b w:val="true"/>
      </w:rPr>
    </w:lvl>
    <w:lvl w:ilvl="3">
      <w:start w:val="1"/>
      <w:numFmt w:val="decimal"/>
      <w:lvlText w:val="%1.%2.%3.%4.  "/>
      <w:lvlJc w:val="left"/>
      <w:lvlRestart w:val="true"/>
      <w:pPr>
        <w:tabs>
          <w:tab w:val="num" w:pos="0"/>
        </w:tabs>
        <w:ind w:left="0" w:firstLine="0"/>
      </w:pPr>
      <w:rPr>
        <w:rFonts w:ascii="Times New Roman" w:hAnsi="Times New Roman"/>
        <w:sz w:val="24"/>
        <w:color w:val="000000"/>
        <w:b w:val="tru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