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金诚信矿业股份有限公司</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2026年04月03日</w:t>
      </w:r>
    </w:p>
    <w:p>
      <w:pPr>
        <w:jc w:val="center"/>
        <w:spacing w:before="141"/>
      </w:pPr>
      <w:r>
        <w:rPr>
          <w:rFonts w:ascii="SimSun" w:hAnsi="SimSun" w:eastAsia="SimSun"/>
          <w:b w:val="0"/>
          <w:i w:val="0"/>
          <w:color w:val="000000"/>
          <w:sz w:val="28"/>
          <w:u w:val="none"/>
        </w:rPr>
        <w:t>v1.0</w:t>
      </w:r>
    </w:p>
    <w:p>
      <w:r>
        <w:br w:type="page"/>
      </w:r>
    </w:p>
    <w:p>
      <w:pPr>
        <w:jc w:val="center"/>
      </w:pPr>
      <w:r>
        <w:t>Table of Contents</w:t>
      </w:r>
    </w:p>
    <w:p>
      <w:r>
        <w:fldChar w:fldCharType="begin" w:dirty="true"/>
      </w:r>
      <w:r>
        <w:instrText xml:space="preserve"> TOC \o "1-3" \h \z \u </w:instrText>
      </w:r>
      <w:r>
        <w:fldChar w:fldCharType="separate"/>
      </w:r>
    </w:p>
    <w:p>
      <w:r>
        <w:rPr>
          <w:b/>
        </w:rPr>
        <w:t>一、项目概况</w:t>
      </w:r>
      <w:r>
        <w:tab/>
      </w:r>
      <w:r>
        <w:rPr>
          <w:color w:val="999999"/>
        </w:rPr>
        <w:t>...</w:t>
      </w:r>
    </w:p>
    <w:p>
      <w:pPr>
        <w:ind w:left="227"/>
      </w:pPr>
      <w:r>
        <w:t>1.1项目背景</w:t>
      </w:r>
      <w:r>
        <w:tab/>
      </w:r>
      <w:r>
        <w:rPr>
          <w:color w:val="999999"/>
        </w:rPr>
        <w:t>...</w:t>
      </w:r>
    </w:p>
    <w:p>
      <w:pPr>
        <w:ind w:left="227"/>
      </w:pPr>
      <w:r>
        <w:t>1.2建设内容</w:t>
      </w:r>
      <w:r>
        <w:tab/>
      </w:r>
      <w:r>
        <w:rPr>
          <w:color w:val="999999"/>
        </w:rPr>
        <w:t>...</w:t>
      </w:r>
    </w:p>
    <w:p>
      <w:pPr>
        <w:ind w:left="454"/>
      </w:pPr>
      <w:r>
        <w:t>机房环境改造：</w:t>
      </w:r>
      <w:r>
        <w:tab/>
      </w:r>
      <w:r>
        <w:rPr>
          <w:color w:val="999999"/>
        </w:rPr>
        <w:t>...</w:t>
      </w:r>
    </w:p>
    <w:p>
      <w:pPr>
        <w:ind w:left="454"/>
      </w:pPr>
      <w:r>
        <w:t>基础网络环境改造</w:t>
      </w:r>
      <w:r>
        <w:tab/>
      </w:r>
      <w:r>
        <w:rPr>
          <w:color w:val="999999"/>
        </w:rPr>
        <w:t>...</w:t>
      </w:r>
    </w:p>
    <w:p>
      <w:pPr>
        <w:ind w:left="454"/>
      </w:pPr>
      <w:r>
        <w:t>内线电话（工作座机）更新</w:t>
      </w:r>
      <w:r>
        <w:tab/>
      </w:r>
      <w:r>
        <w:rPr>
          <w:color w:val="999999"/>
        </w:rPr>
        <w:t>...</w:t>
      </w:r>
    </w:p>
    <w:p>
      <w:pPr>
        <w:ind w:left="454"/>
      </w:pPr>
      <w:r>
        <w:t>私有云平台建设</w:t>
      </w:r>
      <w:r>
        <w:tab/>
      </w:r>
      <w:r>
        <w:rPr>
          <w:color w:val="999999"/>
        </w:rPr>
        <w:t>...</w:t>
      </w:r>
    </w:p>
    <w:p>
      <w:r>
        <w:rPr>
          <w:b/>
        </w:rPr>
        <w:t>一、 项目背景与现状挑战</w:t>
      </w:r>
      <w:r>
        <w:tab/>
      </w:r>
      <w:r>
        <w:rPr>
          <w:color w:val="999999"/>
        </w:rPr>
        <w:t>...</w:t>
      </w:r>
    </w:p>
    <w:p>
      <w:r>
        <w:rPr>
          <w:b/>
        </w:rPr>
        <w:t>二、 建设目标</w:t>
      </w:r>
      <w:r>
        <w:tab/>
      </w:r>
      <w:r>
        <w:rPr>
          <w:color w:val="999999"/>
        </w:rPr>
        <w:t>...</w:t>
      </w:r>
    </w:p>
    <w:p>
      <w:r>
        <w:rPr>
          <w:b/>
        </w:rPr>
        <w:t>三、 详细建设方案</w:t>
      </w:r>
      <w:r>
        <w:tab/>
      </w:r>
      <w:r>
        <w:rPr>
          <w:color w:val="999999"/>
        </w:rPr>
        <w:t>...</w:t>
      </w:r>
    </w:p>
    <w:p>
      <w:pPr>
        <w:ind w:left="227"/>
      </w:pPr>
      <w:r>
        <w:t>信息安全建设</w:t>
      </w:r>
      <w:r>
        <w:tab/>
      </w:r>
      <w:r>
        <w:rPr>
          <w:color w:val="999999"/>
        </w:rPr>
        <w:t>...</w:t>
      </w:r>
    </w:p>
    <w:p>
      <w:r>
        <w:rPr>
          <w:b/>
        </w:rPr>
        <w:t>三、需求清单</w:t>
      </w:r>
      <w:r>
        <w:tab/>
      </w:r>
      <w:r>
        <w:rPr>
          <w:color w:val="999999"/>
        </w:rPr>
        <w:t>...</w:t>
      </w:r>
    </w:p>
    <w:p>
      <w:pPr>
        <w:ind w:left="227"/>
      </w:pPr>
      <w:r>
        <w:t>3.1 交换机</w:t>
      </w:r>
      <w:r>
        <w:tab/>
      </w:r>
      <w:r>
        <w:rPr>
          <w:color w:val="999999"/>
        </w:rPr>
        <w:t>...</w:t>
      </w:r>
    </w:p>
    <w:p>
      <w:pPr>
        <w:ind w:left="227"/>
      </w:pPr>
      <w:r>
        <w:t>3.2 语音电话</w:t>
      </w:r>
      <w:r>
        <w:tab/>
      </w:r>
      <w:r>
        <w:rPr>
          <w:color w:val="999999"/>
        </w:rPr>
        <w:t>...</w:t>
      </w:r>
    </w:p>
    <w:p>
      <w:pPr>
        <w:ind w:left="227"/>
      </w:pPr>
      <w:r>
        <w:t>3.3 服务器和存储</w:t>
      </w:r>
      <w:r>
        <w:tab/>
      </w:r>
      <w:r>
        <w:rPr>
          <w:color w:val="999999"/>
        </w:rPr>
        <w:t>...</w:t>
      </w:r>
    </w:p>
    <w:p>
      <w:pPr>
        <w:ind w:left="227"/>
      </w:pPr>
      <w:r>
        <w:t>3.4 安全</w:t>
      </w:r>
      <w:r>
        <w:tab/>
      </w:r>
      <w:r>
        <w:rPr>
          <w:color w:val="999999"/>
        </w:rPr>
        <w:t>...</w:t>
      </w:r>
    </w:p>
    <w:p>
      <w:pPr>
        <w:ind w:left="227"/>
      </w:pPr>
      <w:r>
        <w:t>3.5 招标参数推荐</w:t>
      </w:r>
      <w:r>
        <w:tab/>
      </w:r>
      <w:r>
        <w:rPr>
          <w:color w:val="999999"/>
        </w:rPr>
        <w:t>...</w:t>
      </w:r>
    </w:p>
    <w:p>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一、项目概况</w:t>
      </w:r>
    </w:p>
    <w:p>
      <w:pPr>
        <w:pStyle w:val="Heading2"/>
        <w:jc w:val="left"/>
        <w:spacing w:before="0" w:after="0" w:line="360" w:lineRule="auto"/>
      </w:pPr>
      <w:r>
        <w:rPr>
          <w:rFonts w:ascii="Times New Roman" w:hAnsi="Times New Roman" w:eastAsia="宋体"/>
          <w:b/>
          <w:i w:val="0"/>
          <w:color w:val="000000"/>
          <w:sz w:val="30"/>
          <w:u w:val="none"/>
        </w:rPr>
        <w:t>1.1项目背景</w:t>
      </w:r>
    </w:p>
    <w:p>
      <w:pPr>
        <w:ind w:firstLineChars="200"/>
        <w:spacing w:before="0" w:after="0" w:line="360" w:lineRule="auto"/>
      </w:pPr>
      <w:r>
        <w:rPr>
          <w:rFonts w:ascii="Times New Roman" w:hAnsi="Times New Roman" w:eastAsia="宋体"/>
          <w:b w:val="0"/>
          <w:i w:val="0"/>
          <w:color w:val="000000"/>
          <w:sz w:val="24"/>
          <w:u w:val="none"/>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pPr>
        <w:ind w:firstLineChars="200"/>
        <w:spacing w:before="0" w:after="0" w:line="360" w:lineRule="auto"/>
      </w:pPr>
      <w:r>
        <w:rPr>
          <w:rFonts w:ascii="Times New Roman" w:hAnsi="Times New Roman" w:eastAsia="宋体"/>
          <w:b w:val="0"/>
          <w:i w:val="0"/>
          <w:color w:val="000000"/>
          <w:sz w:val="24"/>
          <w:u w:val="none"/>
        </w:rPr>
        <w:t>公司IT机房设在城隍国际B座8层，面积6m*4m，铺设防静电地板，其中服务器机柜2台、网络机柜2台，服务器12台、存储3台、网络设备10台，UPS1台、立式空调1部；</w:t>
      </w:r>
    </w:p>
    <w:p>
      <w:pPr>
        <w:ind w:firstLineChars="200"/>
        <w:spacing w:before="0" w:after="0" w:line="360" w:lineRule="auto"/>
      </w:pPr>
      <w:r>
        <w:rPr>
          <w:rFonts w:ascii="Times New Roman" w:hAnsi="Times New Roman" w:eastAsia="宋体"/>
          <w:b w:val="0"/>
          <w:i w:val="0"/>
          <w:color w:val="000000"/>
          <w:sz w:val="24"/>
          <w:u w:val="none"/>
        </w:rPr>
        <w:t>业务系统5套， 主要部署在物理服务器及部分vmware虚拟化平台上；</w:t>
      </w:r>
    </w:p>
    <w:p>
      <w:pPr>
        <w:ind w:firstLineChars="200"/>
        <w:spacing w:before="0" w:after="0" w:line="360" w:lineRule="auto"/>
      </w:pPr>
      <w:r>
        <w:rPr>
          <w:rFonts w:ascii="Times New Roman" w:hAnsi="Times New Roman" w:eastAsia="宋体"/>
          <w:b w:val="0"/>
          <w:i w:val="0"/>
          <w:color w:val="000000"/>
          <w:sz w:val="24"/>
          <w:u w:val="none"/>
        </w:rPr>
        <w:t>核心数据库数据量约500GB、论文资料PDF格式约10TB、办公及邮件附件约2TB；</w:t>
      </w:r>
    </w:p>
    <w:p>
      <w:pPr>
        <w:ind w:firstLineChars="200"/>
        <w:spacing w:before="0" w:after="0" w:line="360" w:lineRule="auto"/>
      </w:pPr>
      <w:r>
        <w:rPr>
          <w:rFonts w:ascii="Times New Roman" w:hAnsi="Times New Roman" w:eastAsia="宋体"/>
          <w:b w:val="0"/>
          <w:i w:val="0"/>
          <w:color w:val="000000"/>
          <w:sz w:val="24"/>
          <w:u w:val="none"/>
        </w:rPr>
        <w:t>员工（100人左右）通过有线和无线两种方式接入公司网络，出口带宽150Mbps；望京分支通过点对点专线与本部互联；武汉分公司员工5-10人，通过ADSL拨号接入互联网，访问公司业务系统。</w:t>
      </w:r>
    </w:p>
    <w:p>
      <w:r>
        <w:br w:type="page"/>
      </w:r>
    </w:p>
    <w:p>
      <w:pPr>
        <w:pStyle w:val="Heading2"/>
        <w:jc w:val="left"/>
        <w:spacing w:before="0" w:after="0" w:line="360" w:lineRule="auto"/>
      </w:pPr>
      <w:r>
        <w:rPr>
          <w:rFonts w:ascii="Times New Roman" w:hAnsi="Times New Roman" w:eastAsia="宋体"/>
          <w:b/>
          <w:i w:val="0"/>
          <w:color w:val="000000"/>
          <w:sz w:val="30"/>
          <w:u w:val="none"/>
        </w:rPr>
        <w:t>1.2建设内容</w:t>
      </w:r>
    </w:p>
    <w:p>
      <w:pPr>
        <w:ind w:firstLineChars="200"/>
        <w:spacing w:before="0" w:after="0" w:line="360" w:lineRule="auto"/>
      </w:pPr>
      <w:r>
        <w:rPr>
          <w:rFonts w:ascii="Times New Roman" w:hAnsi="Times New Roman" w:eastAsia="宋体"/>
          <w:b w:val="0"/>
          <w:i w:val="0"/>
          <w:color w:val="000000"/>
          <w:sz w:val="24"/>
          <w:u w:val="none"/>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pPr>
        <w:ind w:firstLineChars="200"/>
        <w:spacing w:before="0" w:after="0" w:line="360" w:lineRule="auto"/>
      </w:pPr>
      <w:r>
        <w:rPr>
          <w:rFonts w:ascii="Times New Roman" w:hAnsi="Times New Roman" w:eastAsia="宋体"/>
          <w:b w:val="0"/>
          <w:i w:val="0"/>
          <w:color w:val="000000"/>
          <w:sz w:val="24"/>
          <w:u w:val="none"/>
        </w:rPr>
        <w:t>目前急需改善及建设的内容包括：</w:t>
      </w:r>
    </w:p>
    <w:p>
      <w:r>
        <w:br w:type="page"/>
      </w:r>
    </w:p>
    <w:p>
      <w:pPr>
        <w:pStyle w:val="Heading3"/>
        <w:jc w:val="left"/>
        <w:spacing w:before="0" w:after="0" w:line="360" w:lineRule="auto"/>
      </w:pPr>
      <w:r>
        <w:rPr>
          <w:rFonts w:ascii="Times New Roman" w:hAnsi="Times New Roman" w:eastAsia="宋体"/>
          <w:b/>
          <w:i w:val="0"/>
          <w:color w:val="000000"/>
          <w:sz w:val="28"/>
          <w:u w:val="none"/>
        </w:rPr>
        <w:t>机房环境改造：</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目前机房环境不满足等保要求，存在影响业务运行的风险（防静电地板、线缆、UPS老化，机柜空间不足，整体功率超负载运行），需要：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机房装修</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电气工程</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防雷接地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窗户封堵</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新风排风</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精密空调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消防气灭</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UPS电力</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机柜、布线</w:t>
      </w:r>
    </w:p>
    <w:p>
      <w:r>
        <w:br w:type="page"/>
      </w:r>
    </w:p>
    <w:p>
      <w:pPr>
        <w:pStyle w:val="Heading3"/>
        <w:jc w:val="left"/>
        <w:spacing w:before="0" w:after="0" w:line="360" w:lineRule="auto"/>
      </w:pPr>
      <w:r>
        <w:rPr>
          <w:rFonts w:ascii="Times New Roman" w:hAnsi="Times New Roman" w:eastAsia="宋体"/>
          <w:b/>
          <w:i w:val="0"/>
          <w:color w:val="000000"/>
          <w:sz w:val="28"/>
          <w:u w:val="none"/>
        </w:rPr>
        <w:t>基础网络环境改造</w:t>
      </w:r>
    </w:p>
    <w:p>
      <w:pPr>
        <w:ind w:firstLineChars="200"/>
        <w:spacing w:before="0" w:after="0" w:line="360" w:lineRule="auto"/>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接入交换机和核心交换机更换（7台24口接入、1台万兆核心）；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网络地址段规划及划分；（办公区、服务器区、互联网出口区等）</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基础网管功能启用，实现端口、链路状态可视，能快速定位风险及故障；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武汉分支机构安全、稳定接入北京办公区网络；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无线覆盖更新，AC一套、AP 8台；</w:t>
      </w:r>
    </w:p>
    <w:p>
      <w:r>
        <w:br w:type="page"/>
      </w:r>
    </w:p>
    <w:p>
      <w:pPr>
        <w:pStyle w:val="Heading3"/>
        <w:jc w:val="left"/>
        <w:spacing w:before="0" w:after="0" w:line="360" w:lineRule="auto"/>
      </w:pPr>
      <w:r>
        <w:rPr>
          <w:rFonts w:ascii="Times New Roman" w:hAnsi="Times New Roman" w:eastAsia="宋体"/>
          <w:b/>
          <w:i w:val="0"/>
          <w:color w:val="000000"/>
          <w:sz w:val="28"/>
          <w:u w:val="none"/>
        </w:rPr>
        <w:t>内线电话（工作座机）更新</w:t>
      </w:r>
    </w:p>
    <w:p>
      <w:pPr>
        <w:ind w:firstLineChars="200"/>
        <w:spacing w:before="0" w:after="0" w:line="360" w:lineRule="auto"/>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pPr>
        <w:ind w:firstLineChars="200"/>
        <w:spacing w:before="0" w:after="0" w:line="360" w:lineRule="auto"/>
      </w:pPr>
      <w:r>
        <w:rPr>
          <w:rFonts w:ascii="Times New Roman" w:hAnsi="Times New Roman" w:eastAsia="宋体"/>
          <w:b w:val="0"/>
          <w:i w:val="0"/>
          <w:color w:val="000000"/>
          <w:sz w:val="24"/>
          <w:u w:val="none"/>
        </w:rPr>
        <w:t>本次建设使用无线wifi座机替换现有座机，满足日常内部通讯需求。</w:t>
      </w:r>
    </w:p>
    <w:p>
      <w:pPr>
        <w:pStyle w:val="Heading4"/>
        <w:jc w:val="left"/>
      </w:pPr>
      <w:r>
        <w:rPr>
          <w:rFonts w:ascii="Times New Roman" w:hAnsi="Times New Roman"/>
          <w:b w:val="0"/>
          <w:i w:val="0"/>
          <w:color w:val="000000"/>
          <w:sz w:val="24"/>
          <w:u w:val="none"/>
        </w:rPr>
        <w:t>2.3.1 效果图片</w:t>
      </w:r>
    </w:p>
    <w:p>
      <w:pPr>
        <w:spacing w:before="283"/>
        <w:jc w:val="center"/>
      </w:pPr>
      <w:r>
        <w:drawing>
          <wp:inline xmlns:a="http://schemas.openxmlformats.org/drawingml/2006/main" xmlns:pic="http://schemas.openxmlformats.org/drawingml/2006/picture">
            <wp:extent cx="4666678" cy="3497250"/>
            <wp:docPr id="1" name="Picture 1"/>
            <wp:cNvGraphicFramePr>
              <a:graphicFrameLocks noChangeAspect="1"/>
            </wp:cNvGraphicFramePr>
            <a:graphic>
              <a:graphicData uri="http://schemas.openxmlformats.org/drawingml/2006/picture">
                <pic:pic>
                  <pic:nvPicPr>
                    <pic:cNvPr id="0" name="6ee2364d-8253-42d1-a948-9c99e83f712a.jpg"/>
                    <pic:cNvPicPr/>
                  </pic:nvPicPr>
                  <pic:blipFill>
                    <a:blip r:embed="rId9"/>
                    <a:stretch>
                      <a:fillRect/>
                    </a:stretch>
                  </pic:blipFill>
                  <pic:spPr>
                    <a:xfrm>
                      <a:off x="0" y="0"/>
                      <a:ext cx="4666678" cy="3497250"/>
                    </a:xfrm>
                    <a:prstGeom prst="rect"/>
                  </pic:spPr>
                </pic:pic>
              </a:graphicData>
            </a:graphic>
          </wp:inline>
        </w:drawing>
      </w:r>
    </w:p>
    <w:p>
      <w:pPr>
        <w:jc w:val="center"/>
      </w:pPr>
      <w:r>
        <w:rPr>
          <w:rFonts w:ascii="Times New Roman" w:hAnsi="Times New Roman" w:eastAsia="宋体"/>
          <w:b w:val="0"/>
          <w:i w:val="0"/>
          <w:color w:val="000000"/>
          <w:sz w:val="21"/>
          <w:u w:val="none"/>
        </w:rPr>
        <w:t>图1</w:t>
      </w:r>
    </w:p>
    <w:p>
      <w:pPr>
        <w:ind w:firstLineChars="200"/>
        <w:spacing w:before="0" w:after="0" w:line="360" w:lineRule="auto"/>
      </w:pPr>
      <w:r>
        <w:rPr>
          <w:rFonts w:ascii="Times New Roman" w:hAnsi="Times New Roman" w:eastAsia="宋体"/>
          <w:b w:val="0"/>
          <w:i w:val="0"/>
          <w:color w:val="000000"/>
          <w:sz w:val="24"/>
          <w:u w:val="none"/>
        </w:rPr>
        <w:t>图1</w:t>
      </w:r>
    </w:p>
    <w:p>
      <w:r>
        <w:br w:type="page"/>
      </w:r>
    </w:p>
    <w:p>
      <w:pPr>
        <w:pStyle w:val="Heading3"/>
        <w:jc w:val="left"/>
        <w:spacing w:before="0" w:after="0" w:line="360" w:lineRule="auto"/>
      </w:pPr>
      <w:r>
        <w:rPr>
          <w:rFonts w:ascii="Times New Roman" w:hAnsi="Times New Roman" w:eastAsia="宋体"/>
          <w:b/>
          <w:i w:val="0"/>
          <w:color w:val="000000"/>
          <w:sz w:val="28"/>
          <w:u w:val="none"/>
        </w:rPr>
        <w:t>私有云平台建设</w:t>
      </w:r>
    </w:p>
    <w:p>
      <w:pPr>
        <w:pStyle w:val="Heading1"/>
        <w:jc w:val="left"/>
        <w:spacing w:before="0" w:after="0" w:line="360" w:lineRule="auto"/>
      </w:pPr>
      <w:r>
        <w:rPr>
          <w:rFonts w:ascii="Times New Roman" w:hAnsi="Times New Roman" w:eastAsia="宋体"/>
          <w:b/>
          <w:i w:val="0"/>
          <w:color w:val="000000"/>
          <w:sz w:val="32"/>
          <w:u w:val="none"/>
        </w:rPr>
        <w:t>一、 项目背景与现状挑战</w:t>
      </w:r>
    </w:p>
    <w:p>
      <w:pPr>
        <w:ind w:firstLineChars="200"/>
        <w:spacing w:before="0" w:after="0" w:line="360" w:lineRule="auto"/>
      </w:pPr>
      <w:r>
        <w:rPr>
          <w:rFonts w:ascii="Times New Roman" w:hAnsi="Times New Roman" w:eastAsia="宋体"/>
          <w:b w:val="0"/>
          <w:i w:val="0"/>
          <w:color w:val="000000"/>
          <w:sz w:val="24"/>
          <w:u w:val="none"/>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r>
        <w:br w:type="page"/>
      </w:r>
    </w:p>
    <w:p>
      <w:pPr>
        <w:pStyle w:val="Heading1"/>
        <w:jc w:val="left"/>
        <w:spacing w:before="0" w:after="0" w:line="360" w:lineRule="auto"/>
      </w:pPr>
      <w:r>
        <w:rPr>
          <w:rFonts w:ascii="Times New Roman" w:hAnsi="Times New Roman" w:eastAsia="宋体"/>
          <w:b/>
          <w:i w:val="0"/>
          <w:color w:val="000000"/>
          <w:sz w:val="32"/>
          <w:u w:val="none"/>
        </w:rPr>
        <w:t>二、 建设目标</w:t>
      </w:r>
    </w:p>
    <w:p>
      <w:pPr>
        <w:ind w:firstLineChars="200"/>
        <w:spacing w:before="0" w:after="0" w:line="360" w:lineRule="auto"/>
      </w:pPr>
      <w:r>
        <w:rPr>
          <w:rFonts w:ascii="Times New Roman" w:hAnsi="Times New Roman" w:eastAsia="宋体"/>
          <w:b w:val="0"/>
          <w:i w:val="0"/>
          <w:color w:val="000000"/>
          <w:sz w:val="24"/>
          <w:u w:val="none"/>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r>
        <w:br w:type="page"/>
      </w:r>
    </w:p>
    <w:p>
      <w:pPr>
        <w:pStyle w:val="Heading1"/>
        <w:jc w:val="left"/>
        <w:spacing w:before="0" w:after="0" w:line="360" w:lineRule="auto"/>
      </w:pPr>
      <w:r>
        <w:rPr>
          <w:rFonts w:ascii="Times New Roman" w:hAnsi="Times New Roman" w:eastAsia="宋体"/>
          <w:b/>
          <w:i w:val="0"/>
          <w:color w:val="000000"/>
          <w:sz w:val="32"/>
          <w:u w:val="none"/>
        </w:rPr>
        <w:t>三、 详细建设方案</w:t>
      </w:r>
    </w:p>
    <w:p>
      <w:pPr>
        <w:ind w:firstLineChars="200"/>
        <w:spacing w:before="0" w:after="0" w:line="360" w:lineRule="auto"/>
      </w:pPr>
      <w:r>
        <w:rPr>
          <w:rFonts w:ascii="Times New Roman" w:hAnsi="Times New Roman" w:eastAsia="宋体"/>
          <w:b w:val="0"/>
          <w:i w:val="0"/>
          <w:color w:val="000000"/>
          <w:sz w:val="24"/>
          <w:u w:val="none"/>
        </w:rPr>
        <w:t>1. 基础架构重构：存算分离的软件定义数据中心（SDDC）</w:t>
      </w:r>
    </w:p>
    <w:p>
      <w:pPr>
        <w:ind w:firstLineChars="200"/>
        <w:spacing w:before="0" w:after="0" w:line="360" w:lineRule="auto"/>
      </w:pPr>
      <w:r>
        <w:rPr>
          <w:rFonts w:ascii="Times New Roman" w:hAnsi="Times New Roman" w:eastAsia="宋体"/>
          <w:b w:val="0"/>
          <w:i w:val="0"/>
          <w:color w:val="000000"/>
          <w:sz w:val="24"/>
          <w:u w:val="none"/>
        </w:rPr>
        <w:t>计算与存储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存储，支持块存储、文件存储、对象存储协议，打破数据孤岛，在提供高性能存储池以支撑核心数据库的高并发读写需求的同时利用大容量存储池为企业邮箱、OA系统及NAS文件服务提供海量归档与备份空间，实现全域数据的统一生命周期管理。</w:t>
      </w:r>
    </w:p>
    <w:p>
      <w:pPr>
        <w:ind w:firstLineChars="200"/>
        <w:spacing w:before="0" w:after="0" w:line="360" w:lineRule="auto"/>
      </w:pPr>
      <w:r>
        <w:rPr>
          <w:rFonts w:ascii="Times New Roman" w:hAnsi="Times New Roman" w:eastAsia="宋体"/>
          <w:b w:val="0"/>
          <w:i w:val="0"/>
          <w:color w:val="000000"/>
          <w:sz w:val="24"/>
          <w:u w:val="none"/>
        </w:rPr>
        <w:t>2. 云原生转型：IaaS与PaaS融合的一体化平台</w:t>
      </w:r>
    </w:p>
    <w:p>
      <w:pPr>
        <w:ind w:firstLineChars="200"/>
        <w:spacing w:before="0" w:after="0" w:line="360" w:lineRule="auto"/>
      </w:pPr>
      <w:r>
        <w:rPr>
          <w:rFonts w:ascii="Times New Roman" w:hAnsi="Times New Roman" w:eastAsia="宋体"/>
          <w:b w:val="0"/>
          <w:i w:val="0"/>
          <w:color w:val="000000"/>
          <w:sz w:val="24"/>
          <w:u w:val="none"/>
        </w:rPr>
        <w:t>在存算分离的IaaS底座之上，集成容器引擎SKE（Sangfor Kubernetes Engine），实现生产级Kubernetes集群的快速部署交付。平台提供“所见即所得”的容器管理能力，涵盖容器的创建、自动化编排、弹性伸缩、实时监控、日志采集及事件审计等全流程，构建IaaS+PaaS一体化的敏捷交付体系，加速业务应用的现代化改造与快速迭代。</w:t>
      </w:r>
    </w:p>
    <w:p>
      <w:pPr>
        <w:ind w:firstLineChars="200"/>
        <w:spacing w:before="0" w:after="0" w:line="360" w:lineRule="auto"/>
      </w:pPr>
      <w:r>
        <w:rPr>
          <w:rFonts w:ascii="Times New Roman" w:hAnsi="Times New Roman" w:eastAsia="宋体"/>
          <w:b w:val="0"/>
          <w:i w:val="0"/>
          <w:color w:val="000000"/>
          <w:sz w:val="24"/>
          <w:u w:val="none"/>
        </w:rPr>
        <w:t>3. 内生安全体系：云网端立体防护</w:t>
      </w:r>
    </w:p>
    <w:p>
      <w:pPr>
        <w:ind w:firstLineChars="200"/>
        <w:spacing w:before="0" w:after="0" w:line="360" w:lineRule="auto"/>
      </w:pPr>
      <w:r>
        <w:rPr>
          <w:rFonts w:ascii="Times New Roman" w:hAnsi="Times New Roman" w:eastAsia="宋体"/>
          <w:b w:val="0"/>
          <w:i w:val="0"/>
          <w:color w:val="000000"/>
          <w:sz w:val="24"/>
          <w:u w:val="none"/>
        </w:rPr>
        <w:t>在私有云平台内部署同品牌的虚拟化安全组件，包括虚拟堡垒机、虚拟日志审计系统等，实现安全能力的按需部署与弹性扩展。同时依托虚拟化底层的微隔离技术与流量牵引能力，实现从网络边界到主机内部的纵深防御体系。通过云平台与安全组件的深度联动，实现威胁的主动感知与自动阻断，完成从被动防御到主动安全加固的转变。</w:t>
      </w:r>
    </w:p>
    <w:p>
      <w:pPr>
        <w:ind w:firstLineChars="200"/>
        <w:spacing w:before="0" w:after="0" w:line="360" w:lineRule="auto"/>
      </w:pPr>
      <w:r>
        <w:rPr>
          <w:rFonts w:ascii="Times New Roman" w:hAnsi="Times New Roman" w:eastAsia="宋体"/>
          <w:b w:val="0"/>
          <w:i w:val="0"/>
          <w:color w:val="000000"/>
          <w:sz w:val="24"/>
          <w:u w:val="none"/>
        </w:rPr>
        <w:t>4. 统一云管平台与智能运维数据库</w:t>
      </w:r>
    </w:p>
    <w:p>
      <w:pPr>
        <w:ind w:firstLineChars="200"/>
        <w:spacing w:before="0" w:after="0" w:line="360" w:lineRule="auto"/>
      </w:pPr>
      <w:r>
        <w:rPr>
          <w:rFonts w:ascii="Times New Roman" w:hAnsi="Times New Roman" w:eastAsia="宋体"/>
          <w:b w:val="0"/>
          <w:i w:val="0"/>
          <w:color w:val="000000"/>
          <w:sz w:val="24"/>
          <w:u w:val="none"/>
        </w:rPr>
        <w:t>部署统一的云管理平台（SCP），对计算、网络、存储资源进行全局可视化监控与精细化配额管理。依托数据库管理组件，提供标准化、自动化的数据库服务能力，涵盖数据库的自动化部署、异构数据库迁移、定时/实时备份、性能监控告警等。提升数据库自治运维能力，通过智能分析解决可靠性难题，大幅降低数据库运维门槛与人力成本。</w:t>
      </w:r>
    </w:p>
    <w:p>
      <w:pPr>
        <w:ind w:firstLineChars="200"/>
        <w:spacing w:before="0" w:after="0" w:line="360" w:lineRule="auto"/>
      </w:pPr>
      <w:r>
        <w:rPr>
          <w:rFonts w:ascii="Times New Roman" w:hAnsi="Times New Roman" w:eastAsia="宋体"/>
          <w:b w:val="0"/>
          <w:i w:val="0"/>
          <w:color w:val="000000"/>
          <w:sz w:val="24"/>
          <w:u w:val="none"/>
        </w:rPr>
        <w:t>5. 混合云容灾与演进：构建无界云生态</w:t>
      </w:r>
    </w:p>
    <w:p>
      <w:pPr>
        <w:ind w:firstLineChars="200"/>
        <w:spacing w:before="0" w:after="0" w:line="360" w:lineRule="auto"/>
      </w:pPr>
      <w:r>
        <w:rPr>
          <w:rFonts w:ascii="Times New Roman" w:hAnsi="Times New Roman" w:eastAsia="宋体"/>
          <w:b w:val="0"/>
          <w:i w:val="0"/>
          <w:color w:val="000000"/>
          <w:sz w:val="24"/>
          <w:u w:val="none"/>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pPr>
        <w:ind w:firstLineChars="200"/>
        <w:spacing w:before="0" w:after="0" w:line="360" w:lineRule="auto"/>
      </w:pPr>
      <w:r>
        <w:rPr>
          <w:rFonts w:ascii="Times New Roman" w:hAnsi="Times New Roman" w:eastAsia="宋体"/>
          <w:b w:val="0"/>
          <w:i w:val="0"/>
          <w:color w:val="000000"/>
          <w:sz w:val="24"/>
          <w:u w:val="none"/>
        </w:rPr>
        <w:t>6. 安全办公桌面统一发布</w:t>
      </w:r>
    </w:p>
    <w:p>
      <w:pPr>
        <w:ind w:firstLineChars="200"/>
        <w:spacing w:before="0" w:after="0" w:line="360" w:lineRule="auto"/>
      </w:pPr>
      <w:r>
        <w:rPr>
          <w:rFonts w:ascii="Times New Roman" w:hAnsi="Times New Roman" w:eastAsia="宋体"/>
          <w:b w:val="0"/>
          <w:i w:val="0"/>
          <w:color w:val="000000"/>
          <w:sz w:val="24"/>
          <w:u w:val="none"/>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r>
        <w:br w:type="page"/>
      </w:r>
    </w:p>
    <w:p>
      <w:pPr>
        <w:pStyle w:val="Heading2"/>
        <w:jc w:val="left"/>
        <w:spacing w:before="0" w:after="0" w:line="360" w:lineRule="auto"/>
      </w:pPr>
      <w:r>
        <w:rPr>
          <w:rFonts w:ascii="Times New Roman" w:hAnsi="Times New Roman" w:eastAsia="宋体"/>
          <w:b/>
          <w:i w:val="0"/>
          <w:color w:val="000000"/>
          <w:sz w:val="30"/>
          <w:u w:val="none"/>
        </w:rPr>
        <w:t>信息安全建设</w:t>
      </w:r>
    </w:p>
    <w:p>
      <w:pPr>
        <w:ind w:firstLineChars="200"/>
        <w:spacing w:before="0" w:after="0" w:line="360" w:lineRule="auto"/>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部署互联网出口防火墙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部署上网行为管理</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在云平台中部署安全资源池，提供日志审计、堡垒机、零信任、区域防火墙、入侵检测等功能组件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综合分析管理平台（XDR）</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部署EDR终端安全管理模块</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部署备份平台，定期进行恢复测试</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引入漏洞扫描、风险评估等安全服务</w:t>
      </w:r>
    </w:p>
    <w:p>
      <w:r>
        <w:br w:type="page"/>
      </w:r>
    </w:p>
    <w:p>
      <w:pPr>
        <w:pStyle w:val="Heading1"/>
        <w:jc w:val="left"/>
        <w:spacing w:before="0" w:after="0" w:line="360" w:lineRule="auto"/>
      </w:pPr>
      <w:r>
        <w:rPr>
          <w:rFonts w:ascii="Times New Roman" w:hAnsi="Times New Roman" w:eastAsia="宋体"/>
          <w:b/>
          <w:i w:val="0"/>
          <w:color w:val="000000"/>
          <w:sz w:val="32"/>
          <w:u w:val="none"/>
        </w:rPr>
        <w:t>三、需求清单</w:t>
      </w:r>
    </w:p>
    <w:p>
      <w:pPr>
        <w:pStyle w:val="Heading2"/>
        <w:jc w:val="left"/>
        <w:spacing w:before="0" w:after="0" w:line="360" w:lineRule="auto"/>
      </w:pPr>
      <w:r>
        <w:rPr>
          <w:rFonts w:ascii="Times New Roman" w:hAnsi="Times New Roman" w:eastAsia="宋体"/>
          <w:b/>
          <w:i w:val="0"/>
          <w:color w:val="000000"/>
          <w:sz w:val="30"/>
          <w:u w:val="none"/>
        </w:rPr>
        <w:t>3.1 交换机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3.2 语音电话</w:t>
      </w:r>
    </w:p>
    <w:p>
      <w:pPr>
        <w:spacing w:before="283"/>
        <w:jc w:val="center"/>
      </w:pPr>
      <w:r>
        <w:drawing>
          <wp:inline xmlns:a="http://schemas.openxmlformats.org/drawingml/2006/main" xmlns:pic="http://schemas.openxmlformats.org/drawingml/2006/picture">
            <wp:extent cx="4666678" cy="2662470"/>
            <wp:docPr id="2" name="Picture 2"/>
            <wp:cNvGraphicFramePr>
              <a:graphicFrameLocks noChangeAspect="1"/>
            </wp:cNvGraphicFramePr>
            <a:graphic>
              <a:graphicData uri="http://schemas.openxmlformats.org/drawingml/2006/picture">
                <pic:pic>
                  <pic:nvPicPr>
                    <pic:cNvPr id="0" name="25954870-593f-4e8a-a458-4e49be269a25.jpg"/>
                    <pic:cNvPicPr/>
                  </pic:nvPicPr>
                  <pic:blipFill>
                    <a:blip r:embed="rId10"/>
                    <a:stretch>
                      <a:fillRect/>
                    </a:stretch>
                  </pic:blipFill>
                  <pic:spPr>
                    <a:xfrm>
                      <a:off x="0" y="0"/>
                      <a:ext cx="4666678" cy="2662470"/>
                    </a:xfrm>
                    <a:prstGeom prst="rect"/>
                  </pic:spPr>
                </pic:pic>
              </a:graphicData>
            </a:graphic>
          </wp:inline>
        </w:drawing>
      </w:r>
    </w:p>
    <w:p>
      <w:pPr>
        <w:jc w:val="center"/>
      </w:pPr>
      <w:r>
        <w:rPr>
          <w:rFonts w:ascii="Times New Roman" w:hAnsi="Times New Roman" w:eastAsia="宋体"/>
          <w:b w:val="0"/>
          <w:i w:val="0"/>
          <w:color w:val="000000"/>
          <w:sz w:val="21"/>
          <w:u w:val="none"/>
        </w:rPr>
        <w:t>图2</w:t>
      </w:r>
    </w:p>
    <w:p>
      <w:pPr>
        <w:ind w:firstLineChars="200"/>
        <w:spacing w:before="0" w:after="0" w:line="360" w:lineRule="auto"/>
      </w:pPr>
      <w:r>
        <w:rPr>
          <w:rFonts w:ascii="Times New Roman" w:hAnsi="Times New Roman" w:eastAsia="宋体"/>
          <w:b w:val="0"/>
          <w:i w:val="0"/>
          <w:color w:val="000000"/>
          <w:sz w:val="24"/>
          <w:u w:val="none"/>
        </w:rPr>
        <w:t>图2</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441"/>
        <w:gridCol w:w="1441"/>
        <w:gridCol w:w="1441"/>
        <w:gridCol w:w="1441"/>
        <w:gridCol w:w="1441"/>
        <w:gridCol w:w="1441"/>
      </w:tblGrid>
      <w:tr>
        <w:trPr>
          <w:tblHeader/>
        </w:trPr>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3.3 服务器和存储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3.4 安全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3.5 招标参数推荐</w:t>
      </w:r>
    </w:p>
    <w:p>
      <w:pPr>
        <w:ind w:firstLineChars="200"/>
        <w:spacing w:before="0" w:after="0" w:line="360" w:lineRule="auto"/>
      </w:pPr>
      <w:r>
        <w:rPr>
          <w:rFonts w:ascii="Times New Roman" w:hAnsi="Times New Roman" w:eastAsia="宋体"/>
          <w:b w:val="0"/>
          <w:i w:val="0"/>
          <w:color w:val="000000"/>
          <w:sz w:val="24"/>
          <w:u w:val="none"/>
        </w:rPr>
        <w:t>防火墙</w:t>
      </w:r>
    </w:p>
    <w:p>
      <w:pPr>
        <w:ind w:firstLineChars="200"/>
        <w:spacing w:before="0" w:after="0" w:line="360" w:lineRule="auto"/>
      </w:pPr>
      <w:r>
        <w:rPr>
          <w:rFonts w:ascii="Times New Roman" w:hAnsi="Times New Roman" w:eastAsia="宋体"/>
          <w:b w:val="0"/>
          <w:i w:val="0"/>
          <w:color w:val="000000"/>
          <w:sz w:val="24"/>
          <w:u w:val="none"/>
        </w:rPr>
        <w:t>1.防火墙防护功能包含但不限于ACL访问控制、应用识别、IDS入侵检测、IPS入侵防御、AV网络病毒过滤、DDos防护、僵尸网络检测、海量实时威胁情报。</w:t>
      </w:r>
    </w:p>
    <w:p>
      <w:pPr>
        <w:ind w:firstLineChars="200"/>
        <w:spacing w:before="0" w:after="0" w:line="360" w:lineRule="auto"/>
      </w:pPr>
      <w:r>
        <w:rPr>
          <w:rFonts w:ascii="Times New Roman" w:hAnsi="Times New Roman" w:eastAsia="宋体"/>
          <w:b w:val="0"/>
          <w:i w:val="0"/>
          <w:color w:val="000000"/>
          <w:sz w:val="24"/>
          <w:u w:val="none"/>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行为管理</w:t>
      </w:r>
    </w:p>
    <w:p>
      <w:pPr>
        <w:ind w:firstLineChars="200"/>
        <w:spacing w:before="0" w:after="0" w:line="360" w:lineRule="auto"/>
      </w:pPr>
      <w:r>
        <w:rPr>
          <w:rFonts w:ascii="Times New Roman" w:hAnsi="Times New Roman" w:eastAsia="宋体"/>
          <w:b w:val="0"/>
          <w:i w:val="0"/>
          <w:color w:val="000000"/>
          <w:sz w:val="24"/>
          <w:u w:val="none"/>
        </w:rPr>
        <w:t>1.行为管理功能包含但不限于入网准入、资产管理、上网认证、上网管控、上网审计、流量管理、业务审计、日志记录。</w:t>
      </w:r>
    </w:p>
    <w:p>
      <w:pPr>
        <w:ind w:firstLineChars="200"/>
        <w:spacing w:before="0" w:after="0" w:line="360" w:lineRule="auto"/>
      </w:pPr>
      <w:r>
        <w:rPr>
          <w:rFonts w:ascii="Times New Roman" w:hAnsi="Times New Roman" w:eastAsia="宋体"/>
          <w:b w:val="0"/>
          <w:i w:val="0"/>
          <w:color w:val="000000"/>
          <w:sz w:val="24"/>
          <w:u w:val="none"/>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零信任</w:t>
      </w:r>
    </w:p>
    <w:p>
      <w:pPr>
        <w:ind w:firstLineChars="200"/>
        <w:spacing w:before="0" w:after="0" w:line="360" w:lineRule="auto"/>
      </w:pPr>
      <w:r>
        <w:rPr>
          <w:rFonts w:ascii="Times New Roman" w:hAnsi="Times New Roman" w:eastAsia="宋体"/>
          <w:b w:val="0"/>
          <w:i w:val="0"/>
          <w:color w:val="000000"/>
          <w:sz w:val="24"/>
          <w:u w:val="none"/>
        </w:rPr>
        <w:t>1.零信任具备完善的业务安全接入能力，包含但不限于上线准入、身份认证、加密通信、访问审计、服务隐身、通信优化、智能权限、资源诊断。</w:t>
      </w:r>
    </w:p>
    <w:p>
      <w:pPr>
        <w:ind w:firstLineChars="200"/>
        <w:spacing w:before="0" w:after="0" w:line="360" w:lineRule="auto"/>
      </w:pPr>
      <w:r>
        <w:rPr>
          <w:rFonts w:ascii="Times New Roman" w:hAnsi="Times New Roman" w:eastAsia="宋体"/>
          <w:b w:val="0"/>
          <w:i w:val="0"/>
          <w:color w:val="000000"/>
          <w:sz w:val="24"/>
          <w:u w:val="none"/>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aES杀毒</w:t>
      </w:r>
    </w:p>
    <w:p>
      <w:pPr>
        <w:ind w:firstLineChars="200"/>
        <w:spacing w:before="0" w:after="0" w:line="360" w:lineRule="auto"/>
      </w:pPr>
      <w:r>
        <w:rPr>
          <w:rFonts w:ascii="Times New Roman" w:hAnsi="Times New Roman" w:eastAsia="宋体"/>
          <w:b w:val="0"/>
          <w:i w:val="0"/>
          <w:color w:val="000000"/>
          <w:sz w:val="24"/>
          <w:u w:val="none"/>
        </w:rPr>
        <w:t>1.终端安全具备完善的端点安全管理能力，包含但不限于资产管理、漏洞修复、病毒查杀、入侵检测、入侵防御、攻击遏制、桌管管控。</w:t>
      </w:r>
    </w:p>
    <w:p>
      <w:pPr>
        <w:ind w:firstLineChars="200"/>
        <w:spacing w:before="0" w:after="0" w:line="360" w:lineRule="auto"/>
      </w:pPr>
      <w:r>
        <w:rPr>
          <w:rFonts w:ascii="Times New Roman" w:hAnsi="Times New Roman" w:eastAsia="宋体"/>
          <w:b w:val="0"/>
          <w:i w:val="0"/>
          <w:color w:val="000000"/>
          <w:sz w:val="24"/>
          <w:u w:val="none"/>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日志审计</w:t>
      </w:r>
    </w:p>
    <w:p>
      <w:pPr>
        <w:ind w:firstLineChars="200"/>
        <w:spacing w:before="0" w:after="0" w:line="360" w:lineRule="auto"/>
      </w:pPr>
      <w:r>
        <w:rPr>
          <w:rFonts w:ascii="Times New Roman" w:hAnsi="Times New Roman" w:eastAsia="宋体"/>
          <w:b w:val="0"/>
          <w:i w:val="0"/>
          <w:color w:val="000000"/>
          <w:sz w:val="24"/>
          <w:u w:val="none"/>
        </w:rPr>
        <w:t>1.日志审计支持采集汇聚不同厂商不同种类的安全设备、网络设备、主机、操作系统、用户业务系统的日志信息，协助用户进行安全分析及合规审计，及时、有效地发现异常安全事件及审计违规。</w:t>
      </w:r>
    </w:p>
    <w:p>
      <w:pPr>
        <w:ind w:firstLineChars="200"/>
        <w:spacing w:before="0" w:after="0" w:line="360" w:lineRule="auto"/>
      </w:pPr>
      <w:r>
        <w:rPr>
          <w:rFonts w:ascii="Times New Roman" w:hAnsi="Times New Roman" w:eastAsia="宋体"/>
          <w:b w:val="0"/>
          <w:i w:val="0"/>
          <w:color w:val="000000"/>
          <w:sz w:val="24"/>
          <w:u w:val="none"/>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堡垒机</w:t>
      </w:r>
    </w:p>
    <w:p>
      <w:pPr>
        <w:ind w:firstLineChars="200"/>
        <w:spacing w:before="0" w:after="0" w:line="360" w:lineRule="auto"/>
      </w:pPr>
      <w:r>
        <w:rPr>
          <w:rFonts w:ascii="Times New Roman" w:hAnsi="Times New Roman" w:eastAsia="宋体"/>
          <w:b w:val="0"/>
          <w:i w:val="0"/>
          <w:color w:val="000000"/>
          <w:sz w:val="24"/>
          <w:u w:val="none"/>
        </w:rPr>
        <w:t>1.堡垒机支持提供集账号管理、身份认证、单点登录、资源授权、访问控制和操作审计为一体的运维安全审计服务；能够对服务器、网络设备、安全设备、数据库等资产的运维操作过程进行有效的运维操作审计。</w:t>
      </w:r>
    </w:p>
    <w:p>
      <w:pPr>
        <w:ind w:firstLineChars="200"/>
        <w:spacing w:before="0" w:after="0" w:line="360" w:lineRule="auto"/>
      </w:pPr>
      <w:r>
        <w:rPr>
          <w:rFonts w:ascii="Times New Roman" w:hAnsi="Times New Roman" w:eastAsia="宋体"/>
          <w:b w:val="0"/>
          <w:i w:val="0"/>
          <w:color w:val="000000"/>
          <w:sz w:val="24"/>
          <w:u w:val="none"/>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 私有云平台</w:t>
      </w:r>
    </w:p>
    <w:p>
      <w:pPr>
        <w:ind w:firstLineChars="200"/>
        <w:spacing w:before="0" w:after="0" w:line="360" w:lineRule="auto"/>
      </w:pPr>
      <w:r>
        <w:rPr>
          <w:rFonts w:ascii="Times New Roman" w:hAnsi="Times New Roman" w:eastAsia="宋体"/>
          <w:b w:val="0"/>
          <w:i w:val="0"/>
          <w:color w:val="000000"/>
          <w:sz w:val="24"/>
          <w:u w:val="none"/>
        </w:rPr>
        <w:t>▶ 为保障平台上运行业务的安全防护和扩展性和兼容性，平台支持扩展同一品牌的虚拟应用防火墙、虚拟应用交付、SSL VPN软件、数据库审计软件等组件</w:t>
      </w:r>
    </w:p>
    <w:p>
      <w:pPr>
        <w:ind w:firstLineChars="200"/>
        <w:spacing w:before="0" w:after="0" w:line="360" w:lineRule="auto"/>
      </w:pPr>
      <w:r>
        <w:rPr>
          <w:rFonts w:ascii="Times New Roman" w:hAnsi="Times New Roman" w:eastAsia="宋体"/>
          <w:b w:val="0"/>
          <w:i w:val="0"/>
          <w:color w:val="000000"/>
          <w:sz w:val="24"/>
          <w:u w:val="none"/>
        </w:rPr>
        <w:t>▶ 超融合应支持微隔离策略推荐，自动通过访问关系、历史流量和用户配置来生成最适合的微隔离规则，并且可以预发布策略，预览访问关系和防护状况，在二次确认后发布推荐策略。</w:t>
      </w:r>
    </w:p>
    <w:p>
      <w:pPr>
        <w:ind w:firstLineChars="200"/>
        <w:spacing w:before="0" w:after="0" w:line="360" w:lineRule="auto"/>
      </w:pPr>
      <w:r>
        <w:rPr>
          <w:rFonts w:ascii="Times New Roman" w:hAnsi="Times New Roman" w:eastAsia="宋体"/>
          <w:b w:val="0"/>
          <w:i w:val="0"/>
          <w:color w:val="000000"/>
          <w:sz w:val="24"/>
          <w:u w:val="none"/>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p>
    <w:p>
      <w:pPr>
        <w:ind w:firstLineChars="200"/>
        <w:spacing w:before="0" w:after="0" w:line="360" w:lineRule="auto"/>
      </w:pPr>
      <w:r>
        <w:rPr>
          <w:rFonts w:ascii="Times New Roman" w:hAnsi="Times New Roman" w:eastAsia="宋体"/>
          <w:b w:val="0"/>
          <w:i w:val="0"/>
          <w:color w:val="000000"/>
          <w:sz w:val="24"/>
          <w:u w:val="none"/>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p>
    <w:p>
      <w:pPr>
        <w:ind w:firstLineChars="200"/>
        <w:spacing w:before="0" w:after="0" w:line="360" w:lineRule="auto"/>
      </w:pPr>
      <w:r>
        <w:rPr>
          <w:rFonts w:ascii="Times New Roman" w:hAnsi="Times New Roman" w:eastAsia="宋体"/>
          <w:b w:val="0"/>
          <w:i w:val="0"/>
          <w:color w:val="000000"/>
          <w:sz w:val="24"/>
          <w:u w:val="none"/>
        </w:rPr>
        <w:t>支持数据库一键诊断，可覆盖资源、会话、锁、性能分析（包括实时与历史的慢SQL定位和执行计划分析），以便快速了解数据库运行效率，发现性能问题。</w:t>
      </w:r>
    </w:p>
    <w:p>
      <w:pPr>
        <w:ind w:firstLineChars="200"/>
        <w:spacing w:before="0" w:after="0" w:line="360" w:lineRule="auto"/>
      </w:pPr>
      <w:r>
        <w:rPr>
          <w:rFonts w:ascii="Times New Roman" w:hAnsi="Times New Roman" w:eastAsia="宋体"/>
          <w:b w:val="0"/>
          <w:i w:val="0"/>
          <w:color w:val="000000"/>
          <w:sz w:val="24"/>
          <w:u w:val="none"/>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p>
    <w:p>
      <w:pPr>
        <w:ind w:firstLineChars="200"/>
        <w:spacing w:before="0" w:after="0" w:line="360" w:lineRule="auto"/>
      </w:pPr>
      <w:r>
        <w:rPr>
          <w:rFonts w:ascii="Times New Roman" w:hAnsi="Times New Roman" w:eastAsia="宋体"/>
          <w:b w:val="0"/>
          <w:i w:val="0"/>
          <w:color w:val="000000"/>
          <w:sz w:val="24"/>
          <w:u w:val="none"/>
        </w:rPr>
        <w:t>在虚拟化平台可以拓展同品牌的虚拟桌面，通过零信任联动实现安全环境访问外网文献，同时可发布具备不同版本投标软件的桌面，满足不同场景的招投标使用</w:t>
      </w:r>
    </w:p>
    <w:sectPr w:rsidR="00FC693F" w:rsidRPr="0006063C" w:rsidSect="00034616">
      <w:headerReference w:type="default" r:id="rId11"/>
      <w:footerReference w:type="default" r:id="rId12"/>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金诚信矿业股份有限公司</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