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454"/>
      </w:pPr>
      <w:r>
        <w:t>机房环境改造：</w:t>
      </w:r>
      <w:r>
        <w:tab/>
      </w:r>
      <w:r>
        <w:rPr>
          <w:color w:val="999999"/>
        </w:rPr>
        <w:t>...</w:t>
      </w:r>
    </w:p>
    <w:p>
      <w:pPr>
        <w:ind w:left="454"/>
      </w:pPr>
      <w:r>
        <w:t>基础网络环境改造</w:t>
      </w:r>
      <w:r>
        <w:tab/>
      </w:r>
      <w:r>
        <w:rPr>
          <w:color w:val="999999"/>
        </w:rPr>
        <w:t>...</w:t>
      </w:r>
    </w:p>
    <w:p>
      <w:pPr>
        <w:ind w:left="454"/>
      </w:pPr>
      <w:r>
        <w:t>内线电话（工作座机）更新</w:t>
      </w:r>
      <w:r>
        <w:tab/>
      </w:r>
      <w:r>
        <w:rPr>
          <w:color w:val="999999"/>
        </w:rPr>
        <w:t>...</w:t>
      </w:r>
    </w:p>
    <w:p>
      <w:pPr>
        <w:ind w:left="454"/>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3"/>
        <w:jc w:val="left"/>
        <w:spacing w:before="0" w:after="0" w:line="360" w:lineRule="auto"/>
      </w:pPr>
      <w:r>
        <w:rPr>
          <w:rFonts w:ascii="Times New Roman" w:hAnsi="Times New Roman" w:eastAsia="宋体"/>
          <w:b/>
          <w:i w:val="0"/>
          <w:color w:val="000000"/>
          <w:sz w:val="28"/>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机柜、布线</w:t>
      </w:r>
    </w:p>
    <w:p>
      <w:r>
        <w:br w:type="page"/>
      </w:r>
    </w:p>
    <w:p>
      <w:pPr>
        <w:pStyle w:val="Heading3"/>
        <w:jc w:val="left"/>
        <w:spacing w:before="0" w:after="0" w:line="360" w:lineRule="auto"/>
      </w:pPr>
      <w:r>
        <w:rPr>
          <w:rFonts w:ascii="Times New Roman" w:hAnsi="Times New Roman" w:eastAsia="宋体"/>
          <w:b/>
          <w:i w:val="0"/>
          <w:color w:val="000000"/>
          <w:sz w:val="28"/>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无线覆盖更新，AC一套、AP 8台；</w:t>
      </w:r>
    </w:p>
    <w:p>
      <w:r>
        <w:br w:type="page"/>
      </w:r>
    </w:p>
    <w:p>
      <w:pPr>
        <w:pStyle w:val="Heading3"/>
        <w:jc w:val="left"/>
        <w:spacing w:before="0" w:after="0" w:line="360" w:lineRule="auto"/>
      </w:pPr>
      <w:r>
        <w:rPr>
          <w:rFonts w:ascii="Times New Roman" w:hAnsi="Times New Roman" w:eastAsia="宋体"/>
          <w:b/>
          <w:i w:val="0"/>
          <w:color w:val="000000"/>
          <w:sz w:val="28"/>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pPr>
        <w:pStyle w:val="Heading4"/>
        <w:jc w:val="left"/>
      </w:pPr>
      <w:r>
        <w:rPr>
          <w:rFonts w:ascii="Times New Roman" w:hAnsi="Times New Roman"/>
          <w:b w:val="0"/>
          <w:i w:val="0"/>
          <w:color w:val="000000"/>
          <w:sz w:val="24"/>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a818cc33-1c5f-4219-8449-e50cc4da90bf.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3"/>
        <w:jc w:val="left"/>
        <w:spacing w:before="0" w:after="0" w:line="360" w:lineRule="auto"/>
      </w:pPr>
      <w:r>
        <w:rPr>
          <w:rFonts w:ascii="Times New Roman" w:hAnsi="Times New Roman" w:eastAsia="宋体"/>
          <w:b/>
          <w:i w:val="0"/>
          <w:color w:val="000000"/>
          <w:sz w:val="28"/>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1ab36f06-c605-4a03-87f1-baca185a2af8.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私有云平台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为保障平台上运行业务的安全防护和扩展性和兼容性，平台支持扩展同一品牌的虚拟应用防火墙、虚拟应用交付、SSL VPN软件、数据库审计软件等组件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