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金诚信矿业股份有限公司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48"/>
          <w:u w:val="none"/>
        </w:rPr>
        <w:t>数据防泄密方案v3</w:t>
      </w:r>
    </w:p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2026年04月03日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金诚信矿业终端安全解决方案双版对比及核心能力介绍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一、两版方案核心差异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对比维度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方案一（全面防护版）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方案二（轻量化防护版）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核心预算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约500万元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约100万元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防护理念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终端策略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防护范围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飞书集成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落地周期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16周，四阶段标准化实施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8-10周，简化流程快速落地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二、零信任+DLP核心组合具体功能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（一）零信任访问控制（集成飞书）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（二）终端DLP防护系统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（三）二者协同联动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三、无感知安装部署，最小化影响终端用户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（一）部署前：充分调研，提前适配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（二）部署中：静默安装，错峰实施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（三）部署后：后台运行，轻量化运营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四、方案选择建议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金诚信矿业股份有限公司</w:t>
    </w:r>
    <w:r>
      <w:tab/>
    </w:r>
    <w:r>
      <w:t>数据防泄密方案v3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