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1134"/>
      </w:pPr>
      <w:r>
        <w:rPr>
          <w:rFonts w:ascii="SimHei" w:hAnsi="SimHei" w:eastAsia="SimHei"/>
          <w:b w:val="0"/>
          <w:i w:val="0"/>
          <w:color w:val="000000"/>
          <w:sz w:val="60"/>
          <w:u w:val="none"/>
        </w:rPr>
        <w:t>金诚信</w:t>
      </w:r>
    </w:p>
    <w:p>
      <w:pPr>
        <w:jc w:val="center"/>
        <w:spacing w:before="3402"/>
      </w:pPr>
      <w:r>
        <w:rPr>
          <w:rFonts w:ascii="SimHei" w:hAnsi="SimHei" w:eastAsia="SimHei"/>
          <w:b w:val="0"/>
          <w:i w:val="0"/>
          <w:color w:val="000000"/>
          <w:sz w:val="60"/>
          <w:u w:val="none"/>
        </w:rPr>
        <w:t>数据防泄密方案</w:t>
      </w:r>
    </w:p>
    <w:p/>
    <w:p>
      <w:pPr>
        <w:jc w:val="center"/>
        <w:spacing w:before="3402"/>
      </w:pPr>
      <w:r>
        <w:rPr>
          <w:rFonts w:ascii="SimSun" w:hAnsi="SimSun" w:eastAsia="SimSun"/>
          <w:b w:val="0"/>
          <w:i w:val="0"/>
          <w:color w:val="000000"/>
          <w:sz w:val="28"/>
          <w:u w:val="none"/>
        </w:rPr>
        <w:t>北京昱华源码科技有限公司</w:t>
      </w:r>
    </w:p>
    <w:p>
      <w:pPr>
        <w:jc w:val="center"/>
        <w:spacing w:before="141"/>
      </w:pPr>
      <w:r>
        <w:rPr>
          <w:rFonts w:ascii="SimSun" w:hAnsi="SimSun" w:eastAsia="SimSun"/>
          <w:b w:val="0"/>
          <w:i w:val="0"/>
          <w:color w:val="000000"/>
          <w:sz w:val="28"/>
          <w:u w:val="none"/>
        </w:rPr>
        <w:t>2026年04月06日</w:t>
      </w:r>
    </w:p>
    <w:p>
      <w:pPr>
        <w:jc w:val="center"/>
        <w:spacing w:before="141"/>
      </w:pPr>
      <w:r>
        <w:rPr>
          <w:rFonts w:ascii="SimSun" w:hAnsi="SimSun" w:eastAsia="SimSun"/>
          <w:b w:val="0"/>
          <w:i w:val="0"/>
          <w:color w:val="000000"/>
          <w:sz w:val="28"/>
          <w:u w:val="none"/>
        </w:rPr>
        <w:t>v1.0</w:t>
      </w:r>
    </w:p>
    <w:p>
      <w:r>
        <w:br w:type="page"/>
      </w:r>
    </w:p>
    <w:p>
      <w:pPr>
        <w:jc w:val="center"/>
      </w:pPr>
      <w:r>
        <w:t>目  录</w:t>
      </w:r>
    </w:p>
    <w:p>
      <w:r>
        <w:fldChar w:fldCharType="begin" w:dirty="true"/>
      </w:r>
      <w:r>
        <w:instrText xml:space="preserve"> TOC \o "1-3" \h \z \u </w:instrText>
      </w:r>
      <w:r>
        <w:fldChar w:fldCharType="separate"/>
      </w:r>
    </w:p>
    <w:p>
      <w:r>
        <w:rPr>
          <w:b/>
        </w:rPr>
        <w:t>第1章 项目概况</w:t>
      </w:r>
      <w:r>
        <w:tab/>
      </w:r>
      <w:r>
        <w:rPr>
          <w:color w:val="999999"/>
        </w:rPr>
        <w:t>...</w:t>
      </w:r>
    </w:p>
    <w:p>
      <w:pPr>
        <w:ind w:left="227"/>
      </w:pPr>
      <w:r>
        <w:t>1.1 项目背景</w:t>
      </w:r>
      <w:r>
        <w:tab/>
      </w:r>
      <w:r>
        <w:rPr>
          <w:color w:val="999999"/>
        </w:rPr>
        <w:t>...</w:t>
      </w:r>
    </w:p>
    <w:p>
      <w:pPr>
        <w:ind w:left="227"/>
      </w:pPr>
      <w:r>
        <w:t>1.2 建设内容</w:t>
      </w:r>
      <w:r>
        <w:tab/>
      </w:r>
      <w:r>
        <w:rPr>
          <w:color w:val="999999"/>
        </w:rPr>
        <w:t>...</w:t>
      </w:r>
    </w:p>
    <w:p>
      <w:pPr>
        <w:ind w:left="227"/>
      </w:pPr>
      <w:r>
        <w:t>1.3 机房环境改造：</w:t>
      </w:r>
      <w:r>
        <w:tab/>
      </w:r>
      <w:r>
        <w:rPr>
          <w:color w:val="999999"/>
        </w:rPr>
        <w:t>...</w:t>
      </w:r>
    </w:p>
    <w:p>
      <w:pPr>
        <w:ind w:left="227"/>
      </w:pPr>
      <w:r>
        <w:t>1.4 基础网络环境改造</w:t>
      </w:r>
      <w:r>
        <w:tab/>
      </w:r>
      <w:r>
        <w:rPr>
          <w:color w:val="999999"/>
        </w:rPr>
        <w:t>...</w:t>
      </w:r>
    </w:p>
    <w:p>
      <w:pPr>
        <w:ind w:left="227"/>
      </w:pPr>
      <w:r>
        <w:t>1.5 内线电话（工作座机）更新</w:t>
      </w:r>
      <w:r>
        <w:tab/>
      </w:r>
      <w:r>
        <w:rPr>
          <w:color w:val="999999"/>
        </w:rPr>
        <w:t>...</w:t>
      </w:r>
    </w:p>
    <w:p>
      <w:pPr>
        <w:ind w:left="227"/>
      </w:pPr>
      <w:r>
        <w:t>1.6 效果图片</w:t>
      </w:r>
      <w:r>
        <w:tab/>
      </w:r>
      <w:r>
        <w:rPr>
          <w:color w:val="999999"/>
        </w:rPr>
        <w:t>...</w:t>
      </w:r>
    </w:p>
    <w:p>
      <w:pPr>
        <w:ind w:left="227"/>
      </w:pPr>
      <w:r>
        <w:t>1.7 私有云平台建设</w:t>
      </w:r>
      <w:r>
        <w:tab/>
      </w:r>
      <w:r>
        <w:rPr>
          <w:color w:val="999999"/>
        </w:rPr>
        <w:t>...</w:t>
      </w:r>
    </w:p>
    <w:p>
      <w:r>
        <w:rPr>
          <w:b/>
        </w:rPr>
        <w:t>第2章 项目背景与现状挑战</w:t>
      </w:r>
      <w:r>
        <w:tab/>
      </w:r>
      <w:r>
        <w:rPr>
          <w:color w:val="999999"/>
        </w:rPr>
        <w:t>...</w:t>
      </w:r>
    </w:p>
    <w:p>
      <w:r>
        <w:rPr>
          <w:b/>
        </w:rPr>
        <w:t>第3章 建设目标</w:t>
      </w:r>
      <w:r>
        <w:tab/>
      </w:r>
      <w:r>
        <w:rPr>
          <w:color w:val="999999"/>
        </w:rPr>
        <w:t>...</w:t>
      </w:r>
    </w:p>
    <w:p>
      <w:r>
        <w:rPr>
          <w:b/>
        </w:rPr>
        <w:t>第4章 详细建设方案</w:t>
      </w:r>
      <w:r>
        <w:tab/>
      </w:r>
      <w:r>
        <w:rPr>
          <w:color w:val="999999"/>
        </w:rPr>
        <w:t>...</w:t>
      </w:r>
    </w:p>
    <w:p>
      <w:pPr>
        <w:ind w:left="227"/>
      </w:pPr>
      <w:r>
        <w:t>4.1 信息安全建设</w:t>
      </w:r>
      <w:r>
        <w:tab/>
      </w:r>
      <w:r>
        <w:rPr>
          <w:color w:val="999999"/>
        </w:rPr>
        <w:t>...</w:t>
      </w:r>
    </w:p>
    <w:p>
      <w:r>
        <w:rPr>
          <w:b/>
        </w:rPr>
        <w:t>第5章 需求清单</w:t>
      </w:r>
      <w:r>
        <w:tab/>
      </w:r>
      <w:r>
        <w:rPr>
          <w:color w:val="999999"/>
        </w:rPr>
        <w:t>...</w:t>
      </w:r>
    </w:p>
    <w:p>
      <w:pPr>
        <w:ind w:left="227"/>
      </w:pPr>
      <w:r>
        <w:t>5.1 交换机</w:t>
      </w:r>
      <w:r>
        <w:tab/>
      </w:r>
      <w:r>
        <w:rPr>
          <w:color w:val="999999"/>
        </w:rPr>
        <w:t>...</w:t>
      </w:r>
    </w:p>
    <w:p>
      <w:pPr>
        <w:ind w:left="227"/>
      </w:pPr>
      <w:r>
        <w:t>5.2 语音电话</w:t>
      </w:r>
      <w:r>
        <w:tab/>
      </w:r>
      <w:r>
        <w:rPr>
          <w:color w:val="999999"/>
        </w:rPr>
        <w:t>...</w:t>
      </w:r>
    </w:p>
    <w:p>
      <w:pPr>
        <w:ind w:left="227"/>
      </w:pPr>
      <w:r>
        <w:t>5.3 服务器和存储</w:t>
      </w:r>
      <w:r>
        <w:tab/>
      </w:r>
      <w:r>
        <w:rPr>
          <w:color w:val="999999"/>
        </w:rPr>
        <w:t>...</w:t>
      </w:r>
    </w:p>
    <w:p>
      <w:pPr>
        <w:ind w:left="227"/>
      </w:pPr>
      <w:r>
        <w:t>5.4 安全</w:t>
      </w:r>
      <w:r>
        <w:tab/>
      </w:r>
      <w:r>
        <w:rPr>
          <w:color w:val="999999"/>
        </w:rPr>
        <w:t>...</w:t>
      </w:r>
    </w:p>
    <w:p>
      <w:pPr>
        <w:ind w:left="227"/>
      </w:pPr>
      <w:r>
        <w:t>5.5 招标参数推荐</w:t>
      </w:r>
      <w:r>
        <w:tab/>
      </w:r>
      <w:r>
        <w:rPr>
          <w:color w:val="999999"/>
        </w:rPr>
        <w:t>...</w:t>
      </w:r>
    </w:p>
    <w:p>
      <w:r>
        <w:fldChar w:fldCharType="end"/>
      </w:r>
    </w:p>
    <w:p>
      <w:r>
        <w:br w:type="page"/>
      </w:r>
    </w:p>
    <w:p>
      <w:r>
        <w:br w:type="page"/>
      </w:r>
    </w:p>
    <w:p>
      <w:pPr>
        <w:pStyle w:val="Heading1"/>
        <w:jc w:val="left"/>
        <w:spacing w:before="0" w:after="0" w:line="360" w:lineRule="auto"/>
      </w:pPr>
      <w:r>
        <w:rPr>
          <w:rFonts w:ascii="Times New Roman" w:hAnsi="Times New Roman" w:eastAsia="宋体"/>
          <w:b/>
          <w:i w:val="0"/>
          <w:color w:val="000000"/>
          <w:sz w:val="32"/>
          <w:u w:val="none"/>
        </w:rPr>
        <w:t>第1章 项目概况</w:t>
      </w:r>
    </w:p>
    <w:p>
      <w:pPr>
        <w:pStyle w:val="Heading2"/>
        <w:jc w:val="left"/>
        <w:spacing w:before="0" w:after="0" w:line="360" w:lineRule="auto"/>
      </w:pPr>
      <w:r>
        <w:rPr>
          <w:rFonts w:ascii="Times New Roman" w:hAnsi="Times New Roman" w:eastAsia="宋体"/>
          <w:b/>
          <w:i w:val="0"/>
          <w:color w:val="000000"/>
          <w:sz w:val="30"/>
          <w:u w:val="none"/>
        </w:rPr>
        <w:t>1.1 项目背景</w:t>
      </w:r>
    </w:p>
    <w:p>
      <w:pPr>
        <w:ind w:firstLineChars="200"/>
        <w:spacing w:before="0" w:after="0" w:line="360" w:lineRule="auto"/>
      </w:pPr>
      <w:r>
        <w:rPr>
          <w:rFonts w:ascii="Times New Roman" w:hAnsi="Times New Roman" w:eastAsia="宋体"/>
          <w:b w:val="0"/>
          <w:i w:val="0"/>
          <w:color w:val="000000"/>
          <w:sz w:val="24"/>
          <w:u w:val="none"/>
        </w:rPr>
        <w:t>北京中科进出口有限责任公司是中国科技出版传媒股份有限公司（科学出版社）的全资子公司，是国家新闻署批准的经营图书、期刊、电子文献进出口业务的专业进出口公司，主营出版物进出口、仪器设备进出口、文化体育产品进出口、版权贸易、展览展示、作者服务等业务。</w:t>
      </w:r>
    </w:p>
    <w:p>
      <w:pPr>
        <w:ind w:firstLineChars="200"/>
        <w:spacing w:before="0" w:after="0" w:line="360" w:lineRule="auto"/>
      </w:pPr>
      <w:r>
        <w:rPr>
          <w:rFonts w:ascii="Times New Roman" w:hAnsi="Times New Roman" w:eastAsia="宋体"/>
          <w:b w:val="0"/>
          <w:i w:val="0"/>
          <w:color w:val="000000"/>
          <w:sz w:val="24"/>
          <w:u w:val="none"/>
        </w:rPr>
        <w:t>公司IT机房设在城隍国际B座8层，面积6m*4m，铺设防静电地板，其中服务器机柜2台、网络机柜2台，服务器12台、存储3台、网络设备10台，UPS1台、立式空调1部；</w:t>
      </w:r>
    </w:p>
    <w:p>
      <w:pPr>
        <w:ind w:firstLineChars="200"/>
        <w:spacing w:before="0" w:after="0" w:line="360" w:lineRule="auto"/>
      </w:pPr>
      <w:r>
        <w:rPr>
          <w:rFonts w:ascii="Times New Roman" w:hAnsi="Times New Roman" w:eastAsia="宋体"/>
          <w:b w:val="0"/>
          <w:i w:val="0"/>
          <w:color w:val="000000"/>
          <w:sz w:val="24"/>
          <w:u w:val="none"/>
        </w:rPr>
        <w:t>业务系统5套， 主要部署在物理服务器及部分vmware虚拟化平台上；</w:t>
      </w:r>
    </w:p>
    <w:p>
      <w:pPr>
        <w:ind w:firstLineChars="200"/>
        <w:spacing w:before="0" w:after="0" w:line="360" w:lineRule="auto"/>
      </w:pPr>
      <w:r>
        <w:rPr>
          <w:rFonts w:ascii="Times New Roman" w:hAnsi="Times New Roman" w:eastAsia="宋体"/>
          <w:b w:val="0"/>
          <w:i w:val="0"/>
          <w:color w:val="000000"/>
          <w:sz w:val="24"/>
          <w:u w:val="none"/>
        </w:rPr>
        <w:t>核心数据库数据量约500GB、论文资料PDF格式约10TB、办公及邮件附件约2TB；</w:t>
      </w:r>
    </w:p>
    <w:p>
      <w:pPr>
        <w:ind w:firstLineChars="200"/>
        <w:spacing w:before="0" w:after="0" w:line="360" w:lineRule="auto"/>
      </w:pPr>
      <w:r>
        <w:rPr>
          <w:rFonts w:ascii="Times New Roman" w:hAnsi="Times New Roman" w:eastAsia="宋体"/>
          <w:b w:val="0"/>
          <w:i w:val="0"/>
          <w:color w:val="000000"/>
          <w:sz w:val="24"/>
          <w:u w:val="none"/>
        </w:rPr>
        <w:t>员工（100人左右）通过有线和无线两种方式接入公司网络，出口带宽150Mbps；望京分支通过点对点专线与本部互联；武汉分公司员工5-10人，通过ADSL拨号接入互联网，访问公司业务系统。</w:t>
      </w:r>
    </w:p>
    <w:p>
      <w:r>
        <w:br w:type="page"/>
      </w:r>
    </w:p>
    <w:p>
      <w:pPr>
        <w:pStyle w:val="Heading2"/>
        <w:jc w:val="left"/>
        <w:spacing w:before="0" w:after="0" w:line="360" w:lineRule="auto"/>
      </w:pPr>
      <w:r>
        <w:rPr>
          <w:rFonts w:ascii="Times New Roman" w:hAnsi="Times New Roman" w:eastAsia="宋体"/>
          <w:b/>
          <w:i w:val="0"/>
          <w:color w:val="000000"/>
          <w:sz w:val="30"/>
          <w:u w:val="none"/>
        </w:rPr>
        <w:t>1.2 建设内容</w:t>
      </w:r>
    </w:p>
    <w:p>
      <w:pPr>
        <w:ind w:firstLineChars="200"/>
        <w:spacing w:before="0" w:after="0" w:line="360" w:lineRule="auto"/>
      </w:pPr>
      <w:r>
        <w:rPr>
          <w:rFonts w:ascii="Times New Roman" w:hAnsi="Times New Roman" w:eastAsia="宋体"/>
          <w:b w:val="0"/>
          <w:i w:val="0"/>
          <w:color w:val="000000"/>
          <w:sz w:val="24"/>
          <w:u w:val="none"/>
        </w:rPr>
        <w:t>北京中科进出口有限责任公司承担着图书、期刊、电子文献进出口业务的出口工作，随着业务进一步拓展，将会有更多的业务系统运行，以更好的为高校等单位服务。未来企业的IT业务系统将面临各种不确定性，包括对计算、网络、存储等资源的需求不确定性，因此选用稳定、可控、可按需使用资源的IT基础架构是中科的必要选择。</w:t>
      </w:r>
    </w:p>
    <w:p>
      <w:pPr>
        <w:ind w:firstLineChars="200"/>
        <w:spacing w:before="0" w:after="0" w:line="360" w:lineRule="auto"/>
      </w:pPr>
      <w:r>
        <w:rPr>
          <w:rFonts w:ascii="Times New Roman" w:hAnsi="Times New Roman" w:eastAsia="宋体"/>
          <w:b w:val="0"/>
          <w:i w:val="0"/>
          <w:color w:val="000000"/>
          <w:sz w:val="24"/>
          <w:u w:val="none"/>
        </w:rPr>
        <w:t>目前急需改善及建设的内容包括：</w:t>
      </w:r>
    </w:p>
    <w:p>
      <w:r>
        <w:br w:type="page"/>
      </w:r>
    </w:p>
    <w:p>
      <w:pPr>
        <w:pStyle w:val="Heading2"/>
        <w:jc w:val="left"/>
        <w:spacing w:before="0" w:after="0" w:line="360" w:lineRule="auto"/>
      </w:pPr>
      <w:r>
        <w:rPr>
          <w:rFonts w:ascii="Times New Roman" w:hAnsi="Times New Roman" w:eastAsia="宋体"/>
          <w:b/>
          <w:i w:val="0"/>
          <w:color w:val="000000"/>
          <w:sz w:val="30"/>
          <w:u w:val="none"/>
        </w:rPr>
        <w:t>1.3 机房环境改造：</w:t>
      </w:r>
    </w:p>
    <w:p>
      <w:pPr>
        <w:ind w:firstLineChars="200"/>
        <w:spacing w:before="0" w:after="0" w:line="360" w:lineRule="auto"/>
      </w:pPr>
      <w:r>
        <w:rPr>
          <w:rFonts w:ascii="Times New Roman" w:hAnsi="Times New Roman" w:eastAsia="宋体"/>
          <w:b w:val="0"/>
          <w:i w:val="0"/>
          <w:color w:val="000000"/>
          <w:sz w:val="24"/>
          <w:u w:val="none"/>
        </w:rPr>
        <w:t>▶ 目前机房环境不满足等保要求，存在影响业务运行的风险（防静电地板、线缆、UPS老化，机柜空间不足，整体功率超负载运行），需要：</w:t>
      </w:r>
    </w:p>
    <w:p>
      <w:pPr>
        <w:ind w:firstLineChars="200"/>
        <w:spacing w:before="0" w:after="0" w:line="360" w:lineRule="auto"/>
      </w:pPr>
      <w:r>
        <w:rPr>
          <w:rFonts w:ascii="Times New Roman" w:hAnsi="Times New Roman" w:eastAsia="宋体"/>
          <w:b w:val="0"/>
          <w:i w:val="0"/>
          <w:color w:val="000000"/>
          <w:sz w:val="24"/>
          <w:u w:val="none"/>
        </w:rPr>
        <w:t>▶ 机房装修</w:t>
      </w:r>
    </w:p>
    <w:p>
      <w:pPr>
        <w:ind w:firstLineChars="200"/>
        <w:spacing w:before="0" w:after="0" w:line="360" w:lineRule="auto"/>
      </w:pPr>
      <w:r>
        <w:rPr>
          <w:rFonts w:ascii="Times New Roman" w:hAnsi="Times New Roman" w:eastAsia="宋体"/>
          <w:b w:val="0"/>
          <w:i w:val="0"/>
          <w:color w:val="000000"/>
          <w:sz w:val="24"/>
          <w:u w:val="none"/>
        </w:rPr>
        <w:t>▶ 电气工程</w:t>
      </w:r>
    </w:p>
    <w:p>
      <w:pPr>
        <w:ind w:firstLineChars="200"/>
        <w:spacing w:before="0" w:after="0" w:line="360" w:lineRule="auto"/>
      </w:pPr>
      <w:r>
        <w:rPr>
          <w:rFonts w:ascii="Times New Roman" w:hAnsi="Times New Roman" w:eastAsia="宋体"/>
          <w:b w:val="0"/>
          <w:i w:val="0"/>
          <w:color w:val="000000"/>
          <w:sz w:val="24"/>
          <w:u w:val="none"/>
        </w:rPr>
        <w:t>▶ 防雷接地</w:t>
      </w:r>
    </w:p>
    <w:p>
      <w:pPr>
        <w:ind w:firstLineChars="200"/>
        <w:spacing w:before="0" w:after="0" w:line="360" w:lineRule="auto"/>
      </w:pPr>
      <w:r>
        <w:rPr>
          <w:rFonts w:ascii="Times New Roman" w:hAnsi="Times New Roman" w:eastAsia="宋体"/>
          <w:b w:val="0"/>
          <w:i w:val="0"/>
          <w:color w:val="000000"/>
          <w:sz w:val="24"/>
          <w:u w:val="none"/>
        </w:rPr>
        <w:t>▶ 窗户封堵</w:t>
      </w:r>
    </w:p>
    <w:p>
      <w:pPr>
        <w:ind w:firstLineChars="200"/>
        <w:spacing w:before="0" w:after="0" w:line="360" w:lineRule="auto"/>
      </w:pPr>
      <w:r>
        <w:rPr>
          <w:rFonts w:ascii="Times New Roman" w:hAnsi="Times New Roman" w:eastAsia="宋体"/>
          <w:b w:val="0"/>
          <w:i w:val="0"/>
          <w:color w:val="000000"/>
          <w:sz w:val="24"/>
          <w:u w:val="none"/>
        </w:rPr>
        <w:t>▶ 新风排风</w:t>
      </w:r>
    </w:p>
    <w:p>
      <w:pPr>
        <w:ind w:firstLineChars="200"/>
        <w:spacing w:before="0" w:after="0" w:line="360" w:lineRule="auto"/>
      </w:pPr>
      <w:r>
        <w:rPr>
          <w:rFonts w:ascii="Times New Roman" w:hAnsi="Times New Roman" w:eastAsia="宋体"/>
          <w:b w:val="0"/>
          <w:i w:val="0"/>
          <w:color w:val="000000"/>
          <w:sz w:val="24"/>
          <w:u w:val="none"/>
        </w:rPr>
        <w:t>▶ 精密空调</w:t>
      </w:r>
    </w:p>
    <w:p>
      <w:pPr>
        <w:ind w:firstLineChars="200"/>
        <w:spacing w:before="0" w:after="0" w:line="360" w:lineRule="auto"/>
      </w:pPr>
      <w:r>
        <w:rPr>
          <w:rFonts w:ascii="Times New Roman" w:hAnsi="Times New Roman" w:eastAsia="宋体"/>
          <w:b w:val="0"/>
          <w:i w:val="0"/>
          <w:color w:val="000000"/>
          <w:sz w:val="24"/>
          <w:u w:val="none"/>
        </w:rPr>
        <w:t>▶ 消防气灭</w:t>
      </w:r>
    </w:p>
    <w:p>
      <w:pPr>
        <w:ind w:firstLineChars="200"/>
        <w:spacing w:before="0" w:after="0" w:line="360" w:lineRule="auto"/>
      </w:pPr>
      <w:r>
        <w:rPr>
          <w:rFonts w:ascii="Times New Roman" w:hAnsi="Times New Roman" w:eastAsia="宋体"/>
          <w:b w:val="0"/>
          <w:i w:val="0"/>
          <w:color w:val="000000"/>
          <w:sz w:val="24"/>
          <w:u w:val="none"/>
        </w:rPr>
        <w:t>▶ UPS电力</w:t>
      </w:r>
    </w:p>
    <w:p>
      <w:pPr>
        <w:ind w:firstLineChars="200"/>
        <w:spacing w:before="0" w:after="0" w:line="360" w:lineRule="auto"/>
      </w:pPr>
      <w:r>
        <w:rPr>
          <w:rFonts w:ascii="Times New Roman" w:hAnsi="Times New Roman" w:eastAsia="宋体"/>
          <w:b w:val="0"/>
          <w:i w:val="0"/>
          <w:color w:val="000000"/>
          <w:sz w:val="24"/>
          <w:u w:val="none"/>
        </w:rPr>
        <w:t>▶ 机柜、布线</w:t>
      </w:r>
    </w:p>
    <w:p>
      <w:r>
        <w:br w:type="page"/>
      </w:r>
    </w:p>
    <w:p>
      <w:pPr>
        <w:pStyle w:val="Heading2"/>
        <w:jc w:val="left"/>
        <w:spacing w:before="0" w:after="0" w:line="360" w:lineRule="auto"/>
      </w:pPr>
      <w:r>
        <w:rPr>
          <w:rFonts w:ascii="Times New Roman" w:hAnsi="Times New Roman" w:eastAsia="宋体"/>
          <w:b/>
          <w:i w:val="0"/>
          <w:color w:val="000000"/>
          <w:sz w:val="30"/>
          <w:u w:val="none"/>
        </w:rPr>
        <w:t>1.4 基础网络环境改造</w:t>
      </w:r>
    </w:p>
    <w:p>
      <w:pPr>
        <w:ind w:firstLineChars="200"/>
        <w:spacing w:before="0" w:after="0" w:line="360" w:lineRule="auto"/>
      </w:pPr>
      <w:r>
        <w:rPr>
          <w:rFonts w:ascii="Times New Roman" w:hAnsi="Times New Roman" w:eastAsia="宋体"/>
          <w:b w:val="0"/>
          <w:i w:val="0"/>
          <w:color w:val="000000"/>
          <w:sz w:val="24"/>
          <w:u w:val="none"/>
        </w:rPr>
        <w:t>目前北京办公区员工通过无线和有线两种方式接入网络，有线网大约10年前铺设，线缆老化，部分链路不通，日常运维困难，出现链路问题时无法定位故障点；无线网络分2期建设，分别是6年前（4个ap）和2年前（4个华为ap）建设，目前已经实现无死角覆盖，但存在信号干扰和速度满的情况；需要：</w:t>
      </w:r>
    </w:p>
    <w:p>
      <w:pPr>
        <w:ind w:firstLineChars="200"/>
        <w:spacing w:before="0" w:after="0" w:line="360" w:lineRule="auto"/>
      </w:pPr>
      <w:r>
        <w:rPr>
          <w:rFonts w:ascii="Times New Roman" w:hAnsi="Times New Roman" w:eastAsia="宋体"/>
          <w:b w:val="0"/>
          <w:i w:val="0"/>
          <w:color w:val="000000"/>
          <w:sz w:val="24"/>
          <w:u w:val="none"/>
        </w:rPr>
        <w:t>▶ 接入交换机和核心交换机更换（7台24口接入、1台万兆核心）；</w:t>
      </w:r>
    </w:p>
    <w:p>
      <w:pPr>
        <w:ind w:firstLineChars="200"/>
        <w:spacing w:before="0" w:after="0" w:line="360" w:lineRule="auto"/>
      </w:pPr>
      <w:r>
        <w:rPr>
          <w:rFonts w:ascii="Times New Roman" w:hAnsi="Times New Roman" w:eastAsia="宋体"/>
          <w:b w:val="0"/>
          <w:i w:val="0"/>
          <w:color w:val="000000"/>
          <w:sz w:val="24"/>
          <w:u w:val="none"/>
        </w:rPr>
        <w:t>▶ 网络地址段规划及划分；（办公区、服务器区、互联网出口区等）</w:t>
      </w:r>
    </w:p>
    <w:p>
      <w:pPr>
        <w:ind w:firstLineChars="200"/>
        <w:spacing w:before="0" w:after="0" w:line="360" w:lineRule="auto"/>
      </w:pPr>
      <w:r>
        <w:rPr>
          <w:rFonts w:ascii="Times New Roman" w:hAnsi="Times New Roman" w:eastAsia="宋体"/>
          <w:b w:val="0"/>
          <w:i w:val="0"/>
          <w:color w:val="000000"/>
          <w:sz w:val="24"/>
          <w:u w:val="none"/>
        </w:rPr>
        <w:t>▶ 基础网管功能启用，实现端口、链路状态可视，能快速定位风险及故障；</w:t>
      </w:r>
    </w:p>
    <w:p>
      <w:pPr>
        <w:ind w:firstLineChars="200"/>
        <w:spacing w:before="0" w:after="0" w:line="360" w:lineRule="auto"/>
      </w:pPr>
      <w:r>
        <w:rPr>
          <w:rFonts w:ascii="Times New Roman" w:hAnsi="Times New Roman" w:eastAsia="宋体"/>
          <w:b w:val="0"/>
          <w:i w:val="0"/>
          <w:color w:val="000000"/>
          <w:sz w:val="24"/>
          <w:u w:val="none"/>
        </w:rPr>
        <w:t>▶ 武汉分支机构安全、稳定接入北京办公区网络；</w:t>
      </w:r>
    </w:p>
    <w:p>
      <w:pPr>
        <w:ind w:firstLineChars="200"/>
        <w:spacing w:before="0" w:after="0" w:line="360" w:lineRule="auto"/>
      </w:pPr>
      <w:r>
        <w:rPr>
          <w:rFonts w:ascii="Times New Roman" w:hAnsi="Times New Roman" w:eastAsia="宋体"/>
          <w:b w:val="0"/>
          <w:i w:val="0"/>
          <w:color w:val="000000"/>
          <w:sz w:val="24"/>
          <w:u w:val="none"/>
        </w:rPr>
        <w:t>▶ 无线覆盖更新，AC一套、AP 8台；</w:t>
      </w:r>
    </w:p>
    <w:p>
      <w:r>
        <w:br w:type="page"/>
      </w:r>
    </w:p>
    <w:p>
      <w:pPr>
        <w:pStyle w:val="Heading2"/>
        <w:jc w:val="left"/>
        <w:spacing w:before="0" w:after="0" w:line="360" w:lineRule="auto"/>
      </w:pPr>
      <w:r>
        <w:rPr>
          <w:rFonts w:ascii="Times New Roman" w:hAnsi="Times New Roman" w:eastAsia="宋体"/>
          <w:b/>
          <w:i w:val="0"/>
          <w:color w:val="000000"/>
          <w:sz w:val="30"/>
          <w:u w:val="none"/>
        </w:rPr>
        <w:t>1.5 内线电话（工作座机）更新</w:t>
      </w:r>
    </w:p>
    <w:p>
      <w:pPr>
        <w:ind w:firstLineChars="200"/>
        <w:spacing w:before="0" w:after="0" w:line="360" w:lineRule="auto"/>
      </w:pPr>
      <w:r>
        <w:rPr>
          <w:rFonts w:ascii="Times New Roman" w:hAnsi="Times New Roman" w:eastAsia="宋体"/>
          <w:b w:val="0"/>
          <w:i w:val="0"/>
          <w:color w:val="000000"/>
          <w:sz w:val="24"/>
          <w:u w:val="none"/>
        </w:rPr>
        <w:t>电话网大约10年前铺设，线缆老化，部分链路不通，日常运维困难，出现链路问题时无法定位故障点；</w:t>
      </w:r>
    </w:p>
    <w:p>
      <w:pPr>
        <w:ind w:firstLineChars="200"/>
        <w:spacing w:before="0" w:after="0" w:line="360" w:lineRule="auto"/>
      </w:pPr>
      <w:r>
        <w:rPr>
          <w:rFonts w:ascii="Times New Roman" w:hAnsi="Times New Roman" w:eastAsia="宋体"/>
          <w:b w:val="0"/>
          <w:i w:val="0"/>
          <w:color w:val="000000"/>
          <w:sz w:val="24"/>
          <w:u w:val="none"/>
        </w:rPr>
        <w:t>本次建设使用无线wifi座机替换现有座机，满足日常内部通讯需求。</w:t>
      </w:r>
    </w:p>
    <w:p>
      <w:r>
        <w:br w:type="page"/>
      </w:r>
    </w:p>
    <w:p>
      <w:pPr>
        <w:pStyle w:val="Heading2"/>
        <w:jc w:val="left"/>
        <w:spacing w:before="0" w:after="0" w:line="360" w:lineRule="auto"/>
      </w:pPr>
      <w:r>
        <w:rPr>
          <w:rFonts w:ascii="Times New Roman" w:hAnsi="Times New Roman" w:eastAsia="宋体"/>
          <w:b/>
          <w:i w:val="0"/>
          <w:color w:val="000000"/>
          <w:sz w:val="30"/>
          <w:u w:val="none"/>
        </w:rPr>
        <w:t>1.6 效果图片</w:t>
      </w:r>
    </w:p>
    <w:p>
      <w:pPr>
        <w:spacing w:before="283"/>
        <w:jc w:val="center"/>
      </w:pPr>
      <w:r>
        <w:drawing>
          <wp:inline xmlns:a="http://schemas.openxmlformats.org/drawingml/2006/main" xmlns:pic="http://schemas.openxmlformats.org/drawingml/2006/picture">
            <wp:extent cx="4666678" cy="3497250"/>
            <wp:docPr id="1" name="Picture 1"/>
            <wp:cNvGraphicFramePr>
              <a:graphicFrameLocks noChangeAspect="1"/>
            </wp:cNvGraphicFramePr>
            <a:graphic>
              <a:graphicData uri="http://schemas.openxmlformats.org/drawingml/2006/picture">
                <pic:pic>
                  <pic:nvPicPr>
                    <pic:cNvPr id="0" name="316f9b0c-0432-41f2-9326-abf558d95283.jpg"/>
                    <pic:cNvPicPr/>
                  </pic:nvPicPr>
                  <pic:blipFill>
                    <a:blip r:embed="rId9"/>
                    <a:stretch>
                      <a:fillRect/>
                    </a:stretch>
                  </pic:blipFill>
                  <pic:spPr>
                    <a:xfrm>
                      <a:off x="0" y="0"/>
                      <a:ext cx="4666678" cy="3497250"/>
                    </a:xfrm>
                    <a:prstGeom prst="rect"/>
                  </pic:spPr>
                </pic:pic>
              </a:graphicData>
            </a:graphic>
          </wp:inline>
        </w:drawing>
      </w:r>
    </w:p>
    <w:p>
      <w:r>
        <w:br w:type="page"/>
      </w:r>
    </w:p>
    <w:p>
      <w:pPr>
        <w:pStyle w:val="Heading2"/>
        <w:jc w:val="left"/>
        <w:spacing w:before="0" w:after="0" w:line="360" w:lineRule="auto"/>
      </w:pPr>
      <w:r>
        <w:rPr>
          <w:rFonts w:ascii="Times New Roman" w:hAnsi="Times New Roman" w:eastAsia="宋体"/>
          <w:b/>
          <w:i w:val="0"/>
          <w:color w:val="000000"/>
          <w:sz w:val="30"/>
          <w:u w:val="none"/>
        </w:rPr>
        <w:t>1.7 私有云平台建设</w:t>
      </w:r>
    </w:p>
    <w:p>
      <w:pPr>
        <w:pStyle w:val="Heading1"/>
        <w:jc w:val="left"/>
        <w:spacing w:before="0" w:after="0" w:line="360" w:lineRule="auto"/>
      </w:pPr>
      <w:r>
        <w:rPr>
          <w:rFonts w:ascii="Times New Roman" w:hAnsi="Times New Roman" w:eastAsia="宋体"/>
          <w:b/>
          <w:i w:val="0"/>
          <w:color w:val="000000"/>
          <w:sz w:val="32"/>
          <w:u w:val="none"/>
        </w:rPr>
        <w:t>第2章 项目背景与现状挑战</w:t>
      </w:r>
    </w:p>
    <w:p>
      <w:pPr>
        <w:ind w:firstLineChars="200"/>
        <w:spacing w:before="0" w:after="0" w:line="360" w:lineRule="auto"/>
      </w:pPr>
      <w:r>
        <w:rPr>
          <w:rFonts w:ascii="Times New Roman" w:hAnsi="Times New Roman" w:eastAsia="宋体"/>
          <w:b w:val="0"/>
          <w:i w:val="0"/>
          <w:color w:val="000000"/>
          <w:sz w:val="24"/>
          <w:u w:val="none"/>
        </w:rPr>
        <w:t>当前，企业IT基础架构正面临严峻的生命周期与效能挑战。绝大多数物理服务器已在网运行超过5年，部分核心设备服役年限甚至超过8年，硬件老化严重，故障风险激增。传统“烟囱式”的孤岛架构导致计算资源利用率低下，缺乏有效的冗余机制，为业务连续性带来重大安全隐患。与此同时，随着数字化转型的深入，新业务上线需求迫切，但受限于机房物理空间饱和及电力供应瓶颈，无法通过传统的堆叠硬件方式扩容。此外，非结构化数据（文件、日志等）散落在各个独立系统与存储设备中，缺乏统一的数据治理平台，导致管理效率低下且数据合规风险高企。</w:t>
      </w:r>
    </w:p>
    <w:p>
      <w:r>
        <w:br w:type="page"/>
      </w:r>
    </w:p>
    <w:p>
      <w:pPr>
        <w:pStyle w:val="Heading1"/>
        <w:jc w:val="left"/>
        <w:spacing w:before="0" w:after="0" w:line="360" w:lineRule="auto"/>
      </w:pPr>
      <w:r>
        <w:rPr>
          <w:rFonts w:ascii="Times New Roman" w:hAnsi="Times New Roman" w:eastAsia="宋体"/>
          <w:b/>
          <w:i w:val="0"/>
          <w:color w:val="000000"/>
          <w:sz w:val="32"/>
          <w:u w:val="none"/>
        </w:rPr>
        <w:t>第3章 建设目标</w:t>
      </w:r>
    </w:p>
    <w:p>
      <w:pPr>
        <w:ind w:firstLineChars="200"/>
        <w:spacing w:before="0" w:after="0" w:line="360" w:lineRule="auto"/>
      </w:pPr>
      <w:r>
        <w:rPr>
          <w:rFonts w:ascii="Times New Roman" w:hAnsi="Times New Roman" w:eastAsia="宋体"/>
          <w:b w:val="0"/>
          <w:i w:val="0"/>
          <w:color w:val="000000"/>
          <w:sz w:val="24"/>
          <w:u w:val="none"/>
        </w:rPr>
        <w:t>旨在构建一套具备高可用、高扩展及高安全性的企业级私有云平台。通过引入先进的云计算技术，实现从底层硬件到上层应用的全面解耦与重构，解决资源瓶颈、数据孤岛及运维复杂等核心痛点，并为未来的混合云战略奠定坚实基础。</w:t>
      </w:r>
    </w:p>
    <w:p>
      <w:r>
        <w:br w:type="page"/>
      </w:r>
    </w:p>
    <w:p>
      <w:pPr>
        <w:pStyle w:val="Heading1"/>
        <w:jc w:val="left"/>
        <w:spacing w:before="0" w:after="0" w:line="360" w:lineRule="auto"/>
      </w:pPr>
      <w:r>
        <w:rPr>
          <w:rFonts w:ascii="Times New Roman" w:hAnsi="Times New Roman" w:eastAsia="宋体"/>
          <w:b/>
          <w:i w:val="0"/>
          <w:color w:val="000000"/>
          <w:sz w:val="32"/>
          <w:u w:val="none"/>
        </w:rPr>
        <w:t>第4章 详细建设方案</w:t>
      </w:r>
    </w:p>
    <w:p>
      <w:pPr>
        <w:ind w:firstLineChars="200"/>
        <w:spacing w:before="0" w:after="0" w:line="360" w:lineRule="auto"/>
      </w:pPr>
      <w:r>
        <w:rPr>
          <w:rFonts w:ascii="Times New Roman" w:hAnsi="Times New Roman" w:eastAsia="宋体"/>
          <w:b w:val="0"/>
          <w:i w:val="0"/>
          <w:color w:val="000000"/>
          <w:sz w:val="24"/>
          <w:u w:val="none"/>
        </w:rPr>
        <w:t>1. 基础架构重构：存算分离的软件定义数据中心（SDDC）</w:t>
      </w:r>
    </w:p>
    <w:p>
      <w:pPr>
        <w:ind w:firstLineChars="200"/>
        <w:spacing w:before="0" w:after="0" w:line="360" w:lineRule="auto"/>
      </w:pPr>
      <w:r>
        <w:rPr>
          <w:rFonts w:ascii="Times New Roman" w:hAnsi="Times New Roman" w:eastAsia="宋体"/>
          <w:b w:val="0"/>
          <w:i w:val="0"/>
          <w:color w:val="000000"/>
          <w:sz w:val="24"/>
          <w:u w:val="none"/>
        </w:rPr>
        <w:t>计算与存储采用存算分离架构，前端利用服务器虚拟化技术实现计算资源的池化与弹性调度，消除硬件依赖；结合网络虚拟化技术，构建灵活的逻辑网络拓扑，满足多租户、多业务场景下的网络隔离与按需分配需求。后端部署企业级分布式存储，构建统一数据存储，支持块存储、文件存储、对象存储协议，打破数据孤岛，在提供高性能存储池以支撑核心数据库的高并发读写需求的同时利用大容量存储池为企业邮箱、OA系统及NAS文件服务提供海量归档与备份空间，实现全域数据的统一生命周期管理。</w:t>
      </w:r>
    </w:p>
    <w:p>
      <w:pPr>
        <w:ind w:firstLineChars="200"/>
        <w:spacing w:before="0" w:after="0" w:line="360" w:lineRule="auto"/>
      </w:pPr>
      <w:r>
        <w:rPr>
          <w:rFonts w:ascii="Times New Roman" w:hAnsi="Times New Roman" w:eastAsia="宋体"/>
          <w:b w:val="0"/>
          <w:i w:val="0"/>
          <w:color w:val="000000"/>
          <w:sz w:val="24"/>
          <w:u w:val="none"/>
        </w:rPr>
        <w:t>2. 云原生转型：IaaS与PaaS融合的一体化平台</w:t>
      </w:r>
    </w:p>
    <w:p>
      <w:pPr>
        <w:ind w:firstLineChars="200"/>
        <w:spacing w:before="0" w:after="0" w:line="360" w:lineRule="auto"/>
      </w:pPr>
      <w:r>
        <w:rPr>
          <w:rFonts w:ascii="Times New Roman" w:hAnsi="Times New Roman" w:eastAsia="宋体"/>
          <w:b w:val="0"/>
          <w:i w:val="0"/>
          <w:color w:val="000000"/>
          <w:sz w:val="24"/>
          <w:u w:val="none"/>
        </w:rPr>
        <w:t>在存算分离的IaaS底座之上，集成容器引擎SKE（Sangfor Kubernetes Engine），实现生产级Kubernetes集群的快速部署交付。平台提供“所见即所得”的容器管理能力，涵盖容器的创建、自动化编排、弹性伸缩、实时监控、日志采集及事件审计等全流程，构建IaaS+PaaS一体化的敏捷交付体系，加速业务应用的现代化改造与快速迭代。</w:t>
      </w:r>
    </w:p>
    <w:p>
      <w:pPr>
        <w:ind w:firstLineChars="200"/>
        <w:spacing w:before="0" w:after="0" w:line="360" w:lineRule="auto"/>
      </w:pPr>
      <w:r>
        <w:rPr>
          <w:rFonts w:ascii="Times New Roman" w:hAnsi="Times New Roman" w:eastAsia="宋体"/>
          <w:b w:val="0"/>
          <w:i w:val="0"/>
          <w:color w:val="000000"/>
          <w:sz w:val="24"/>
          <w:u w:val="none"/>
        </w:rPr>
        <w:t>3. 内生安全体系：云网端立体防护</w:t>
      </w:r>
    </w:p>
    <w:p>
      <w:pPr>
        <w:ind w:firstLineChars="200"/>
        <w:spacing w:before="0" w:after="0" w:line="360" w:lineRule="auto"/>
      </w:pPr>
      <w:r>
        <w:rPr>
          <w:rFonts w:ascii="Times New Roman" w:hAnsi="Times New Roman" w:eastAsia="宋体"/>
          <w:b w:val="0"/>
          <w:i w:val="0"/>
          <w:color w:val="000000"/>
          <w:sz w:val="24"/>
          <w:u w:val="none"/>
        </w:rPr>
        <w:t>在私有云平台内部署同品牌的虚拟化安全组件，包括虚拟堡垒机、虚拟日志审计系统等，实现安全能力的按需部署与弹性扩展。同时依托虚拟化底层的微隔离技术与流量牵引能力，实现从网络边界到主机内部的纵深防御体系。通过云平台与安全组件的深度联动，实现威胁的主动感知与自动阻断，完成从被动防御到主动安全加固的转变。</w:t>
      </w:r>
    </w:p>
    <w:p>
      <w:pPr>
        <w:ind w:firstLineChars="200"/>
        <w:spacing w:before="0" w:after="0" w:line="360" w:lineRule="auto"/>
      </w:pPr>
      <w:r>
        <w:rPr>
          <w:rFonts w:ascii="Times New Roman" w:hAnsi="Times New Roman" w:eastAsia="宋体"/>
          <w:b w:val="0"/>
          <w:i w:val="0"/>
          <w:color w:val="000000"/>
          <w:sz w:val="24"/>
          <w:u w:val="none"/>
        </w:rPr>
        <w:t>4. 统一云管平台与智能运维数据库</w:t>
      </w:r>
    </w:p>
    <w:p>
      <w:pPr>
        <w:ind w:firstLineChars="200"/>
        <w:spacing w:before="0" w:after="0" w:line="360" w:lineRule="auto"/>
      </w:pPr>
      <w:r>
        <w:rPr>
          <w:rFonts w:ascii="Times New Roman" w:hAnsi="Times New Roman" w:eastAsia="宋体"/>
          <w:b w:val="0"/>
          <w:i w:val="0"/>
          <w:color w:val="000000"/>
          <w:sz w:val="24"/>
          <w:u w:val="none"/>
        </w:rPr>
        <w:t>部署统一的云管理平台（SCP），对计算、网络、存储资源进行全局可视化监控与精细化配额管理。依托数据库管理组件，提供标准化、自动化的数据库服务能力，涵盖数据库的自动化部署、异构数据库迁移、定时/实时备份、性能监控告警等。提升数据库自治运维能力，通过智能分析解决可靠性难题，大幅降低数据库运维门槛与人力成本。</w:t>
      </w:r>
    </w:p>
    <w:p>
      <w:pPr>
        <w:ind w:firstLineChars="200"/>
        <w:spacing w:before="0" w:after="0" w:line="360" w:lineRule="auto"/>
      </w:pPr>
      <w:r>
        <w:rPr>
          <w:rFonts w:ascii="Times New Roman" w:hAnsi="Times New Roman" w:eastAsia="宋体"/>
          <w:b w:val="0"/>
          <w:i w:val="0"/>
          <w:color w:val="000000"/>
          <w:sz w:val="24"/>
          <w:u w:val="none"/>
        </w:rPr>
        <w:t>5. 混合云容灾与演进：构建无界云生态</w:t>
      </w:r>
    </w:p>
    <w:p>
      <w:pPr>
        <w:ind w:firstLineChars="200"/>
        <w:spacing w:before="0" w:after="0" w:line="360" w:lineRule="auto"/>
      </w:pPr>
      <w:r>
        <w:rPr>
          <w:rFonts w:ascii="Times New Roman" w:hAnsi="Times New Roman" w:eastAsia="宋体"/>
          <w:b w:val="0"/>
          <w:i w:val="0"/>
          <w:color w:val="000000"/>
          <w:sz w:val="24"/>
          <w:u w:val="none"/>
        </w:rPr>
        <w:t>打通私有云与托管云之间的逻辑边界，实现统一资源管理与调配。建立私有云到托管云的高速数据通道，实现核心数据的快速云端备份。针对互联网出口类业务或弹性突发业务，平滑迁移至托管云平台运行。构建基于混合云架构的应用级容灾方案，支持关键业务在云上、云下的双向快速迁移与故障切换，确保极端情况下的业务连续性，实现资产轻量化与容灾高可用。</w:t>
      </w:r>
    </w:p>
    <w:p>
      <w:pPr>
        <w:ind w:firstLineChars="200"/>
        <w:spacing w:before="0" w:after="0" w:line="360" w:lineRule="auto"/>
      </w:pPr>
      <w:r>
        <w:rPr>
          <w:rFonts w:ascii="Times New Roman" w:hAnsi="Times New Roman" w:eastAsia="宋体"/>
          <w:b w:val="0"/>
          <w:i w:val="0"/>
          <w:color w:val="000000"/>
          <w:sz w:val="24"/>
          <w:u w:val="none"/>
        </w:rPr>
        <w:t>6. 安全办公桌面统一发布</w:t>
      </w:r>
    </w:p>
    <w:p>
      <w:pPr>
        <w:ind w:firstLineChars="200"/>
        <w:spacing w:before="0" w:after="0" w:line="360" w:lineRule="auto"/>
      </w:pPr>
      <w:r>
        <w:rPr>
          <w:rFonts w:ascii="Times New Roman" w:hAnsi="Times New Roman" w:eastAsia="宋体"/>
          <w:b w:val="0"/>
          <w:i w:val="0"/>
          <w:color w:val="000000"/>
          <w:sz w:val="24"/>
          <w:u w:val="none"/>
        </w:rPr>
        <w:t>在虚拟化平台中发布云桌面，主要用于两个场景，第一个场景为外部客户通过固定IP访问外网文献，客户通过零信任身份认证后，可以接入内部桌面（用于固定IP对于外部网站的访问），通过桌面固定内网IP获取外网文献；第二个场景为内部投标使用，用于多种CA认证的投标场景使用（发布不同CA版本桌面，员工通过USB设备直通进行授权，将本地的文件上传到云桌面后进行投标），配备单独的瘦终端用于接入使用。</w:t>
      </w:r>
    </w:p>
    <w:p>
      <w:r>
        <w:br w:type="page"/>
      </w:r>
    </w:p>
    <w:p>
      <w:pPr>
        <w:pStyle w:val="Heading2"/>
        <w:jc w:val="left"/>
        <w:spacing w:before="0" w:after="0" w:line="360" w:lineRule="auto"/>
      </w:pPr>
      <w:r>
        <w:rPr>
          <w:rFonts w:ascii="Times New Roman" w:hAnsi="Times New Roman" w:eastAsia="宋体"/>
          <w:b/>
          <w:i w:val="0"/>
          <w:color w:val="000000"/>
          <w:sz w:val="30"/>
          <w:u w:val="none"/>
        </w:rPr>
        <w:t>4.1 信息安全建设</w:t>
      </w:r>
    </w:p>
    <w:p>
      <w:pPr>
        <w:ind w:firstLineChars="200"/>
        <w:spacing w:before="0" w:after="0" w:line="360" w:lineRule="auto"/>
      </w:pPr>
      <w:r>
        <w:rPr>
          <w:rFonts w:ascii="Times New Roman" w:hAnsi="Times New Roman" w:eastAsia="宋体"/>
          <w:b w:val="0"/>
          <w:i w:val="0"/>
          <w:color w:val="000000"/>
          <w:sz w:val="24"/>
          <w:u w:val="none"/>
        </w:rPr>
        <w:t>随着5G、wifi、各种app、各业务系统在企业普及，信息安全风险也随之而来，数据丢失（误删除、被窃取、设备丢失等）、被勒索加密、业务中断等都会给企业带来巨大损失，按照《网络安全法》中网络安全等级保护标准进行建设是有效降低和规避风险的有效方法，需按照二级等保标准进行安全建设：</w:t>
      </w:r>
    </w:p>
    <w:p>
      <w:pPr>
        <w:ind w:firstLineChars="200"/>
        <w:spacing w:before="0" w:after="0" w:line="360" w:lineRule="auto"/>
      </w:pPr>
      <w:r>
        <w:rPr>
          <w:rFonts w:ascii="Times New Roman" w:hAnsi="Times New Roman" w:eastAsia="宋体"/>
          <w:b w:val="0"/>
          <w:i w:val="0"/>
          <w:color w:val="000000"/>
          <w:sz w:val="24"/>
          <w:u w:val="none"/>
        </w:rPr>
        <w:t>▶ 部署互联网出口防火墙</w:t>
      </w:r>
    </w:p>
    <w:p>
      <w:pPr>
        <w:ind w:firstLineChars="200"/>
        <w:spacing w:before="0" w:after="0" w:line="360" w:lineRule="auto"/>
      </w:pPr>
      <w:r>
        <w:rPr>
          <w:rFonts w:ascii="Times New Roman" w:hAnsi="Times New Roman" w:eastAsia="宋体"/>
          <w:b w:val="0"/>
          <w:i w:val="0"/>
          <w:color w:val="000000"/>
          <w:sz w:val="24"/>
          <w:u w:val="none"/>
        </w:rPr>
        <w:t>▶ 部署上网行为管理</w:t>
      </w:r>
    </w:p>
    <w:p>
      <w:pPr>
        <w:ind w:firstLineChars="200"/>
        <w:spacing w:before="0" w:after="0" w:line="360" w:lineRule="auto"/>
      </w:pPr>
      <w:r>
        <w:rPr>
          <w:rFonts w:ascii="Times New Roman" w:hAnsi="Times New Roman" w:eastAsia="宋体"/>
          <w:b w:val="0"/>
          <w:i w:val="0"/>
          <w:color w:val="000000"/>
          <w:sz w:val="24"/>
          <w:u w:val="none"/>
        </w:rPr>
        <w:t>▶ 在云平台中部署安全资源池，提供日志审计、堡垒机、零信任、区域防火墙、入侵检测等功能组件</w:t>
      </w:r>
    </w:p>
    <w:p>
      <w:pPr>
        <w:ind w:firstLineChars="200"/>
        <w:spacing w:before="0" w:after="0" w:line="360" w:lineRule="auto"/>
      </w:pPr>
      <w:r>
        <w:rPr>
          <w:rFonts w:ascii="Times New Roman" w:hAnsi="Times New Roman" w:eastAsia="宋体"/>
          <w:b w:val="0"/>
          <w:i w:val="0"/>
          <w:color w:val="000000"/>
          <w:sz w:val="24"/>
          <w:u w:val="none"/>
        </w:rPr>
        <w:t>▶ 综合分析管理平台（XDR）</w:t>
      </w:r>
    </w:p>
    <w:p>
      <w:pPr>
        <w:ind w:firstLineChars="200"/>
        <w:spacing w:before="0" w:after="0" w:line="360" w:lineRule="auto"/>
      </w:pPr>
      <w:r>
        <w:rPr>
          <w:rFonts w:ascii="Times New Roman" w:hAnsi="Times New Roman" w:eastAsia="宋体"/>
          <w:b w:val="0"/>
          <w:i w:val="0"/>
          <w:color w:val="000000"/>
          <w:sz w:val="24"/>
          <w:u w:val="none"/>
        </w:rPr>
        <w:t>▶ 部署EDR终端安全管理模块</w:t>
      </w:r>
    </w:p>
    <w:p>
      <w:pPr>
        <w:ind w:firstLineChars="200"/>
        <w:spacing w:before="0" w:after="0" w:line="360" w:lineRule="auto"/>
      </w:pPr>
      <w:r>
        <w:rPr>
          <w:rFonts w:ascii="Times New Roman" w:hAnsi="Times New Roman" w:eastAsia="宋体"/>
          <w:b w:val="0"/>
          <w:i w:val="0"/>
          <w:color w:val="000000"/>
          <w:sz w:val="24"/>
          <w:u w:val="none"/>
        </w:rPr>
        <w:t>▶ 部署备份平台，定期进行恢复测试</w:t>
      </w:r>
    </w:p>
    <w:p>
      <w:pPr>
        <w:ind w:firstLineChars="200"/>
        <w:spacing w:before="0" w:after="0" w:line="360" w:lineRule="auto"/>
      </w:pPr>
      <w:r>
        <w:rPr>
          <w:rFonts w:ascii="Times New Roman" w:hAnsi="Times New Roman" w:eastAsia="宋体"/>
          <w:b w:val="0"/>
          <w:i w:val="0"/>
          <w:color w:val="000000"/>
          <w:sz w:val="24"/>
          <w:u w:val="none"/>
        </w:rPr>
        <w:t>▶ 引入漏洞扫描、风险评估等安全服务</w:t>
      </w:r>
    </w:p>
    <w:p>
      <w:r>
        <w:br w:type="page"/>
      </w:r>
    </w:p>
    <w:p>
      <w:pPr>
        <w:pStyle w:val="Heading1"/>
        <w:jc w:val="left"/>
        <w:spacing w:before="0" w:after="0" w:line="360" w:lineRule="auto"/>
      </w:pPr>
      <w:r>
        <w:rPr>
          <w:rFonts w:ascii="Times New Roman" w:hAnsi="Times New Roman" w:eastAsia="宋体"/>
          <w:b/>
          <w:i w:val="0"/>
          <w:color w:val="000000"/>
          <w:sz w:val="32"/>
          <w:u w:val="none"/>
        </w:rPr>
        <w:t>第5章 需求清单</w:t>
      </w:r>
    </w:p>
    <w:p>
      <w:pPr>
        <w:pStyle w:val="Heading2"/>
        <w:jc w:val="left"/>
        <w:spacing w:before="0" w:after="0" w:line="360" w:lineRule="auto"/>
      </w:pPr>
      <w:r>
        <w:rPr>
          <w:rFonts w:ascii="Times New Roman" w:hAnsi="Times New Roman" w:eastAsia="宋体"/>
          <w:b/>
          <w:i w:val="0"/>
          <w:color w:val="000000"/>
          <w:sz w:val="30"/>
          <w:u w:val="none"/>
        </w:rPr>
        <w:t>5.1 交换机</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729"/>
        <w:gridCol w:w="1729"/>
        <w:gridCol w:w="1729"/>
        <w:gridCol w:w="1729"/>
        <w:gridCol w:w="1729"/>
      </w:tblGrid>
      <w:tr>
        <w:trPr>
          <w:tblHeader/>
        </w:trPr>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bl>
    <w:p>
      <w:r>
        <w:br w:type="page"/>
      </w:r>
    </w:p>
    <w:p>
      <w:pPr>
        <w:pStyle w:val="Heading2"/>
        <w:jc w:val="left"/>
        <w:spacing w:before="0" w:after="0" w:line="360" w:lineRule="auto"/>
      </w:pPr>
      <w:r>
        <w:rPr>
          <w:rFonts w:ascii="Times New Roman" w:hAnsi="Times New Roman" w:eastAsia="宋体"/>
          <w:b/>
          <w:i w:val="0"/>
          <w:color w:val="000000"/>
          <w:sz w:val="30"/>
          <w:u w:val="none"/>
        </w:rPr>
        <w:t>5.2 语音电话</w:t>
      </w:r>
    </w:p>
    <w:p>
      <w:pPr>
        <w:spacing w:before="283"/>
        <w:jc w:val="center"/>
      </w:pPr>
      <w:r>
        <w:drawing>
          <wp:inline xmlns:a="http://schemas.openxmlformats.org/drawingml/2006/main" xmlns:pic="http://schemas.openxmlformats.org/drawingml/2006/picture">
            <wp:extent cx="4666678" cy="2662470"/>
            <wp:docPr id="2" name="Picture 2"/>
            <wp:cNvGraphicFramePr>
              <a:graphicFrameLocks noChangeAspect="1"/>
            </wp:cNvGraphicFramePr>
            <a:graphic>
              <a:graphicData uri="http://schemas.openxmlformats.org/drawingml/2006/picture">
                <pic:pic>
                  <pic:nvPicPr>
                    <pic:cNvPr id="0" name="5b14ac3b-c0dd-4b7b-8061-4c5775facbcf.jpg"/>
                    <pic:cNvPicPr/>
                  </pic:nvPicPr>
                  <pic:blipFill>
                    <a:blip r:embed="rId10"/>
                    <a:stretch>
                      <a:fillRect/>
                    </a:stretch>
                  </pic:blipFill>
                  <pic:spPr>
                    <a:xfrm>
                      <a:off x="0" y="0"/>
                      <a:ext cx="4666678" cy="2662470"/>
                    </a:xfrm>
                    <a:prstGeom prst="rect"/>
                  </pic:spPr>
                </pic:pic>
              </a:graphicData>
            </a:graphic>
          </wp:inline>
        </w:drawing>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441"/>
        <w:gridCol w:w="1441"/>
        <w:gridCol w:w="1441"/>
        <w:gridCol w:w="1441"/>
        <w:gridCol w:w="1441"/>
        <w:gridCol w:w="1441"/>
      </w:tblGrid>
      <w:tr>
        <w:trPr>
          <w:tblHeader/>
        </w:trPr>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441"/>
            <w:vAlign w:val="center"/>
            <w:shd w:val="clear" w:color="auto" w:fill="D6E7F5"/>
            <w:tcW w:w="0" w:type="auto"/>
          </w:tcPr>
          <w:p>
            <w:pPr>
              <w:jc w:val="center"/>
            </w:pPr>
            <w:r>
              <w:rPr>
                <w:rFonts w:ascii="Times New Roman" w:hAnsi="Times New Roman" w:eastAsia="SimSun"/>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r>
        <w:tc>
          <w:tcPr>
            <w:tcW w:type="dxa" w:w="1441"/>
            <w:vAlign w:val="center"/>
            <w:tcW w:w="0" w:type="auto"/>
          </w:tcPr>
          <w:p>
            <w:pPr>
              <w:jc w:val="center"/>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c>
          <w:tcPr>
            <w:tcW w:type="dxa" w:w="1441"/>
            <w:tcW w:w="0" w:type="auto"/>
          </w:tcPr>
          <w:p>
            <w:pPr>
              <w:jc w:val="left"/>
            </w:pPr>
            <w:r>
              <w:rPr>
                <w:rFonts w:ascii="Times New Roman" w:hAnsi="Times New Roman" w:eastAsia="FangSong"/>
                <w:b w:val="0"/>
                <w:i w:val="0"/>
                <w:color w:val="000000"/>
                <w:sz w:val="24"/>
                <w:u w:val="none"/>
              </w:rPr>
            </w:r>
          </w:p>
        </w:tc>
      </w:tr>
    </w:tbl>
    <w:p>
      <w:r>
        <w:br w:type="page"/>
      </w:r>
    </w:p>
    <w:p>
      <w:pPr>
        <w:pStyle w:val="Heading2"/>
        <w:jc w:val="left"/>
        <w:spacing w:before="0" w:after="0" w:line="360" w:lineRule="auto"/>
      </w:pPr>
      <w:r>
        <w:rPr>
          <w:rFonts w:ascii="Times New Roman" w:hAnsi="Times New Roman" w:eastAsia="宋体"/>
          <w:b/>
          <w:i w:val="0"/>
          <w:color w:val="000000"/>
          <w:sz w:val="30"/>
          <w:u w:val="none"/>
        </w:rPr>
        <w:t>5.3 服务器和存储</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729"/>
        <w:gridCol w:w="1729"/>
        <w:gridCol w:w="1729"/>
        <w:gridCol w:w="1729"/>
        <w:gridCol w:w="1729"/>
      </w:tblGrid>
      <w:tr>
        <w:trPr>
          <w:tblHeader/>
        </w:trPr>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bl>
    <w:p>
      <w:r>
        <w:br w:type="page"/>
      </w:r>
    </w:p>
    <w:p>
      <w:pPr>
        <w:pStyle w:val="Heading2"/>
        <w:jc w:val="left"/>
        <w:spacing w:before="0" w:after="0" w:line="360" w:lineRule="auto"/>
      </w:pPr>
      <w:r>
        <w:rPr>
          <w:rFonts w:ascii="Times New Roman" w:hAnsi="Times New Roman" w:eastAsia="宋体"/>
          <w:b/>
          <w:i w:val="0"/>
          <w:color w:val="000000"/>
          <w:sz w:val="30"/>
          <w:u w:val="none"/>
        </w:rPr>
        <w:t>5.4 安全</w:t>
      </w:r>
    </w:p>
    <w:tbl>
      <w:tblPr>
        <w:tblStyle w:val="TableGrid"/>
        <w:tblW w:type="auto" w:w="0"/>
        <w:tblLook w:firstColumn="1" w:firstRow="1" w:lastColumn="0" w:lastRow="0" w:noHBand="0" w:noVBand="1" w:val="04A0"/>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blGrid>
        <w:gridCol w:w="1729"/>
        <w:gridCol w:w="1729"/>
        <w:gridCol w:w="1729"/>
        <w:gridCol w:w="1729"/>
        <w:gridCol w:w="1729"/>
      </w:tblGrid>
      <w:tr>
        <w:trPr>
          <w:tblHeader/>
        </w:trPr>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c>
          <w:tcPr>
            <w:tcW w:type="dxa" w:w="1729"/>
            <w:vAlign w:val="center"/>
            <w:shd w:val="clear" w:color="auto" w:fill="D6E7F5"/>
            <w:tcW w:w="0" w:type="auto"/>
          </w:tcPr>
          <w:p>
            <w:pPr>
              <w:jc w:val="center"/>
            </w:pPr>
            <w:r>
              <w:rPr>
                <w:rFonts w:ascii="Times New Roman" w:hAnsi="Times New Roman" w:eastAsia="SimSun"/>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r>
        <w:tc>
          <w:tcPr>
            <w:tcW w:type="dxa" w:w="1729"/>
            <w:vAlign w:val="center"/>
            <w:tcW w:w="0" w:type="auto"/>
          </w:tcPr>
          <w:p>
            <w:pPr>
              <w:jc w:val="center"/>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c>
          <w:tcPr>
            <w:tcW w:type="dxa" w:w="1729"/>
            <w:tcW w:w="0" w:type="auto"/>
          </w:tcPr>
          <w:p>
            <w:pPr>
              <w:jc w:val="left"/>
            </w:pPr>
            <w:r>
              <w:rPr>
                <w:rFonts w:ascii="Times New Roman" w:hAnsi="Times New Roman" w:eastAsia="FangSong"/>
                <w:b w:val="0"/>
                <w:i w:val="0"/>
                <w:color w:val="000000"/>
                <w:sz w:val="24"/>
                <w:u w:val="none"/>
              </w:rPr>
            </w:r>
          </w:p>
        </w:tc>
      </w:tr>
    </w:tbl>
    <w:p>
      <w:r>
        <w:br w:type="page"/>
      </w:r>
    </w:p>
    <w:p>
      <w:pPr>
        <w:pStyle w:val="Heading2"/>
        <w:jc w:val="left"/>
        <w:spacing w:before="0" w:after="0" w:line="360" w:lineRule="auto"/>
      </w:pPr>
      <w:r>
        <w:rPr>
          <w:rFonts w:ascii="Times New Roman" w:hAnsi="Times New Roman" w:eastAsia="宋体"/>
          <w:b/>
          <w:i w:val="0"/>
          <w:color w:val="000000"/>
          <w:sz w:val="30"/>
          <w:u w:val="none"/>
        </w:rPr>
        <w:t>5.5 招标参数推荐</w:t>
      </w:r>
    </w:p>
    <w:p>
      <w:pPr>
        <w:ind w:firstLineChars="200"/>
        <w:spacing w:before="0" w:after="0" w:line="360" w:lineRule="auto"/>
      </w:pPr>
      <w:r>
        <w:rPr>
          <w:rFonts w:ascii="Times New Roman" w:hAnsi="Times New Roman" w:eastAsia="宋体"/>
          <w:b w:val="0"/>
          <w:i w:val="0"/>
          <w:color w:val="000000"/>
          <w:sz w:val="24"/>
          <w:u w:val="none"/>
        </w:rPr>
        <w:t>防火墙</w:t>
      </w:r>
    </w:p>
    <w:p>
      <w:pPr>
        <w:ind w:firstLineChars="200"/>
        <w:spacing w:before="0" w:after="0" w:line="360" w:lineRule="auto"/>
      </w:pPr>
      <w:r>
        <w:rPr>
          <w:rFonts w:ascii="Times New Roman" w:hAnsi="Times New Roman" w:eastAsia="宋体"/>
          <w:b w:val="0"/>
          <w:i w:val="0"/>
          <w:color w:val="000000"/>
          <w:sz w:val="24"/>
          <w:u w:val="none"/>
        </w:rPr>
        <w:t>1.防火墙防护功能包含但不限于ACL访问控制、应用识别、IDS入侵检测、IPS入侵防御、AV网络病毒过滤、DDos防护、僵尸网络检测、海量实时威胁情报。</w:t>
      </w:r>
    </w:p>
    <w:p>
      <w:pPr>
        <w:ind w:firstLineChars="200"/>
        <w:spacing w:before="0" w:after="0" w:line="360" w:lineRule="auto"/>
      </w:pPr>
      <w:r>
        <w:rPr>
          <w:rFonts w:ascii="Times New Roman" w:hAnsi="Times New Roman" w:eastAsia="宋体"/>
          <w:b w:val="0"/>
          <w:i w:val="0"/>
          <w:color w:val="000000"/>
          <w:sz w:val="24"/>
          <w:u w:val="none"/>
        </w:rPr>
        <w:t>2.海量威胁情报，应当实现对威胁流量就近查询，进行实时检测&amp;拦截，实现失陷外联实时阻断，保护资产安全，可用的情报节点应不少于30个以确保查询的稳定性和时效性；并且具备未知威胁主动探测技术，实现5min内未知威胁情报下发设备。（除提供产品功能截图证明外，另需提供第三方权威检测报告证明功能有效性）</w:t>
      </w:r>
    </w:p>
    <w:p>
      <w:pPr>
        <w:ind w:firstLineChars="200"/>
        <w:spacing w:before="0" w:after="0" w:line="360" w:lineRule="auto"/>
      </w:pPr>
      <w:r>
        <w:rPr>
          <w:rFonts w:ascii="Times New Roman" w:hAnsi="Times New Roman" w:eastAsia="宋体"/>
          <w:b w:val="0"/>
          <w:i w:val="0"/>
          <w:color w:val="000000"/>
          <w:sz w:val="24"/>
          <w:u w:val="none"/>
        </w:rPr>
        <w:t>行为管理</w:t>
      </w:r>
    </w:p>
    <w:p>
      <w:pPr>
        <w:ind w:firstLineChars="200"/>
        <w:spacing w:before="0" w:after="0" w:line="360" w:lineRule="auto"/>
      </w:pPr>
      <w:r>
        <w:rPr>
          <w:rFonts w:ascii="Times New Roman" w:hAnsi="Times New Roman" w:eastAsia="宋体"/>
          <w:b w:val="0"/>
          <w:i w:val="0"/>
          <w:color w:val="000000"/>
          <w:sz w:val="24"/>
          <w:u w:val="none"/>
        </w:rPr>
        <w:t>1.行为管理功能包含但不限于入网准入、资产管理、上网认证、上网管控、上网审计、流量管理、业务审计、日志记录。</w:t>
      </w:r>
    </w:p>
    <w:p>
      <w:pPr>
        <w:ind w:firstLineChars="200"/>
        <w:spacing w:before="0" w:after="0" w:line="360" w:lineRule="auto"/>
      </w:pPr>
      <w:r>
        <w:rPr>
          <w:rFonts w:ascii="Times New Roman" w:hAnsi="Times New Roman" w:eastAsia="宋体"/>
          <w:b w:val="0"/>
          <w:i w:val="0"/>
          <w:color w:val="000000"/>
          <w:sz w:val="24"/>
          <w:u w:val="none"/>
        </w:rPr>
        <w:t>2.行为管理应当支持完善的应用管理功能，内置丰富的应用识别规则库，支持超过9000种以上应用规则数、支持超过6000种以上的应用；支持根据标签选择应用，并支持给每个应用自定义标签；支持根据标签选择一类应用做控制；支持超过900种主流SaaS应用，对SaaS应用有默认分类标签，便于统一配置策略。（除提供产品功能截图证明外，还需提供第三方权威检测报告证明功能有效性）</w:t>
      </w:r>
    </w:p>
    <w:p>
      <w:pPr>
        <w:ind w:firstLineChars="200"/>
        <w:spacing w:before="0" w:after="0" w:line="360" w:lineRule="auto"/>
      </w:pPr>
      <w:r>
        <w:rPr>
          <w:rFonts w:ascii="Times New Roman" w:hAnsi="Times New Roman" w:eastAsia="宋体"/>
          <w:b w:val="0"/>
          <w:i w:val="0"/>
          <w:color w:val="000000"/>
          <w:sz w:val="24"/>
          <w:u w:val="none"/>
        </w:rPr>
        <w:t>零信任</w:t>
      </w:r>
    </w:p>
    <w:p>
      <w:pPr>
        <w:ind w:firstLineChars="200"/>
        <w:spacing w:before="0" w:after="0" w:line="360" w:lineRule="auto"/>
      </w:pPr>
      <w:r>
        <w:rPr>
          <w:rFonts w:ascii="Times New Roman" w:hAnsi="Times New Roman" w:eastAsia="宋体"/>
          <w:b w:val="0"/>
          <w:i w:val="0"/>
          <w:color w:val="000000"/>
          <w:sz w:val="24"/>
          <w:u w:val="none"/>
        </w:rPr>
        <w:t>1.零信任具备完善的业务安全接入能力，包含但不限于上线准入、身份认证、加密通信、访问审计、服务隐身、通信优化、智能权限、资源诊断。</w:t>
      </w:r>
    </w:p>
    <w:p>
      <w:pPr>
        <w:ind w:firstLineChars="200"/>
        <w:spacing w:before="0" w:after="0" w:line="360" w:lineRule="auto"/>
      </w:pPr>
      <w:r>
        <w:rPr>
          <w:rFonts w:ascii="Times New Roman" w:hAnsi="Times New Roman" w:eastAsia="宋体"/>
          <w:b w:val="0"/>
          <w:i w:val="0"/>
          <w:color w:val="000000"/>
          <w:sz w:val="24"/>
          <w:u w:val="none"/>
        </w:rPr>
        <w:t>2.零信任应当支持单包授权能力（SPA），支持UDP+TCP组合的单包授权技术，未授权用户无法连接零信任设备，无法扫描到服务端口，不会出现敲门放大漏洞；PC端和移动端均支持通过安全码激活客户端为授权客户端，从而可进行SPA敲门和连接，安全码支持共享码、一人一码和一次一码等多种模式，支持短信分发安全码，保障业务的安全性。不同安全码模式均应同时支持PC端和移动端使用。服务隐身可以最大程度缩小网络、业务暴露面。（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aES杀毒</w:t>
      </w:r>
    </w:p>
    <w:p>
      <w:pPr>
        <w:ind w:firstLineChars="200"/>
        <w:spacing w:before="0" w:after="0" w:line="360" w:lineRule="auto"/>
      </w:pPr>
      <w:r>
        <w:rPr>
          <w:rFonts w:ascii="Times New Roman" w:hAnsi="Times New Roman" w:eastAsia="宋体"/>
          <w:b w:val="0"/>
          <w:i w:val="0"/>
          <w:color w:val="000000"/>
          <w:sz w:val="24"/>
          <w:u w:val="none"/>
        </w:rPr>
        <w:t>1.终端安全具备完善的端点安全管理能力，包含但不限于资产管理、漏洞修复、病毒查杀、入侵检测、入侵防御、攻击遏制、桌管管控。</w:t>
      </w:r>
    </w:p>
    <w:p>
      <w:pPr>
        <w:ind w:firstLineChars="200"/>
        <w:spacing w:before="0" w:after="0" w:line="360" w:lineRule="auto"/>
      </w:pPr>
      <w:r>
        <w:rPr>
          <w:rFonts w:ascii="Times New Roman" w:hAnsi="Times New Roman" w:eastAsia="宋体"/>
          <w:b w:val="0"/>
          <w:i w:val="0"/>
          <w:color w:val="000000"/>
          <w:sz w:val="24"/>
          <w:u w:val="none"/>
        </w:rPr>
        <w:t>2.终端安全应当支持勒索增强防护，包含但不限于支持监控诱饵文件，诱饵文件可被实时监控，当勒索病毒对该文件进行修改或加密操作时进行拦截；支持勒索可疑行为检测，通过行为AI能力对勒索信、命令行、修改文件等多种躲避式投放勒索病毒的高危高频场景进行精准告警和自动拦截；支持基于异常行为AI的实时监测，实现文件动态备份，发生勒索事件时，支持自动删除原始文件夹中被加密的文件夹并隔离文件；支持文件恢复密码保护，用户下发文件恢复操作时需要经过认证校验，确保文件恢复操作的合法性。（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日志审计</w:t>
      </w:r>
    </w:p>
    <w:p>
      <w:pPr>
        <w:ind w:firstLineChars="200"/>
        <w:spacing w:before="0" w:after="0" w:line="360" w:lineRule="auto"/>
      </w:pPr>
      <w:r>
        <w:rPr>
          <w:rFonts w:ascii="Times New Roman" w:hAnsi="Times New Roman" w:eastAsia="宋体"/>
          <w:b w:val="0"/>
          <w:i w:val="0"/>
          <w:color w:val="000000"/>
          <w:sz w:val="24"/>
          <w:u w:val="none"/>
        </w:rPr>
        <w:t>1.日志审计支持采集汇聚不同厂商不同种类的安全设备、网络设备、主机、操作系统、用户业务系统的日志信息，协助用户进行安全分析及合规审计，及时、有效地发现异常安全事件及审计违规。</w:t>
      </w:r>
    </w:p>
    <w:p>
      <w:pPr>
        <w:ind w:firstLineChars="200"/>
        <w:spacing w:before="0" w:after="0" w:line="360" w:lineRule="auto"/>
      </w:pPr>
      <w:r>
        <w:rPr>
          <w:rFonts w:ascii="Times New Roman" w:hAnsi="Times New Roman" w:eastAsia="宋体"/>
          <w:b w:val="0"/>
          <w:i w:val="0"/>
          <w:color w:val="000000"/>
          <w:sz w:val="24"/>
          <w:u w:val="none"/>
        </w:rPr>
        <w:t>2.支持主动、被动相结合的数据采集方式，支持通过Agent采集日志数据，支持通过syslog、SNMP Trap、JDBC、WMI、webservice、FTP、SFTP、文件\文件夹读取、Kafka等多种方式完成日志收集；支持POC测试工具一键生成数据,验证日志数据采集是否成功，避免设备部署后采集失效但不被发现等风险。（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堡垒机</w:t>
      </w:r>
    </w:p>
    <w:p>
      <w:pPr>
        <w:ind w:firstLineChars="200"/>
        <w:spacing w:before="0" w:after="0" w:line="360" w:lineRule="auto"/>
      </w:pPr>
      <w:r>
        <w:rPr>
          <w:rFonts w:ascii="Times New Roman" w:hAnsi="Times New Roman" w:eastAsia="宋体"/>
          <w:b w:val="0"/>
          <w:i w:val="0"/>
          <w:color w:val="000000"/>
          <w:sz w:val="24"/>
          <w:u w:val="none"/>
        </w:rPr>
        <w:t>1.堡垒机支持提供集账号管理、身份认证、单点登录、资源授权、访问控制和操作审计为一体的运维安全审计服务；能够对服务器、网络设备、安全设备、数据库等资产的运维操作过程进行有效的运维操作审计。</w:t>
      </w:r>
    </w:p>
    <w:p>
      <w:pPr>
        <w:ind w:firstLineChars="200"/>
        <w:spacing w:before="0" w:after="0" w:line="360" w:lineRule="auto"/>
      </w:pPr>
      <w:r>
        <w:rPr>
          <w:rFonts w:ascii="Times New Roman" w:hAnsi="Times New Roman" w:eastAsia="宋体"/>
          <w:b w:val="0"/>
          <w:i w:val="0"/>
          <w:color w:val="000000"/>
          <w:sz w:val="24"/>
          <w:u w:val="none"/>
        </w:rPr>
        <w:t>2.堡垒机支持通过动作流配置提供广泛的应用接入支持，无论被接入的资源如何设计登录动作，通过动作流配置都可以实现单点登录和审计接入；支持在授权基础上自定义访问审批流程，可设置一级或多级审批人，每级审批可指定通过投票数，需逐级审批通过才可最终发起运维操作。（提供产品功能截图，证明功能有效性）</w:t>
      </w:r>
    </w:p>
    <w:p>
      <w:pPr>
        <w:ind w:firstLineChars="200"/>
        <w:spacing w:before="0" w:after="0" w:line="360" w:lineRule="auto"/>
      </w:pPr>
      <w:r>
        <w:rPr>
          <w:rFonts w:ascii="Times New Roman" w:hAnsi="Times New Roman" w:eastAsia="宋体"/>
          <w:b w:val="0"/>
          <w:i w:val="0"/>
          <w:color w:val="000000"/>
          <w:sz w:val="24"/>
          <w:u w:val="none"/>
        </w:rPr>
        <w:t>▶ 私有云平台</w:t>
      </w:r>
    </w:p>
    <w:p>
      <w:pPr>
        <w:ind w:firstLineChars="200"/>
        <w:spacing w:before="0" w:after="0" w:line="360" w:lineRule="auto"/>
      </w:pPr>
      <w:r>
        <w:rPr>
          <w:rFonts w:ascii="Times New Roman" w:hAnsi="Times New Roman" w:eastAsia="宋体"/>
          <w:b w:val="0"/>
          <w:i w:val="0"/>
          <w:color w:val="000000"/>
          <w:sz w:val="24"/>
          <w:u w:val="none"/>
        </w:rPr>
        <w:t>▶ 为保障平台上运行业务的安全防护和扩展性和兼容性，平台支持扩展同一品牌的虚拟应用防火墙、虚拟应用交付、SSL VPN软件、数据库审计软件等组件</w:t>
      </w:r>
    </w:p>
    <w:p>
      <w:pPr>
        <w:ind w:firstLineChars="200"/>
        <w:spacing w:before="0" w:after="0" w:line="360" w:lineRule="auto"/>
      </w:pPr>
      <w:r>
        <w:rPr>
          <w:rFonts w:ascii="Times New Roman" w:hAnsi="Times New Roman" w:eastAsia="宋体"/>
          <w:b w:val="0"/>
          <w:i w:val="0"/>
          <w:color w:val="000000"/>
          <w:sz w:val="24"/>
          <w:u w:val="none"/>
        </w:rPr>
        <w:t>▶ 超融合应支持微隔离策略推荐，自动通过访问关系、历史流量和用户配置来生成最适合的微隔离规则，并且可以预发布策略，预览访问关系和防护状况，在二次确认后发布推荐策略。</w:t>
      </w:r>
    </w:p>
    <w:p>
      <w:pPr>
        <w:ind w:firstLineChars="200"/>
        <w:spacing w:before="0" w:after="0" w:line="360" w:lineRule="auto"/>
      </w:pPr>
      <w:r>
        <w:rPr>
          <w:rFonts w:ascii="Times New Roman" w:hAnsi="Times New Roman" w:eastAsia="宋体"/>
          <w:b w:val="0"/>
          <w:i w:val="0"/>
          <w:color w:val="000000"/>
          <w:sz w:val="24"/>
          <w:u w:val="none"/>
        </w:rPr>
        <w:t>超融合平台支持虚拟机和容器集群统一管理，超融合平台账号能够与K8S的RBAC权限关联。支持UI图形化界面一键创建K8S集群，支持联动虚拟机实现创建过程自动化。支持在界面上进行deployment、daemonset、statefulset、cronjob、job类型工作负载生命周期管理。</w:t>
      </w:r>
    </w:p>
    <w:p>
      <w:pPr>
        <w:ind w:firstLineChars="200"/>
        <w:spacing w:before="0" w:after="0" w:line="360" w:lineRule="auto"/>
      </w:pPr>
      <w:r>
        <w:rPr>
          <w:rFonts w:ascii="Times New Roman" w:hAnsi="Times New Roman" w:eastAsia="宋体"/>
          <w:b w:val="0"/>
          <w:i w:val="0"/>
          <w:color w:val="000000"/>
          <w:sz w:val="24"/>
          <w:u w:val="none"/>
        </w:rPr>
        <w:t>数据库单机和集群在出现严重故障的情况下，提供数据库故障自愈能力。根据故障原因自动进行故障进程拉起、集群服务修复、故障节点重启、故障节点异机拉起等自愈操作；对于集群架构，可以在自动修复故障节点后自动重新加回集群中以实现节点冗余度不变。</w:t>
      </w:r>
    </w:p>
    <w:p>
      <w:pPr>
        <w:ind w:firstLineChars="200"/>
        <w:spacing w:before="0" w:after="0" w:line="360" w:lineRule="auto"/>
      </w:pPr>
      <w:r>
        <w:rPr>
          <w:rFonts w:ascii="Times New Roman" w:hAnsi="Times New Roman" w:eastAsia="宋体"/>
          <w:b w:val="0"/>
          <w:i w:val="0"/>
          <w:color w:val="000000"/>
          <w:sz w:val="24"/>
          <w:u w:val="none"/>
        </w:rPr>
        <w:t>支持数据库一键诊断，可覆盖资源、会话、锁、性能分析（包括实时与历史的慢SQL定位和执行计划分析），以便快速了解数据库运行效率，发现性能问题。</w:t>
      </w:r>
    </w:p>
    <w:p>
      <w:pPr>
        <w:ind w:firstLineChars="200"/>
        <w:spacing w:before="0" w:after="0" w:line="360" w:lineRule="auto"/>
      </w:pPr>
      <w:r>
        <w:rPr>
          <w:rFonts w:ascii="Times New Roman" w:hAnsi="Times New Roman" w:eastAsia="宋体"/>
          <w:b w:val="0"/>
          <w:i w:val="0"/>
          <w:color w:val="000000"/>
          <w:sz w:val="24"/>
          <w:u w:val="none"/>
        </w:rPr>
        <w:t>基于业务安全考虑，避免产生额外的经济损失，同时简化安全问题处置复杂度，需要云平台提供可靠的向导化勒索病毒处理流程，包括紧急隔离、保留当前状态、恢复云主机、扫描病毒、恢复网络。并支持事前勒索病毒防护、事中检测疑似勒索可打自动对虚拟机打快照、事后勒索病毒向导化处理</w:t>
      </w:r>
    </w:p>
    <w:p>
      <w:pPr>
        <w:ind w:firstLineChars="200"/>
        <w:spacing w:before="0" w:after="0" w:line="360" w:lineRule="auto"/>
      </w:pPr>
      <w:r>
        <w:rPr>
          <w:rFonts w:ascii="Times New Roman" w:hAnsi="Times New Roman" w:eastAsia="宋体"/>
          <w:b w:val="0"/>
          <w:i w:val="0"/>
          <w:color w:val="000000"/>
          <w:sz w:val="24"/>
          <w:u w:val="none"/>
        </w:rPr>
        <w:t>在虚拟化平台可以拓展同品牌的虚拟桌面，通过零信任联动实现安全环境访问外网文献，同时可发布具备不同版本投标软件的桌面，满足不同场景的招投标使用</w:t>
      </w:r>
    </w:p>
    <w:sectPr w:rsidR="00FC693F" w:rsidRPr="0006063C" w:rsidSect="00034616">
      <w:headerReference w:type="default" r:id="rId11"/>
      <w:footerReference w:type="default" r:id="rId12"/>
      <w:pgSz w:w="12240" w:h="15840"/>
      <w:pgMar w:top="1440" w:right="1797" w:bottom="1440" w:left="1797" w:header="720" w:footer="28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thinThickSmallGap" w:color="622423" w:sz="24" w:space="1"/>
      </w:pBdr>
      <w:ind w:firstLine="1080" w:firstLineChars="600"/>
      <w:spacing w:before="0" w:after="0" w:line="240" w:lineRule="auto"/>
    </w:pPr>
    <w:r>
      <w:drawing>
        <wp:anchor distT="0" distB="0" distL="114300" distR="114300" simplePos="0" relativeHeight="251659264" behindDoc="0" locked="0" layoutInCell="1" allowOverlap="1">
          <wp:simplePos x="0" y="0"/>
          <wp:positionH relativeFrom="column">
            <wp:posOffset>142875</wp:posOffset>
          </wp:positionH>
          <wp:positionV relativeFrom="paragraph">
            <wp:posOffset>78740</wp:posOffset>
          </wp:positionV>
          <wp:extent cx="485775" cy="385445"/>
          <wp:effectExtent l="0" t="0" r="9525" b="0"/>
          <wp:wrapNone/>
          <wp:docPr id="100" name="FooterLogo"/>
          <wp:cNvGraphicFramePr>
            <a:graphicFrameLocks xmlns:a="http://schemas.openxmlformats.org/drawingml/2006/main" noChangeAspect="1"/>
          </wp:cNvGraphicFramePr>
          <a:graphic xmlns:a="http://schemas.openxmlformats.org/drawingml/2006/main" xmlns:pic="http://schemas.openxmlformats.org/drawingml/2006/picture">
            <a:graphicData uri="http://schemas.openxmlformats.org/drawingml/2006/picture">
              <pic:pic>
                <pic:nvPicPr>
                  <pic:cNvPr id="0" name="footer_logo.png"/>
                  <pic:cNvPicPr/>
                </pic:nvPicPr>
                <pic:blipFill>
                  <a:blip r:embed="rId1"/>
                  <a:stretch>
                    <a:fillRect/>
                  </a:stretch>
                </pic:blipFill>
                <pic:spPr>
                  <a:xfrm>
                    <a:off x="0" y="0"/>
                    <a:ext cx="485775" cy="385445"/>
                  </a:xfrm>
                  <a:prstGeom prst="rect"/>
                </pic:spPr>
              </pic:pic>
            </a:graphicData>
          </a:graphic>
        </wp:anchor>
      </w:drawing>
    </w:r>
    <w:r>
      <w:rPr>
        <w:rFonts w:ascii="Cambria" w:hAnsi="Cambria"/>
      </w:rPr>
      <w:t>北京昱华源码科技有限公司</w:t>
    </w:r>
  </w:p>
  <w:p>
    <w:pPr>
      <w:spacing w:before="0" w:after="0" w:line="240" w:lineRule="auto"/>
      <w:ind w:firstLine="1080" w:firstLineChars="600"/>
    </w:pPr>
    <w:r>
      <w:rPr>
        <w:rFonts w:ascii="Cambria" w:hAnsi="Cambria"/>
      </w:rPr>
      <w:t xml:space="preserve">北京市怀柔区乐园西大街13号院28号楼1层  </w:t>
    </w:r>
    <w:r>
      <w:rPr>
        <w:rFonts w:ascii="Cambria" w:hAnsi="Cambria"/>
      </w:rPr>
      <w:t xml:space="preserve">                      </w:t>
    </w:r>
    <w:r>
      <w:rPr>
        <w:lang w:val="zh-CN"/>
        <w:b/>
      </w:rPr>
      <w:fldChar w:fldCharType="begin"/>
    </w:r>
    <w:r>
      <w:rPr>
        <w:lang w:val="zh-CN"/>
        <w:b/>
      </w:rPr>
      <w:instrText xml:space="preserve">PAGE  \* Arabic  \* MERGEFORMAT</w:instrText>
    </w:r>
    <w:r>
      <w:rPr>
        <w:lang w:val="zh-CN"/>
        <w:b/>
      </w:rPr>
      <w:fldChar w:fldCharType="separate"/>
    </w:r>
    <w:r>
      <w:rPr>
        <w:lang w:val="zh-CN"/>
        <w:b/>
      </w:rPr>
      <w:t>?</w:t>
    </w:r>
    <w:r>
      <w:rPr>
        <w:lang w:val="zh-CN"/>
        <w:b/>
      </w:rPr>
      <w:fldChar w:fldCharType="end"/>
    </w:r>
    <w:r>
      <w:rPr>
        <w:lang w:val="zh-CN"/>
      </w:rPr>
      <w:t xml:space="preserve"> / </w:t>
    </w:r>
    <w:r>
      <w:rPr>
        <w:lang w:val="zh-CN"/>
        <w:b/>
      </w:rPr>
      <w:fldChar w:fldCharType="begin"/>
    </w:r>
    <w:r>
      <w:rPr>
        <w:lang w:val="zh-CN"/>
        <w:b/>
      </w:rPr>
      <w:instrText xml:space="preserve">NUMPAGES  \* Arabic  \* MERGEFORMAT</w:instrText>
    </w:r>
    <w:r>
      <w:rPr>
        <w:lang w:val="zh-CN"/>
        <w:b/>
      </w:rPr>
      <w:fldChar w:fldCharType="separate"/>
    </w:r>
    <w:r>
      <w:rPr>
        <w:lang w:val="zh-CN"/>
        <w:b/>
      </w:rPr>
      <w:t>?</w:t>
    </w:r>
    <w:r>
      <w:rPr>
        <w:lang w:val="zh-CN"/>
        <w:b/>
      </w:rPr>
      <w:fldChar w:fldCharType="end"/>
    </w:r>
  </w:p>
  <w:p>
    <w:pPr>
      <w:spacing w:before="0" w:after="0" w:line="240" w:lineRule="auto"/>
      <w:ind w:firstLine="1080" w:firstLineChars="600"/>
    </w:pPr>
    <w:r>
      <w:t>Tel：010-82843001</w:t>
    </w:r>
  </w:p>
  <w:p>
    <w:pPr>
      <w:spacing w:before="0" w:after="0" w:line="240" w:lineRule="auto"/>
      <w:ind w:right="126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8312"/>
      </w:tabs>
      <w:pBdr>
        <w:bottom w:val="single" w:sz="4" w:space="0" w:color="auto"/>
      </w:pBdr>
    </w:pPr>
    <w:r>
      <w:t>金诚信</w:t>
    </w:r>
    <w:r>
      <w:tab/>
    </w:r>
    <w:r>
      <w:t>数据防泄密方案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