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一、项目背景</w:t>
      </w:r>
      <w:r>
        <w:tab/>
      </w:r>
      <w:r>
        <w:rPr>
          <w:color w:val="999999"/>
        </w:rPr>
        <w:t>...</w:t>
      </w:r>
    </w:p>
    <w:p>
      <w:r>
        <w:rPr>
          <w:b/>
        </w:rPr>
        <w:t>二、需求分析</w:t>
      </w:r>
      <w:r>
        <w:tab/>
      </w:r>
      <w:r>
        <w:rPr>
          <w:color w:val="999999"/>
        </w:rPr>
        <w:t>...</w:t>
      </w:r>
    </w:p>
    <w:p>
      <w:pPr>
        <w:ind w:left="227"/>
      </w:pPr>
      <w:r>
        <w:t>2.1 从合规性要求分析</w:t>
      </w:r>
      <w:r>
        <w:tab/>
      </w:r>
      <w:r>
        <w:rPr>
          <w:color w:val="999999"/>
        </w:rPr>
        <w:t>...</w:t>
      </w:r>
    </w:p>
    <w:p>
      <w:pPr>
        <w:ind w:left="454"/>
      </w:pPr>
      <w:r>
        <w:t>2.1.1</w:t>
        <w:tab/>
        <w:t>安全管理体系要求</w:t>
      </w:r>
      <w:r>
        <w:tab/>
      </w:r>
      <w:r>
        <w:rPr>
          <w:color w:val="999999"/>
        </w:rPr>
        <w:t>...</w:t>
      </w:r>
    </w:p>
    <w:p>
      <w:pPr>
        <w:ind w:left="454"/>
      </w:pPr>
      <w:r>
        <w:t>2.1.2</w:t>
        <w:tab/>
        <w:t>安全技术措施要求</w:t>
      </w:r>
      <w:r>
        <w:tab/>
      </w:r>
      <w:r>
        <w:rPr>
          <w:color w:val="999999"/>
        </w:rPr>
        <w:t>...</w:t>
      </w:r>
    </w:p>
    <w:p>
      <w:pPr>
        <w:ind w:left="227"/>
      </w:pPr>
      <w:r>
        <w:t>2.2</w:t>
        <w:tab/>
        <w:t>从整体网络架构分析</w:t>
      </w:r>
      <w:r>
        <w:tab/>
      </w:r>
      <w:r>
        <w:rPr>
          <w:color w:val="999999"/>
        </w:rPr>
        <w:t>...</w:t>
      </w:r>
    </w:p>
    <w:p>
      <w:r>
        <w:rPr>
          <w:b/>
        </w:rPr>
        <w:t>三、设计思路</w:t>
      </w:r>
      <w:r>
        <w:tab/>
      </w:r>
      <w:r>
        <w:rPr>
          <w:color w:val="999999"/>
        </w:rPr>
        <w:t>...</w:t>
      </w:r>
    </w:p>
    <w:p>
      <w:pPr>
        <w:ind w:left="227"/>
      </w:pPr>
      <w:r>
        <w:t>3.1</w:t>
        <w:tab/>
        <w:t>参考标准</w:t>
      </w:r>
      <w:r>
        <w:tab/>
      </w:r>
      <w:r>
        <w:rPr>
          <w:color w:val="999999"/>
        </w:rPr>
        <w:t>...</w:t>
      </w:r>
    </w:p>
    <w:p>
      <w:pPr>
        <w:ind w:left="227"/>
      </w:pPr>
      <w:r>
        <w:t>3.2</w:t>
        <w:tab/>
        <w:t>设计原则</w:t>
      </w:r>
      <w:r>
        <w:tab/>
      </w:r>
      <w:r>
        <w:rPr>
          <w:color w:val="999999"/>
        </w:rPr>
        <w:t>...</w:t>
      </w:r>
    </w:p>
    <w:p>
      <w:pPr>
        <w:ind w:left="454"/>
      </w:pPr>
      <w:r>
        <w:t>3.2.1 安全合规</w:t>
      </w:r>
      <w:r>
        <w:tab/>
      </w:r>
      <w:r>
        <w:rPr>
          <w:color w:val="999999"/>
        </w:rPr>
        <w:t>...</w:t>
      </w:r>
    </w:p>
    <w:p>
      <w:pPr>
        <w:ind w:left="454"/>
      </w:pPr>
      <w:r>
        <w:t>3.2.2 安全适用</w:t>
      </w:r>
      <w:r>
        <w:tab/>
      </w:r>
      <w:r>
        <w:rPr>
          <w:color w:val="999999"/>
        </w:rPr>
        <w:t>...</w:t>
      </w:r>
    </w:p>
    <w:p>
      <w:pPr>
        <w:ind w:left="454"/>
      </w:pPr>
      <w:r>
        <w:t>3.2.3 安全可靠</w:t>
      </w:r>
      <w:r>
        <w:tab/>
      </w:r>
      <w:r>
        <w:rPr>
          <w:color w:val="999999"/>
        </w:rPr>
        <w:t>...</w:t>
      </w:r>
    </w:p>
    <w:p>
      <w:pPr>
        <w:ind w:left="227"/>
      </w:pPr>
      <w:r>
        <w:t>3.3 方案设计</w:t>
      </w:r>
      <w:r>
        <w:tab/>
      </w:r>
      <w:r>
        <w:rPr>
          <w:color w:val="999999"/>
        </w:rPr>
        <w:t>...</w:t>
      </w:r>
    </w:p>
    <w:p>
      <w:pPr>
        <w:ind w:left="454"/>
      </w:pPr>
      <w:r>
        <w:t>产品选型依据:</w:t>
      </w:r>
      <w:r>
        <w:tab/>
      </w:r>
      <w:r>
        <w:rPr>
          <w:color w:val="999999"/>
        </w:rPr>
        <w:t>...</w:t>
      </w:r>
    </w:p>
    <w:p>
      <w:pPr>
        <w:ind w:left="454"/>
      </w:pPr>
      <w:r>
        <w:t>3.3.1 拓扑图</w:t>
      </w:r>
      <w:r>
        <w:tab/>
      </w:r>
      <w:r>
        <w:rPr>
          <w:color w:val="999999"/>
        </w:rPr>
        <w:t>...</w:t>
      </w:r>
    </w:p>
    <w:p>
      <w:pPr>
        <w:ind w:left="454"/>
      </w:pPr>
      <w:r>
        <w:t>3.3.2 方案详述</w:t>
      </w:r>
      <w:r>
        <w:tab/>
      </w:r>
      <w:r>
        <w:rPr>
          <w:color w:val="999999"/>
        </w:rPr>
        <w:t>...</w:t>
      </w:r>
    </w:p>
    <w:p>
      <w:pPr>
        <w:ind w:left="454"/>
      </w:pPr>
      <w:r>
        <w:t>3.3.3 方案特性</w:t>
      </w:r>
      <w:r>
        <w:tab/>
      </w:r>
      <w:r>
        <w:rPr>
          <w:color w:val="999999"/>
        </w:rPr>
        <w:t>...</w:t>
      </w:r>
    </w:p>
    <w:p>
      <w:r>
        <w:rPr>
          <w:b/>
        </w:rPr>
        <w:t>四、产品功能</w:t>
      </w:r>
      <w:r>
        <w:tab/>
      </w:r>
      <w:r>
        <w:rPr>
          <w:color w:val="999999"/>
        </w:rPr>
        <w:t>...</w:t>
      </w:r>
    </w:p>
    <w:p>
      <w:pPr>
        <w:ind w:left="227"/>
      </w:pPr>
      <w:r>
        <w:t>4.1 下一代防护墙AF</w:t>
      </w:r>
      <w:r>
        <w:tab/>
      </w:r>
      <w:r>
        <w:rPr>
          <w:color w:val="999999"/>
        </w:rPr>
        <w:t>...</w:t>
      </w:r>
    </w:p>
    <w:p>
      <w:pPr>
        <w:ind w:left="227"/>
      </w:pPr>
      <w:r>
        <w:t>4.2 全网行为管理AC</w:t>
      </w:r>
      <w:r>
        <w:tab/>
      </w:r>
      <w:r>
        <w:rPr>
          <w:color w:val="999999"/>
        </w:rPr>
        <w:t>...</w:t>
      </w:r>
    </w:p>
    <w:p>
      <w:pPr>
        <w:ind w:left="454"/>
      </w:pPr>
      <w:r>
        <w:t>4.2.1 终端接入安全</w:t>
      </w:r>
      <w:r>
        <w:tab/>
      </w:r>
      <w:r>
        <w:rPr>
          <w:color w:val="999999"/>
        </w:rPr>
        <w:t>...</w:t>
      </w:r>
    </w:p>
    <w:p>
      <w:pPr>
        <w:ind w:left="454"/>
      </w:pPr>
      <w:r>
        <w:t>4.2.2 业务审计</w:t>
      </w:r>
      <w:r>
        <w:tab/>
      </w:r>
      <w:r>
        <w:rPr>
          <w:color w:val="999999"/>
        </w:rPr>
        <w:t>...</w:t>
      </w:r>
    </w:p>
    <w:p>
      <w:pPr>
        <w:ind w:left="454"/>
      </w:pPr>
      <w:r>
        <w:t>4.2.4 上网管控</w:t>
      </w:r>
      <w:r>
        <w:tab/>
      </w:r>
      <w:r>
        <w:rPr>
          <w:color w:val="999999"/>
        </w:rPr>
        <w:t>...</w:t>
      </w:r>
    </w:p>
    <w:p>
      <w:pPr>
        <w:ind w:left="227"/>
      </w:pPr>
      <w:r>
        <w:t>4.3 基线核查漏扫BVT</w:t>
      </w:r>
      <w:r>
        <w:tab/>
      </w:r>
      <w:r>
        <w:rPr>
          <w:color w:val="999999"/>
        </w:rPr>
        <w:t>...</w:t>
      </w:r>
    </w:p>
    <w:p>
      <w:pPr>
        <w:ind w:left="454"/>
      </w:pPr>
      <w:r>
        <w:t>4.3.1 资产管理</w:t>
      </w:r>
      <w:r>
        <w:tab/>
      </w:r>
      <w:r>
        <w:rPr>
          <w:color w:val="999999"/>
        </w:rPr>
        <w:t>...</w:t>
      </w:r>
    </w:p>
    <w:p>
      <w:pPr>
        <w:ind w:left="454"/>
      </w:pPr>
      <w:r>
        <w:t>4.3.2 运维管理</w:t>
      </w:r>
      <w:r>
        <w:tab/>
      </w:r>
      <w:r>
        <w:rPr>
          <w:color w:val="999999"/>
        </w:rPr>
        <w:t>...</w:t>
      </w:r>
    </w:p>
    <w:p>
      <w:pPr>
        <w:ind w:left="227"/>
      </w:pPr>
      <w:r>
        <w:t>4.4 日志审计运维LAS</w:t>
      </w:r>
      <w:r>
        <w:tab/>
      </w:r>
      <w:r>
        <w:rPr>
          <w:color w:val="999999"/>
        </w:rPr>
        <w:t>...</w:t>
      </w:r>
    </w:p>
    <w:p>
      <w:pPr>
        <w:ind w:left="227"/>
      </w:pPr>
      <w:r>
        <w:t>4.5 数据库审计系统DAS</w:t>
      </w:r>
      <w:r>
        <w:tab/>
      </w:r>
      <w:r>
        <w:rPr>
          <w:color w:val="999999"/>
        </w:rPr>
        <w:t>...</w:t>
      </w:r>
    </w:p>
    <w:p>
      <w:pPr>
        <w:ind w:left="454"/>
      </w:pPr>
      <w:r>
        <w:t>4.5.1精细化的数据库权限管控</w:t>
      </w:r>
      <w:r>
        <w:tab/>
      </w:r>
      <w:r>
        <w:rPr>
          <w:color w:val="999999"/>
        </w:rPr>
        <w:t>...</w:t>
      </w:r>
    </w:p>
    <w:p>
      <w:pPr>
        <w:ind w:left="454"/>
      </w:pPr>
      <w:r>
        <w:t>4.5.2日志查询与统计分析</w:t>
      </w:r>
      <w:r>
        <w:tab/>
      </w:r>
      <w:r>
        <w:rPr>
          <w:color w:val="999999"/>
        </w:rPr>
        <w:t>...</w:t>
      </w:r>
    </w:p>
    <w:p>
      <w:pPr>
        <w:ind w:left="454"/>
      </w:pPr>
      <w:r>
        <w:t>4.5.3数据库安全与查询统计分析</w:t>
      </w:r>
      <w:r>
        <w:tab/>
      </w:r>
      <w:r>
        <w:rPr>
          <w:color w:val="999999"/>
        </w:rPr>
        <w:t>...</w:t>
      </w:r>
    </w:p>
    <w:p>
      <w:pPr>
        <w:ind w:left="454"/>
      </w:pPr>
      <w:r>
        <w:t>4.5.4 DAS完善的自管理功能</w:t>
      </w:r>
      <w:r>
        <w:tab/>
      </w:r>
      <w:r>
        <w:rPr>
          <w:color w:val="999999"/>
        </w:rPr>
        <w:t>...</w:t>
      </w:r>
    </w:p>
    <w:p>
      <w:pPr>
        <w:ind w:left="227"/>
      </w:pPr>
      <w:r>
        <w:t>4.6 终端安全检测EDR</w:t>
      </w:r>
      <w:r>
        <w:tab/>
      </w:r>
      <w:r>
        <w:rPr>
          <w:color w:val="999999"/>
        </w:rPr>
        <w:t>...</w:t>
      </w:r>
    </w:p>
    <w:p>
      <w:pPr>
        <w:ind w:left="227"/>
      </w:pPr>
      <w:r>
        <w:t>4.7 备份一体机</w:t>
      </w:r>
      <w:r>
        <w:tab/>
      </w:r>
      <w:r>
        <w:rPr>
          <w:color w:val="999999"/>
        </w:rPr>
        <w:t>...</w:t>
      </w:r>
    </w:p>
    <w:p>
      <w:r>
        <w:rPr>
          <w:b/>
        </w:rPr>
        <w:t>五、硬件选型</w:t>
      </w:r>
      <w:r>
        <w:tab/>
      </w:r>
      <w:r>
        <w:rPr>
          <w:color w:val="999999"/>
        </w:rPr>
        <w:t>...</w:t>
      </w:r>
    </w:p>
    <w:p>
      <w:r>
        <w:rPr>
          <w:b/>
        </w:rPr>
        <w:t>六、售后服务</w:t>
      </w:r>
      <w:r>
        <w:tab/>
      </w:r>
      <w:r>
        <w:rPr>
          <w:color w:val="999999"/>
        </w:rPr>
        <w:t>...</w:t>
      </w:r>
    </w:p>
    <w:p>
      <w:pPr>
        <w:ind w:left="227"/>
      </w:pPr>
      <w:r>
        <w:t>6.1 专业的客服中心</w:t>
      </w:r>
      <w:r>
        <w:tab/>
      </w:r>
      <w:r>
        <w:rPr>
          <w:color w:val="999999"/>
        </w:rPr>
        <w:t>...</w:t>
      </w:r>
    </w:p>
    <w:p>
      <w:pPr>
        <w:ind w:left="227"/>
      </w:pPr>
      <w:r>
        <w:t>6.2 专业的服务队伍</w:t>
      </w:r>
      <w:r>
        <w:tab/>
      </w:r>
      <w:r>
        <w:rPr>
          <w:color w:val="999999"/>
        </w:rPr>
        <w:t>...</w:t>
      </w:r>
    </w:p>
    <w:p>
      <w:pPr>
        <w:ind w:left="227"/>
      </w:pPr>
      <w:r>
        <w:t>6.3 广泛的合作伙伴服务体系</w:t>
      </w:r>
      <w:r>
        <w:tab/>
      </w:r>
      <w:r>
        <w:rPr>
          <w:color w:val="999999"/>
        </w:rPr>
        <w:t>...</w:t>
      </w:r>
    </w:p>
    <w:p>
      <w:r>
        <w:fldChar w:fldCharType="end"/>
      </w:r>
    </w:p>
    <w:p>
      <w:r>
        <w:br w:type="page"/>
      </w:r>
    </w:p>
    <w:p>
      <w:pPr>
        <w:spacing w:before="283"/>
        <w:jc w:val="center"/>
      </w:pPr>
      <w:r>
        <w:drawing>
          <wp:inline xmlns:a="http://schemas.openxmlformats.org/drawingml/2006/main" xmlns:pic="http://schemas.openxmlformats.org/drawingml/2006/picture">
            <wp:extent cx="4666678" cy="1552497"/>
            <wp:docPr id="1" name="Picture 1"/>
            <wp:cNvGraphicFramePr>
              <a:graphicFrameLocks noChangeAspect="1"/>
            </wp:cNvGraphicFramePr>
            <a:graphic>
              <a:graphicData uri="http://schemas.openxmlformats.org/drawingml/2006/picture">
                <pic:pic>
                  <pic:nvPicPr>
                    <pic:cNvPr id="0" name="c384a51b-cf33-4fdd-8bc4-b58a3de1a5b4.png"/>
                    <pic:cNvPicPr/>
                  </pic:nvPicPr>
                  <pic:blipFill>
                    <a:blip r:embed="rId9"/>
                    <a:stretch>
                      <a:fillRect/>
                    </a:stretch>
                  </pic:blipFill>
                  <pic:spPr>
                    <a:xfrm>
                      <a:off x="0" y="0"/>
                      <a:ext cx="4666678" cy="1552497"/>
                    </a:xfrm>
                    <a:prstGeom prst="rect"/>
                  </pic:spPr>
                </pic:pic>
              </a:graphicData>
            </a:graphic>
          </wp:inline>
        </w:drawing>
      </w:r>
    </w:p>
    <w:p>
      <w:pPr>
        <w:jc w:val="center"/>
      </w:pPr>
      <w:r>
        <w:rPr>
          <w:rFonts w:ascii="Times New Roman" w:hAnsi="Times New Roman" w:eastAsia="宋体"/>
          <w:b w:val="0"/>
          <w:i w:val="0"/>
          <w:color w:val="000000"/>
          <w:sz w:val="21"/>
          <w:u w:val="none"/>
        </w:rPr>
        <w:t>图1</w:t>
      </w:r>
    </w:p>
    <w:p>
      <w:pPr>
        <w:ind w:firstLineChars="200"/>
        <w:spacing w:before="0" w:after="0" w:line="360" w:lineRule="auto"/>
      </w:pPr>
      <w:r>
        <w:rPr>
          <w:rFonts w:ascii="Times New Roman" w:hAnsi="Times New Roman" w:eastAsia="宋体"/>
          <w:b w:val="0"/>
          <w:i w:val="0"/>
          <w:color w:val="000000"/>
          <w:sz w:val="24"/>
          <w:u w:val="none"/>
        </w:rPr>
        <w:t>极智嘉机房网络及等保三级建设项目设计方案</w:t>
      </w:r>
    </w:p>
    <w:p>
      <w:r>
        <w:br w:type="page"/>
      </w:r>
    </w:p>
    <w:p>
      <w:pPr>
        <w:pStyle w:val="Heading1"/>
        <w:jc w:val="left"/>
        <w:spacing w:before="0" w:after="0" w:line="360" w:lineRule="auto"/>
      </w:pPr>
      <w:r>
        <w:rPr>
          <w:rFonts w:ascii="Times New Roman" w:hAnsi="Times New Roman" w:eastAsia="宋体"/>
          <w:b/>
          <w:i w:val="0"/>
          <w:color w:val="000000"/>
          <w:sz w:val="32"/>
          <w:u w:val="none"/>
        </w:rPr>
        <w:t>第1章 项目背景</w:t>
      </w:r>
    </w:p>
    <w:p>
      <w:pPr>
        <w:ind w:firstLineChars="200"/>
        <w:spacing w:before="0" w:after="0" w:line="360" w:lineRule="auto"/>
      </w:pPr>
      <w:r>
        <w:rPr>
          <w:rFonts w:ascii="Times New Roman" w:hAnsi="Times New Roman" w:eastAsia="宋体"/>
          <w:b w:val="0"/>
          <w:i w:val="0"/>
          <w:color w:val="000000"/>
          <w:sz w:val="24"/>
          <w:u w:val="none"/>
        </w:rPr>
        <w:t>在数字化转型、“互联网+”的大背景下，网络信息沟通是各个企业间不可或缺的通道。因此，信息安全在极智嘉业务开展的重要性越来越突出，发展信息产业首先要保护信息安全，网络安全建设势在必行。</w:t>
      </w:r>
    </w:p>
    <w:p>
      <w:pPr>
        <w:ind w:firstLineChars="200"/>
        <w:spacing w:before="0" w:after="0" w:line="360" w:lineRule="auto"/>
      </w:pPr>
      <w:r>
        <w:rPr>
          <w:rFonts w:ascii="Times New Roman" w:hAnsi="Times New Roman" w:eastAsia="宋体"/>
          <w:b w:val="0"/>
          <w:i w:val="0"/>
          <w:color w:val="000000"/>
          <w:sz w:val="24"/>
          <w:u w:val="none"/>
        </w:rPr>
        <w:t>另外，网络安全等级保护2.0标准于2019年5月10日正式发布，信息安全等级保护测评联盟（负责管理所有测评单位）6月份发布等保2.0测评报告模板，并提出要求，2019年10月1日起，所有测评单位必须按照等保2.0进行测评，同时2019年9月中旬，北京市所有网安部门已经停止接收等保备案材料，并于2019年10月8日开始接收等保备案材料，但是仅接收等保2.0的备案材料，所以建议用户务必按照等保2.0标准进行建设。</w:t>
      </w:r>
    </w:p>
    <w:p>
      <w:r>
        <w:br w:type="page"/>
      </w:r>
    </w:p>
    <w:p>
      <w:pPr>
        <w:pStyle w:val="Heading1"/>
        <w:jc w:val="left"/>
        <w:spacing w:before="0" w:after="0" w:line="360" w:lineRule="auto"/>
      </w:pPr>
      <w:r>
        <w:rPr>
          <w:rFonts w:ascii="Times New Roman" w:hAnsi="Times New Roman" w:eastAsia="宋体"/>
          <w:b/>
          <w:i w:val="0"/>
          <w:color w:val="000000"/>
          <w:sz w:val="32"/>
          <w:u w:val="none"/>
        </w:rPr>
        <w:t>第2章 需求分析</w:t>
      </w:r>
    </w:p>
    <w:p>
      <w:pPr>
        <w:ind w:firstLineChars="200"/>
        <w:spacing w:before="0" w:after="0" w:line="360" w:lineRule="auto"/>
      </w:pPr>
      <w:r>
        <w:rPr>
          <w:rFonts w:ascii="Times New Roman" w:hAnsi="Times New Roman" w:eastAsia="宋体"/>
          <w:b w:val="0"/>
          <w:i w:val="0"/>
          <w:color w:val="000000"/>
          <w:sz w:val="24"/>
          <w:u w:val="none"/>
        </w:rPr>
        <w:t>缺乏整体的信息安全管理体系，没有对其信息系统及相关责任部门进行职能及责任划分，没有对信息系统网络及系统安全管理、人员安全管理等方面进行规范。从而导致在信息系统面临安全威胁时，没有相应的预防及应急措施，没有清晰的职能及责任划分来指引信息系统的整体安全管理。</w:t>
      </w:r>
    </w:p>
    <w:p>
      <w:r>
        <w:br w:type="page"/>
      </w:r>
    </w:p>
    <w:p>
      <w:pPr>
        <w:pStyle w:val="Heading2"/>
        <w:jc w:val="left"/>
        <w:spacing w:before="0" w:after="0" w:line="360" w:lineRule="auto"/>
      </w:pPr>
      <w:r>
        <w:rPr>
          <w:rFonts w:ascii="Times New Roman" w:hAnsi="Times New Roman" w:eastAsia="宋体"/>
          <w:b/>
          <w:i w:val="0"/>
          <w:color w:val="000000"/>
          <w:sz w:val="30"/>
          <w:u w:val="none"/>
        </w:rPr>
        <w:t>2.1 从合规性要求分析</w:t>
      </w:r>
    </w:p>
    <w:p>
      <w:pPr>
        <w:ind w:firstLineChars="200"/>
        <w:spacing w:before="0" w:after="0" w:line="360" w:lineRule="auto"/>
      </w:pPr>
      <w:r>
        <w:rPr>
          <w:rFonts w:ascii="Times New Roman" w:hAnsi="Times New Roman" w:eastAsia="宋体"/>
          <w:b w:val="0"/>
          <w:i w:val="0"/>
          <w:color w:val="000000"/>
          <w:sz w:val="24"/>
          <w:u w:val="none"/>
        </w:rPr>
        <w:t>按照《中华人民共和国网络安全法》、《信息安全技术网络安全等级保护基本要求 第1部分：安全通用要求》中等级保护第三级要求进行防护，包括其基本要求中的管理与技术要求。另外，等级保护合规的要求在不断的向前演进，原有的防护体系、技术手段面临这新的威胁和挑战，所以需要一套“新”合规建设方案，真正落地等级保护、不止合规的理念，建立动态应对新的安全威胁。</w:t>
      </w:r>
    </w:p>
    <w:p>
      <w:r>
        <w:br w:type="page"/>
      </w:r>
    </w:p>
    <w:p>
      <w:pPr>
        <w:pStyle w:val="Heading3"/>
        <w:jc w:val="left"/>
        <w:spacing w:before="0" w:after="0" w:line="360" w:lineRule="auto"/>
      </w:pPr>
      <w:r>
        <w:rPr>
          <w:rFonts w:ascii="Times New Roman" w:hAnsi="Times New Roman" w:eastAsia="宋体"/>
          <w:b/>
          <w:i w:val="0"/>
          <w:color w:val="000000"/>
          <w:sz w:val="28"/>
          <w:u w:val="none"/>
        </w:rPr>
        <w:t>2.1.1 安全管理体系要求</w:t>
      </w:r>
    </w:p>
    <w:p>
      <w:pPr>
        <w:ind w:firstLineChars="200"/>
        <w:spacing w:before="0" w:after="0" w:line="360" w:lineRule="auto"/>
      </w:pPr>
      <w:r>
        <w:rPr>
          <w:rFonts w:ascii="Times New Roman" w:hAnsi="Times New Roman" w:eastAsia="宋体"/>
          <w:b w:val="0"/>
          <w:i w:val="0"/>
          <w:color w:val="000000"/>
          <w:sz w:val="24"/>
          <w:u w:val="none"/>
        </w:rPr>
        <w:t>考虑到安全形势不断变化，新的攻击方式和手段在不断的升级变化，由局部变为全局安全防护，安全管理体系的建设变的尤为重要，在等保建设过程中，需具备完善的安全管理体系和与之配套的相应管理工具，逐渐完善安全管理体系。</w:t>
      </w:r>
    </w:p>
    <w:p>
      <w:r>
        <w:br w:type="page"/>
      </w:r>
    </w:p>
    <w:p>
      <w:pPr>
        <w:pStyle w:val="Heading3"/>
        <w:jc w:val="left"/>
        <w:spacing w:before="0" w:after="0" w:line="360" w:lineRule="auto"/>
      </w:pPr>
      <w:r>
        <w:rPr>
          <w:rFonts w:ascii="Times New Roman" w:hAnsi="Times New Roman" w:eastAsia="宋体"/>
          <w:b/>
          <w:i w:val="0"/>
          <w:color w:val="000000"/>
          <w:sz w:val="28"/>
          <w:u w:val="none"/>
        </w:rPr>
        <w:t>2.1.2 安全技术措施要求</w:t>
      </w:r>
    </w:p>
    <w:p>
      <w:pPr>
        <w:ind w:firstLineChars="200"/>
        <w:spacing w:before="0" w:after="0" w:line="360" w:lineRule="auto"/>
      </w:pPr>
      <w:r>
        <w:rPr>
          <w:rFonts w:ascii="Times New Roman" w:hAnsi="Times New Roman" w:eastAsia="宋体"/>
          <w:b w:val="0"/>
          <w:i w:val="0"/>
          <w:color w:val="000000"/>
          <w:sz w:val="24"/>
          <w:u w:val="none"/>
        </w:rPr>
        <w:t>整体包含物理和环境安全、网络和通信安全、设备和计算安全、应用和数据安全。具体覆盖物理和环境安全、网络架构安全、网络访问控制、网络安全审计、边界完整性检查、网络入侵防御、网络设备防护、数据完整性。可采取的主要安全措施和技术包括但不限于防火墙、入侵防御系统、安全审计系统、防病毒网关、应急响应中心、虚拟化防护、云堡垒、集中的容灾备份中心等，通过构建完整的数据安全保护能力，为数据中心提供完整的数据传输安全、数据存储安全、数据审计安全提供支撑。</w:t>
      </w:r>
    </w:p>
    <w:p>
      <w:r>
        <w:br w:type="page"/>
      </w:r>
    </w:p>
    <w:p>
      <w:pPr>
        <w:pStyle w:val="Heading2"/>
        <w:jc w:val="left"/>
        <w:spacing w:before="0" w:after="0" w:line="360" w:lineRule="auto"/>
      </w:pPr>
      <w:r>
        <w:rPr>
          <w:rFonts w:ascii="Times New Roman" w:hAnsi="Times New Roman" w:eastAsia="宋体"/>
          <w:b/>
          <w:i w:val="0"/>
          <w:color w:val="000000"/>
          <w:sz w:val="30"/>
          <w:u w:val="none"/>
        </w:rPr>
        <w:t>2.2 从整体网络架构分析</w:t>
      </w:r>
    </w:p>
    <w:p>
      <w:pPr>
        <w:ind w:firstLineChars="200"/>
        <w:spacing w:before="0" w:after="0" w:line="360" w:lineRule="auto"/>
      </w:pPr>
      <w:r>
        <w:rPr>
          <w:rFonts w:ascii="Times New Roman" w:hAnsi="Times New Roman" w:eastAsia="宋体"/>
          <w:b w:val="0"/>
          <w:i w:val="0"/>
          <w:color w:val="000000"/>
          <w:sz w:val="24"/>
          <w:u w:val="none"/>
        </w:rPr>
        <w:t>极智嘉机房数据中心安全等级保护建设的网络架构如下，其中网络主体的链路为单线路，只有一台AF做网络出口，如此没有很好的可靠性，易发生单点故障，另外整网环境中，没有明确的分区分域，办公接入、服务器业务、及运维管理不明确。现有网络中，有服务器提供业务，但不具备良好的存储备份条件。</w:t>
      </w:r>
    </w:p>
    <w:p>
      <w:pPr>
        <w:spacing w:before="283"/>
        <w:jc w:val="center"/>
      </w:pPr>
      <w:r>
        <w:drawing>
          <wp:inline xmlns:a="http://schemas.openxmlformats.org/drawingml/2006/main" xmlns:pic="http://schemas.openxmlformats.org/drawingml/2006/picture">
            <wp:extent cx="4666678" cy="3561828"/>
            <wp:docPr id="2" name="Picture 2"/>
            <wp:cNvGraphicFramePr>
              <a:graphicFrameLocks noChangeAspect="1"/>
            </wp:cNvGraphicFramePr>
            <a:graphic>
              <a:graphicData uri="http://schemas.openxmlformats.org/drawingml/2006/picture">
                <pic:pic>
                  <pic:nvPicPr>
                    <pic:cNvPr id="0" name="07ecb0ee-cc64-4b39-88dc-4be951b121f9.png"/>
                    <pic:cNvPicPr/>
                  </pic:nvPicPr>
                  <pic:blipFill>
                    <a:blip r:embed="rId10"/>
                    <a:stretch>
                      <a:fillRect/>
                    </a:stretch>
                  </pic:blipFill>
                  <pic:spPr>
                    <a:xfrm>
                      <a:off x="0" y="0"/>
                      <a:ext cx="4666678" cy="3561828"/>
                    </a:xfrm>
                    <a:prstGeom prst="rect"/>
                  </pic:spPr>
                </pic:pic>
              </a:graphicData>
            </a:graphic>
          </wp:inline>
        </w:drawing>
      </w:r>
    </w:p>
    <w:p>
      <w:pPr>
        <w:jc w:val="center"/>
      </w:pPr>
      <w:r>
        <w:rPr>
          <w:rFonts w:ascii="Times New Roman" w:hAnsi="Times New Roman" w:eastAsia="宋体"/>
          <w:b w:val="0"/>
          <w:i w:val="0"/>
          <w:color w:val="000000"/>
          <w:sz w:val="21"/>
          <w:u w:val="none"/>
        </w:rPr>
        <w:t>图2</w:t>
      </w:r>
    </w:p>
    <w:p>
      <w:r>
        <w:br w:type="page"/>
      </w:r>
    </w:p>
    <w:p>
      <w:pPr>
        <w:pStyle w:val="Heading1"/>
        <w:jc w:val="left"/>
        <w:spacing w:before="0" w:after="0" w:line="360" w:lineRule="auto"/>
      </w:pPr>
      <w:r>
        <w:rPr>
          <w:rFonts w:ascii="Times New Roman" w:hAnsi="Times New Roman" w:eastAsia="宋体"/>
          <w:b/>
          <w:i w:val="0"/>
          <w:color w:val="000000"/>
          <w:sz w:val="32"/>
          <w:u w:val="none"/>
        </w:rPr>
        <w:t>第3章 设计思路</w:t>
      </w:r>
    </w:p>
    <w:p>
      <w:pPr>
        <w:pStyle w:val="Heading2"/>
        <w:jc w:val="left"/>
        <w:spacing w:before="0" w:after="0" w:line="360" w:lineRule="auto"/>
      </w:pPr>
      <w:r>
        <w:rPr>
          <w:rFonts w:ascii="Times New Roman" w:hAnsi="Times New Roman" w:eastAsia="宋体"/>
          <w:b/>
          <w:i w:val="0"/>
          <w:color w:val="000000"/>
          <w:sz w:val="30"/>
          <w:u w:val="none"/>
        </w:rPr>
        <w:t>3.1 参考标准</w:t>
      </w:r>
    </w:p>
    <w:p>
      <w:pPr>
        <w:ind w:firstLineChars="200"/>
        <w:spacing w:before="0" w:after="0" w:line="360" w:lineRule="auto"/>
      </w:pPr>
      <w:r>
        <w:rPr>
          <w:rFonts w:ascii="Times New Roman" w:hAnsi="Times New Roman" w:eastAsia="宋体"/>
          <w:b w:val="0"/>
          <w:i w:val="0"/>
          <w:color w:val="000000"/>
          <w:sz w:val="24"/>
          <w:u w:val="none"/>
        </w:rPr>
        <w:t>2007年6月，《信息安全等级保护管理办法》（公通字【2007】43号文件）正式出台。2017年6月1日，《网络安全法》实施，正式将网络安全提高到国家安全的高度，其也通过法律的形式明确了要加强对关键基础设施和其数据保护，以上相关文件对国家关于网络安全的相关政策、法律法规作了详细说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《中华人民共和国网络安全法》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信息系统安全保护等级定级指南（GB/T 22240-2008）</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信息系统安全等级保护基本要求（GB/T 22239-2008）</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信息系统安全等级保护实施指南（国家标准报批稿）</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信息系统安全等级保护测评准则（国家标准报批稿）</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《信息安全技术 信息系统通用安全技术要求》（GB/T20271-2006）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《信息安全技术 网络基础安全技术要求》（GB/T20270-2006）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《信息安全技术 操作系统安全技术要求》（GB/T20272-2006）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《信息安全技术 数据库管理系统安全技术要求》（GB/T20273-2006）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《信息安全技术 服务器技术要求》（GB/T21028-2007）</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《信息安全技术 终端计算机系统安全等级技术要求》（GA/T671-2006）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《信息安全技术 信息系统安全管理要求》（GB/T20269-2006）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《信息安全技术 信息系统安全工程管理要求》（GB/T20282-2006）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《信息技术 安全技术 信息安全管理体系要求》（GB/T 22080-2008）</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《信息技术 安全技术 信息安全管理实用规则》（GB/T 22081-2008）</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《信息安全技术 信息安全风险评估规范》（GB/T 20984-2007）</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《信息技术 安全技术 信息安全事件管理指南》（GB/Z 20985-2007）</w:t>
      </w:r>
    </w:p>
    <w:p>
      <w:r>
        <w:br w:type="page"/>
      </w:r>
    </w:p>
    <w:p>
      <w:pPr>
        <w:pStyle w:val="Heading2"/>
        <w:jc w:val="left"/>
        <w:spacing w:before="0" w:after="0" w:line="360" w:lineRule="auto"/>
      </w:pPr>
      <w:r>
        <w:rPr>
          <w:rFonts w:ascii="Times New Roman" w:hAnsi="Times New Roman" w:eastAsia="宋体"/>
          <w:b/>
          <w:i w:val="0"/>
          <w:color w:val="000000"/>
          <w:sz w:val="30"/>
          <w:u w:val="none"/>
        </w:rPr>
        <w:t>3.2 设计原则</w:t>
      </w:r>
    </w:p>
    <w:p>
      <w:pPr>
        <w:pStyle w:val="Heading3"/>
        <w:jc w:val="left"/>
        <w:spacing w:before="0" w:after="0" w:line="360" w:lineRule="auto"/>
      </w:pPr>
      <w:r>
        <w:rPr>
          <w:rFonts w:ascii="Times New Roman" w:hAnsi="Times New Roman" w:eastAsia="宋体"/>
          <w:b/>
          <w:i w:val="0"/>
          <w:color w:val="000000"/>
          <w:sz w:val="28"/>
          <w:u w:val="none"/>
        </w:rPr>
        <w:t>3.2.1 安全合规</w:t>
      </w:r>
    </w:p>
    <w:p>
      <w:pPr>
        <w:ind w:firstLineChars="200"/>
        <w:spacing w:before="0" w:after="0" w:line="360" w:lineRule="auto"/>
      </w:pPr>
      <w:r>
        <w:rPr>
          <w:rFonts w:ascii="Times New Roman" w:hAnsi="Times New Roman" w:eastAsia="宋体"/>
          <w:b w:val="0"/>
          <w:i w:val="0"/>
          <w:color w:val="000000"/>
          <w:sz w:val="24"/>
          <w:u w:val="none"/>
        </w:rPr>
        <w:t>等级保护建设方案首先应符合国家相关信息安全政策和标准，确保设计的安全方案遵循国家法律且符合国家政策和国家标准。</w:t>
      </w:r>
    </w:p>
    <w:p>
      <w:r>
        <w:br w:type="page"/>
      </w:r>
    </w:p>
    <w:p>
      <w:pPr>
        <w:pStyle w:val="Heading3"/>
        <w:jc w:val="left"/>
        <w:spacing w:before="0" w:after="0" w:line="360" w:lineRule="auto"/>
      </w:pPr>
      <w:r>
        <w:rPr>
          <w:rFonts w:ascii="Times New Roman" w:hAnsi="Times New Roman" w:eastAsia="宋体"/>
          <w:b/>
          <w:i w:val="0"/>
          <w:color w:val="000000"/>
          <w:sz w:val="28"/>
          <w:u w:val="none"/>
        </w:rPr>
        <w:t>3.2.2 安全适用</w:t>
      </w:r>
    </w:p>
    <w:p>
      <w:pPr>
        <w:ind w:firstLineChars="200"/>
        <w:spacing w:before="0" w:after="0" w:line="360" w:lineRule="auto"/>
      </w:pPr>
      <w:r>
        <w:rPr>
          <w:rFonts w:ascii="Times New Roman" w:hAnsi="Times New Roman" w:eastAsia="宋体"/>
          <w:b w:val="0"/>
          <w:i w:val="0"/>
          <w:color w:val="000000"/>
          <w:sz w:val="24"/>
          <w:u w:val="none"/>
        </w:rPr>
        <w:t>信息安全保障方案的设计应符合信息安全技术和管理需要，应切实符合实际情况，应适用于安全运营的各个环节。方案设计应与业务发展和IT建设充分结合，发挥安全为业务保驾护航的作用。</w:t>
      </w:r>
    </w:p>
    <w:p>
      <w:r>
        <w:br w:type="page"/>
      </w:r>
    </w:p>
    <w:p>
      <w:pPr>
        <w:pStyle w:val="Heading3"/>
        <w:jc w:val="left"/>
        <w:spacing w:before="0" w:after="0" w:line="360" w:lineRule="auto"/>
      </w:pPr>
      <w:r>
        <w:rPr>
          <w:rFonts w:ascii="Times New Roman" w:hAnsi="Times New Roman" w:eastAsia="宋体"/>
          <w:b/>
          <w:i w:val="0"/>
          <w:color w:val="000000"/>
          <w:sz w:val="28"/>
          <w:u w:val="none"/>
        </w:rPr>
        <w:t>3.2.3 安全可靠</w:t>
      </w:r>
    </w:p>
    <w:p>
      <w:pPr>
        <w:ind w:firstLineChars="200"/>
        <w:spacing w:before="0" w:after="0" w:line="360" w:lineRule="auto"/>
      </w:pPr>
      <w:r>
        <w:rPr>
          <w:rFonts w:ascii="Times New Roman" w:hAnsi="Times New Roman" w:eastAsia="宋体"/>
          <w:b w:val="0"/>
          <w:i w:val="0"/>
          <w:color w:val="000000"/>
          <w:sz w:val="24"/>
          <w:u w:val="none"/>
        </w:rPr>
        <w:t>在设计等级保护建设方案时应考虑信息安全保障中应该包括的各项内容，保证总体设计方案的全面有效。安全设计方案应考虑如下：</w:t>
      </w:r>
    </w:p>
    <w:p>
      <w:pPr>
        <w:ind w:firstLineChars="200"/>
        <w:spacing w:before="0" w:after="0" w:line="360" w:lineRule="auto"/>
      </w:pPr>
      <w:r>
        <w:rPr>
          <w:rFonts w:ascii="Times New Roman" w:hAnsi="Times New Roman" w:eastAsia="宋体"/>
          <w:b w:val="0"/>
          <w:i w:val="0"/>
          <w:color w:val="000000"/>
          <w:sz w:val="24"/>
          <w:u w:val="none"/>
        </w:rPr>
        <w:t>1）灵活部署，弹性扩展；</w:t>
      </w:r>
    </w:p>
    <w:p>
      <w:pPr>
        <w:ind w:firstLineChars="200"/>
        <w:spacing w:before="0" w:after="0" w:line="360" w:lineRule="auto"/>
      </w:pPr>
      <w:r>
        <w:rPr>
          <w:rFonts w:ascii="Times New Roman" w:hAnsi="Times New Roman" w:eastAsia="宋体"/>
          <w:b w:val="0"/>
          <w:i w:val="0"/>
          <w:color w:val="000000"/>
          <w:sz w:val="24"/>
          <w:u w:val="none"/>
        </w:rPr>
        <w:t>2）合规安全，安全能力服务化交付；</w:t>
      </w:r>
    </w:p>
    <w:p>
      <w:pPr>
        <w:ind w:firstLineChars="200"/>
        <w:spacing w:before="0" w:after="0" w:line="360" w:lineRule="auto"/>
      </w:pPr>
      <w:r>
        <w:rPr>
          <w:rFonts w:ascii="Times New Roman" w:hAnsi="Times New Roman" w:eastAsia="宋体"/>
          <w:b w:val="0"/>
          <w:i w:val="0"/>
          <w:color w:val="000000"/>
          <w:sz w:val="24"/>
          <w:u w:val="none"/>
        </w:rPr>
        <w:t>在保障安全运营的前提下，降低风险，减少损失的原则。</w:t>
      </w:r>
    </w:p>
    <w:p>
      <w:r>
        <w:br w:type="page"/>
      </w:r>
    </w:p>
    <w:p>
      <w:pPr>
        <w:pStyle w:val="Heading2"/>
        <w:jc w:val="left"/>
        <w:spacing w:before="0" w:after="0" w:line="360" w:lineRule="auto"/>
      </w:pPr>
      <w:r>
        <w:rPr>
          <w:rFonts w:ascii="Times New Roman" w:hAnsi="Times New Roman" w:eastAsia="宋体"/>
          <w:b/>
          <w:i w:val="0"/>
          <w:color w:val="000000"/>
          <w:sz w:val="30"/>
          <w:u w:val="none"/>
        </w:rPr>
        <w:t>3.3 方案设计</w:t>
      </w:r>
    </w:p>
    <w:p>
      <w:pPr>
        <w:ind w:firstLineChars="200"/>
        <w:spacing w:before="0" w:after="0" w:line="360" w:lineRule="auto"/>
      </w:pPr>
      <w:r>
        <w:rPr>
          <w:rFonts w:ascii="Times New Roman" w:hAnsi="Times New Roman" w:eastAsia="宋体"/>
          <w:b w:val="0"/>
          <w:i w:val="0"/>
          <w:color w:val="000000"/>
          <w:sz w:val="24"/>
          <w:u w:val="none"/>
        </w:rPr>
        <w:t>极智嘉机房信息系统的网络基础设施为支撑内网系统的网络平台，包括交换设备、互联链路等，该方案中网络主体采用双链路方式部署，避免单节点故障导致的全网故障。核心交换机采用2台华为框式交换机搭建集群，满足冗余要求；互联网出口部署2台深信服防火墙实现双击热备；信息系统的区域边界主要为各终端区域之间的边界和外网互联的局域网边界，其中重要的区域边界有办公区域、虚拟化服务器区、和运维管理区等。</w:t>
      </w:r>
    </w:p>
    <w:p>
      <w:r>
        <w:br w:type="page"/>
      </w:r>
    </w:p>
    <w:p>
      <w:pPr>
        <w:pStyle w:val="Heading3"/>
        <w:jc w:val="left"/>
        <w:spacing w:before="0" w:after="0" w:line="360" w:lineRule="auto"/>
      </w:pPr>
      <w:r>
        <w:rPr>
          <w:rFonts w:ascii="Times New Roman" w:hAnsi="Times New Roman" w:eastAsia="宋体"/>
          <w:b/>
          <w:i w:val="0"/>
          <w:color w:val="000000"/>
          <w:sz w:val="28"/>
          <w:u w:val="none"/>
        </w:rPr>
        <w:t>3.3.1 产品选型依据:</w:t>
      </w:r>
    </w:p>
    <w:p>
      <w:pPr>
        <w:ind w:firstLineChars="200"/>
        <w:spacing w:before="0" w:after="0" w:line="360" w:lineRule="auto"/>
      </w:pPr>
      <w:r>
        <w:rPr>
          <w:rFonts w:ascii="Times New Roman" w:hAnsi="Times New Roman" w:eastAsia="宋体"/>
          <w:b w:val="0"/>
          <w:i w:val="0"/>
          <w:color w:val="000000"/>
          <w:sz w:val="24"/>
          <w:u w:val="none"/>
        </w:rPr>
        <w:t>极智嘉机房现有IT资产约100多台（包括硬件设备及虚拟机数量），日志审计、漏扫等产品选型遵循配置200台资产许可。</w:t>
      </w:r>
    </w:p>
    <w:p>
      <w:pPr>
        <w:ind w:firstLineChars="200"/>
        <w:spacing w:before="0" w:after="0" w:line="360" w:lineRule="auto"/>
      </w:pPr>
      <w:r>
        <w:rPr>
          <w:rFonts w:ascii="Times New Roman" w:hAnsi="Times New Roman" w:eastAsia="宋体"/>
          <w:b w:val="0"/>
          <w:i w:val="0"/>
          <w:color w:val="000000"/>
          <w:sz w:val="24"/>
          <w:u w:val="none"/>
        </w:rPr>
        <w:t>互联网出口带宽预计为2条300Mbps链路，内部终端数量1500-2000台（每人平均2.5台，至少包括1台笔记本、1台手机），防火墙、上网行为管理选型为6-8G吞吐量、180万并发连接。</w:t>
      </w:r>
    </w:p>
    <w:p>
      <w:r>
        <w:br w:type="page"/>
      </w:r>
    </w:p>
    <w:p>
      <w:pPr>
        <w:pStyle w:val="Heading3"/>
        <w:jc w:val="left"/>
        <w:spacing w:before="0" w:after="0" w:line="360" w:lineRule="auto"/>
      </w:pPr>
      <w:r>
        <w:rPr>
          <w:rFonts w:ascii="Times New Roman" w:hAnsi="Times New Roman" w:eastAsia="宋体"/>
          <w:b/>
          <w:i w:val="0"/>
          <w:color w:val="000000"/>
          <w:sz w:val="28"/>
          <w:u w:val="none"/>
        </w:rPr>
        <w:t>3.3.2 拓扑图</w:t>
      </w:r>
    </w:p>
    <w:p>
      <w:pPr>
        <w:spacing w:before="283"/>
        <w:jc w:val="center"/>
      </w:pPr>
      <w:r>
        <w:drawing>
          <wp:inline xmlns:a="http://schemas.openxmlformats.org/drawingml/2006/main" xmlns:pic="http://schemas.openxmlformats.org/drawingml/2006/picture">
            <wp:extent cx="4666678" cy="6403351"/>
            <wp:docPr id="3" name="Picture 3"/>
            <wp:cNvGraphicFramePr>
              <a:graphicFrameLocks noChangeAspect="1"/>
            </wp:cNvGraphicFramePr>
            <a:graphic>
              <a:graphicData uri="http://schemas.openxmlformats.org/drawingml/2006/picture">
                <pic:pic>
                  <pic:nvPicPr>
                    <pic:cNvPr id="0" name="e089a418-a688-4631-b0db-599418bbbc71.png"/>
                    <pic:cNvPicPr/>
                  </pic:nvPicPr>
                  <pic:blipFill>
                    <a:blip r:embed="rId11"/>
                    <a:stretch>
                      <a:fillRect/>
                    </a:stretch>
                  </pic:blipFill>
                  <pic:spPr>
                    <a:xfrm>
                      <a:off x="0" y="0"/>
                      <a:ext cx="4666678" cy="6403351"/>
                    </a:xfrm>
                    <a:prstGeom prst="rect"/>
                  </pic:spPr>
                </pic:pic>
              </a:graphicData>
            </a:graphic>
          </wp:inline>
        </w:drawing>
      </w:r>
    </w:p>
    <w:p>
      <w:pPr>
        <w:jc w:val="center"/>
      </w:pPr>
      <w:r>
        <w:rPr>
          <w:rFonts w:ascii="Times New Roman" w:hAnsi="Times New Roman" w:eastAsia="宋体"/>
          <w:b w:val="0"/>
          <w:i w:val="0"/>
          <w:color w:val="000000"/>
          <w:sz w:val="21"/>
          <w:u w:val="none"/>
        </w:rPr>
        <w:t>图3</w:t>
      </w:r>
    </w:p>
    <w:p>
      <w:r>
        <w:br w:type="page"/>
      </w:r>
    </w:p>
    <w:p>
      <w:pPr>
        <w:pStyle w:val="Heading3"/>
        <w:jc w:val="left"/>
        <w:spacing w:before="0" w:after="0" w:line="360" w:lineRule="auto"/>
      </w:pPr>
      <w:r>
        <w:rPr>
          <w:rFonts w:ascii="Times New Roman" w:hAnsi="Times New Roman" w:eastAsia="宋体"/>
          <w:b/>
          <w:i w:val="0"/>
          <w:color w:val="000000"/>
          <w:sz w:val="28"/>
          <w:u w:val="none"/>
        </w:rPr>
        <w:t>3.3.3 方案详述</w:t>
      </w:r>
    </w:p>
    <w:p>
      <w:pPr>
        <w:pStyle w:val="Heading4"/>
        <w:jc w:val="left"/>
        <w:spacing w:before="0" w:after="0" w:line="360" w:lineRule="auto"/>
      </w:pPr>
      <w:r>
        <w:rPr>
          <w:rFonts w:ascii="Times New Roman" w:hAnsi="Times New Roman" w:eastAsia="宋体"/>
          <w:b/>
          <w:i w:val="0"/>
          <w:color w:val="000000"/>
          <w:sz w:val="24"/>
          <w:u w:val="none"/>
        </w:rPr>
        <w:t>3.3.3.1 设备利旧表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设备名称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设备品牌</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设备型号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备注</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利旧方案</w:t>
            </w:r>
          </w:p>
        </w:tc>
      </w:tr>
      <w:tr>
        <w:tc>
          <w:tcPr>
            <w:tcW w:type="dxa" w:w="1441"/>
            <w:vAlign w:val="center"/>
            <w:tcW w:w="0" w:type="auto"/>
          </w:tcPr>
          <w:p>
            <w:pPr>
              <w:jc w:val="center"/>
            </w:pPr>
            <w:r>
              <w:rPr>
                <w:rFonts w:ascii="Times New Roman" w:hAnsi="Times New Roman" w:eastAsia="FangSong"/>
                <w:b w:val="0"/>
                <w:i w:val="0"/>
                <w:color w:val="000000"/>
                <w:sz w:val="24"/>
                <w:u w:val="none"/>
              </w:rPr>
              <w:t>防火墙</w:t>
            </w:r>
          </w:p>
        </w:tc>
        <w:tc>
          <w:tcPr>
            <w:tcW w:type="dxa" w:w="1441"/>
            <w:tcW w:w="0" w:type="auto"/>
          </w:tcPr>
          <w:p>
            <w:pPr>
              <w:jc w:val="left"/>
            </w:pPr>
            <w:r>
              <w:rPr>
                <w:rFonts w:ascii="Times New Roman" w:hAnsi="Times New Roman" w:eastAsia="FangSong"/>
                <w:b w:val="0"/>
                <w:i w:val="0"/>
                <w:color w:val="000000"/>
                <w:sz w:val="24"/>
                <w:u w:val="none"/>
              </w:rPr>
              <w:t>深信服</w:t>
            </w:r>
          </w:p>
        </w:tc>
        <w:tc>
          <w:tcPr>
            <w:tcW w:type="dxa" w:w="1441"/>
            <w:tcW w:w="0" w:type="auto"/>
          </w:tcPr>
          <w:p>
            <w:pPr>
              <w:jc w:val="left"/>
            </w:pPr>
            <w:r>
              <w:rPr>
                <w:rFonts w:ascii="Times New Roman" w:hAnsi="Times New Roman" w:eastAsia="FangSong"/>
                <w:b w:val="0"/>
                <w:i w:val="0"/>
                <w:color w:val="000000"/>
                <w:sz w:val="24"/>
                <w:u w:val="none"/>
              </w:rPr>
              <w:t>AF 8.0.7</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互联网专线接入</w:t>
            </w:r>
          </w:p>
        </w:tc>
        <w:tc>
          <w:tcPr>
            <w:tcW w:type="dxa" w:w="1441"/>
            <w:tcW w:w="0" w:type="auto"/>
          </w:tcPr>
          <w:p>
            <w:pPr>
              <w:jc w:val="left"/>
            </w:pPr>
            <w:r>
              <w:rPr>
                <w:rFonts w:ascii="Times New Roman" w:hAnsi="Times New Roman" w:eastAsia="FangSong"/>
                <w:b w:val="0"/>
                <w:i w:val="0"/>
                <w:color w:val="000000"/>
                <w:sz w:val="24"/>
                <w:u w:val="none"/>
              </w:rPr>
              <w:t>以旧换新，原厂回收</w:t>
            </w:r>
          </w:p>
        </w:tc>
      </w:tr>
      <w:tr>
        <w:tc>
          <w:tcPr>
            <w:tcW w:type="dxa" w:w="1441"/>
            <w:vAlign w:val="center"/>
            <w:tcW w:w="0" w:type="auto"/>
          </w:tcPr>
          <w:p>
            <w:pPr>
              <w:jc w:val="center"/>
            </w:pPr>
            <w:r>
              <w:rPr>
                <w:rFonts w:ascii="Times New Roman" w:hAnsi="Times New Roman" w:eastAsia="FangSong"/>
                <w:b w:val="0"/>
                <w:i w:val="0"/>
                <w:color w:val="000000"/>
                <w:sz w:val="24"/>
                <w:u w:val="none"/>
              </w:rPr>
              <w:t>上网行为管理</w:t>
            </w:r>
          </w:p>
        </w:tc>
        <w:tc>
          <w:tcPr>
            <w:tcW w:type="dxa" w:w="1441"/>
            <w:tcW w:w="0" w:type="auto"/>
          </w:tcPr>
          <w:p>
            <w:pPr>
              <w:jc w:val="left"/>
            </w:pPr>
            <w:r>
              <w:rPr>
                <w:rFonts w:ascii="Times New Roman" w:hAnsi="Times New Roman" w:eastAsia="FangSong"/>
                <w:b w:val="0"/>
                <w:i w:val="0"/>
                <w:color w:val="000000"/>
                <w:sz w:val="24"/>
                <w:u w:val="none"/>
              </w:rPr>
              <w:t>深信服</w:t>
            </w:r>
          </w:p>
        </w:tc>
        <w:tc>
          <w:tcPr>
            <w:tcW w:type="dxa" w:w="1441"/>
            <w:tcW w:w="0" w:type="auto"/>
          </w:tcPr>
          <w:p>
            <w:pPr>
              <w:jc w:val="left"/>
            </w:pPr>
            <w:r>
              <w:rPr>
                <w:rFonts w:ascii="Times New Roman" w:hAnsi="Times New Roman" w:eastAsia="FangSong"/>
                <w:b w:val="0"/>
                <w:i w:val="0"/>
                <w:color w:val="000000"/>
                <w:sz w:val="24"/>
                <w:u w:val="none"/>
              </w:rPr>
              <w:t>AC 12.0.12</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以旧换新，原厂回收</w:t>
            </w:r>
          </w:p>
        </w:tc>
      </w:tr>
      <w:tr>
        <w:tc>
          <w:tcPr>
            <w:tcW w:type="dxa" w:w="1441"/>
            <w:vAlign w:val="center"/>
            <w:tcW w:w="0" w:type="auto"/>
          </w:tcPr>
          <w:p>
            <w:pPr>
              <w:jc w:val="center"/>
            </w:pPr>
            <w:r>
              <w:rPr>
                <w:rFonts w:ascii="Times New Roman" w:hAnsi="Times New Roman" w:eastAsia="FangSong"/>
                <w:b w:val="0"/>
                <w:i w:val="0"/>
                <w:color w:val="000000"/>
                <w:sz w:val="24"/>
                <w:u w:val="none"/>
              </w:rPr>
              <w:t>核心交换机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S7706</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板卡：16口千兆光+16口万兆光+48口千兆电(可利旧)</w:t>
            </w:r>
          </w:p>
        </w:tc>
        <w:tc>
          <w:tcPr>
            <w:tcW w:type="dxa" w:w="1441"/>
            <w:tcW w:w="0" w:type="auto"/>
          </w:tcPr>
          <w:p>
            <w:pPr>
              <w:jc w:val="left"/>
            </w:pPr>
            <w:r>
              <w:rPr>
                <w:rFonts w:ascii="Times New Roman" w:hAnsi="Times New Roman" w:eastAsia="FangSong"/>
                <w:b w:val="0"/>
                <w:i w:val="0"/>
                <w:color w:val="000000"/>
                <w:sz w:val="24"/>
                <w:u w:val="none"/>
              </w:rPr>
              <w:t>利旧</w:t>
              <w:br/>
              <w:t>新增48口万兆业务板</w:t>
            </w:r>
          </w:p>
        </w:tc>
      </w:tr>
      <w:tr>
        <w:tc>
          <w:tcPr>
            <w:tcW w:type="dxa" w:w="1441"/>
            <w:vAlign w:val="center"/>
            <w:tcW w:w="0" w:type="auto"/>
          </w:tcPr>
          <w:p>
            <w:pPr>
              <w:jc w:val="center"/>
            </w:pPr>
            <w:r>
              <w:rPr>
                <w:rFonts w:ascii="Times New Roman" w:hAnsi="Times New Roman" w:eastAsia="FangSong"/>
                <w:b w:val="0"/>
                <w:i w:val="0"/>
                <w:color w:val="000000"/>
                <w:sz w:val="24"/>
                <w:u w:val="none"/>
              </w:rPr>
              <w:t>服务器接入交换机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S5720S-52P-SI-AC</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千兆ESXI服务器接入</w:t>
            </w:r>
          </w:p>
        </w:tc>
        <w:tc>
          <w:tcPr>
            <w:tcW w:type="dxa" w:w="1441"/>
            <w:tcW w:w="0" w:type="auto"/>
          </w:tcPr>
          <w:p>
            <w:pPr>
              <w:jc w:val="left"/>
            </w:pPr>
            <w:r>
              <w:rPr>
                <w:rFonts w:ascii="Times New Roman" w:hAnsi="Times New Roman" w:eastAsia="FangSong"/>
                <w:b w:val="0"/>
                <w:i w:val="0"/>
                <w:color w:val="000000"/>
                <w:sz w:val="24"/>
                <w:u w:val="none"/>
              </w:rPr>
              <w:t>利旧，用于服务器带外管理</w:t>
            </w:r>
          </w:p>
        </w:tc>
      </w:tr>
      <w:tr>
        <w:tc>
          <w:tcPr>
            <w:tcW w:type="dxa" w:w="1441"/>
            <w:vAlign w:val="center"/>
            <w:tcW w:w="0" w:type="auto"/>
          </w:tcPr>
          <w:p>
            <w:pPr>
              <w:jc w:val="center"/>
            </w:pPr>
            <w:r>
              <w:rPr>
                <w:rFonts w:ascii="Times New Roman" w:hAnsi="Times New Roman" w:eastAsia="FangSong"/>
                <w:b w:val="0"/>
                <w:i w:val="0"/>
                <w:color w:val="000000"/>
                <w:sz w:val="24"/>
                <w:u w:val="none"/>
              </w:rPr>
              <w:t>WOC</w:t>
            </w:r>
          </w:p>
        </w:tc>
        <w:tc>
          <w:tcPr>
            <w:tcW w:type="dxa" w:w="1441"/>
            <w:tcW w:w="0" w:type="auto"/>
          </w:tcPr>
          <w:p>
            <w:pPr>
              <w:jc w:val="left"/>
            </w:pPr>
            <w:r>
              <w:rPr>
                <w:rFonts w:ascii="Times New Roman" w:hAnsi="Times New Roman" w:eastAsia="FangSong"/>
                <w:b w:val="0"/>
                <w:i w:val="0"/>
                <w:color w:val="000000"/>
                <w:sz w:val="24"/>
                <w:u w:val="none"/>
              </w:rPr>
              <w:t>深信服</w:t>
            </w:r>
          </w:p>
        </w:tc>
        <w:tc>
          <w:tcPr>
            <w:tcW w:type="dxa" w:w="1441"/>
            <w:tcW w:w="0" w:type="auto"/>
          </w:tcPr>
          <w:p>
            <w:pPr>
              <w:jc w:val="left"/>
            </w:pPr>
            <w:r>
              <w:rPr>
                <w:rFonts w:ascii="Times New Roman" w:hAnsi="Times New Roman" w:eastAsia="FangSong"/>
                <w:b w:val="0"/>
                <w:i w:val="0"/>
                <w:color w:val="000000"/>
                <w:sz w:val="24"/>
                <w:u w:val="none"/>
              </w:rPr>
              <w:t>广域网优化9.5.3</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与外地办公室和项目对接IPsec VPN(可利旧)</w:t>
            </w:r>
          </w:p>
        </w:tc>
        <w:tc>
          <w:tcPr>
            <w:tcW w:type="dxa" w:w="1441"/>
            <w:tcW w:w="0" w:type="auto"/>
          </w:tcPr>
          <w:p>
            <w:pPr>
              <w:jc w:val="left"/>
            </w:pPr>
            <w:r>
              <w:rPr>
                <w:rFonts w:ascii="Times New Roman" w:hAnsi="Times New Roman" w:eastAsia="FangSong"/>
                <w:b w:val="0"/>
                <w:i w:val="0"/>
                <w:color w:val="000000"/>
                <w:sz w:val="24"/>
                <w:u w:val="none"/>
              </w:rPr>
              <w:t>直接利旧</w:t>
            </w:r>
          </w:p>
        </w:tc>
      </w:tr>
      <w:tr>
        <w:tc>
          <w:tcPr>
            <w:tcW w:type="dxa" w:w="1441"/>
            <w:vAlign w:val="center"/>
            <w:tcW w:w="0" w:type="auto"/>
          </w:tcPr>
          <w:p>
            <w:pPr>
              <w:jc w:val="center"/>
            </w:pPr>
            <w:r>
              <w:rPr>
                <w:rFonts w:ascii="Times New Roman" w:hAnsi="Times New Roman" w:eastAsia="FangSong"/>
                <w:b w:val="0"/>
                <w:i w:val="0"/>
                <w:color w:val="000000"/>
                <w:sz w:val="24"/>
                <w:u w:val="none"/>
              </w:rPr>
              <w:t>SSL VPN</w:t>
            </w:r>
          </w:p>
        </w:tc>
        <w:tc>
          <w:tcPr>
            <w:tcW w:type="dxa" w:w="1441"/>
            <w:tcW w:w="0" w:type="auto"/>
          </w:tcPr>
          <w:p>
            <w:pPr>
              <w:jc w:val="left"/>
            </w:pPr>
            <w:r>
              <w:rPr>
                <w:rFonts w:ascii="Times New Roman" w:hAnsi="Times New Roman" w:eastAsia="FangSong"/>
                <w:b w:val="0"/>
                <w:i w:val="0"/>
                <w:color w:val="000000"/>
                <w:sz w:val="24"/>
                <w:u w:val="none"/>
              </w:rPr>
              <w:t>深信服</w:t>
            </w:r>
          </w:p>
        </w:tc>
        <w:tc>
          <w:tcPr>
            <w:tcW w:type="dxa" w:w="1441"/>
            <w:tcW w:w="0" w:type="auto"/>
          </w:tcPr>
          <w:p>
            <w:pPr>
              <w:jc w:val="left"/>
            </w:pPr>
            <w:r>
              <w:rPr>
                <w:rFonts w:ascii="Times New Roman" w:hAnsi="Times New Roman" w:eastAsia="FangSong"/>
                <w:b w:val="0"/>
                <w:i w:val="0"/>
                <w:color w:val="000000"/>
                <w:sz w:val="24"/>
                <w:u w:val="none"/>
              </w:rPr>
              <w:t>ssl vpn</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远程办公用户接入内网(可利旧)</w:t>
            </w:r>
          </w:p>
        </w:tc>
        <w:tc>
          <w:tcPr>
            <w:tcW w:type="dxa" w:w="1441"/>
            <w:tcW w:w="0" w:type="auto"/>
          </w:tcPr>
          <w:p>
            <w:pPr>
              <w:jc w:val="left"/>
            </w:pPr>
            <w:r>
              <w:rPr>
                <w:rFonts w:ascii="Times New Roman" w:hAnsi="Times New Roman" w:eastAsia="FangSong"/>
                <w:b w:val="0"/>
                <w:i w:val="0"/>
                <w:color w:val="000000"/>
                <w:sz w:val="24"/>
                <w:u w:val="none"/>
              </w:rPr>
              <w:t>直接利旧</w:t>
            </w:r>
          </w:p>
        </w:tc>
      </w:tr>
      <w:tr>
        <w:tc>
          <w:tcPr>
            <w:tcW w:type="dxa" w:w="1441"/>
            <w:vAlign w:val="center"/>
            <w:tcW w:w="0" w:type="auto"/>
          </w:tcPr>
          <w:p>
            <w:pPr>
              <w:jc w:val="center"/>
            </w:pPr>
            <w:r>
              <w:rPr>
                <w:rFonts w:ascii="Times New Roman" w:hAnsi="Times New Roman" w:eastAsia="FangSong"/>
                <w:b w:val="0"/>
                <w:i w:val="0"/>
                <w:color w:val="000000"/>
                <w:sz w:val="24"/>
                <w:u w:val="none"/>
              </w:rPr>
              <w:t>堡垒机</w:t>
            </w:r>
          </w:p>
        </w:tc>
        <w:tc>
          <w:tcPr>
            <w:tcW w:type="dxa" w:w="1441"/>
            <w:tcW w:w="0" w:type="auto"/>
          </w:tcPr>
          <w:p>
            <w:pPr>
              <w:jc w:val="left"/>
            </w:pPr>
            <w:r>
              <w:rPr>
                <w:rFonts w:ascii="Times New Roman" w:hAnsi="Times New Roman" w:eastAsia="FangSong"/>
                <w:b w:val="0"/>
                <w:i w:val="0"/>
                <w:color w:val="000000"/>
                <w:sz w:val="24"/>
                <w:u w:val="none"/>
              </w:rPr>
              <w:t>帕拉迪</w:t>
            </w:r>
          </w:p>
        </w:tc>
        <w:tc>
          <w:tcPr>
            <w:tcW w:type="dxa" w:w="1441"/>
            <w:tcW w:w="0" w:type="auto"/>
          </w:tcPr>
          <w:p>
            <w:pPr>
              <w:jc w:val="left"/>
            </w:pPr>
            <w:r>
              <w:rPr>
                <w:rFonts w:ascii="Times New Roman" w:hAnsi="Times New Roman" w:eastAsia="FangSong"/>
                <w:b w:val="0"/>
                <w:i w:val="0"/>
                <w:color w:val="000000"/>
                <w:sz w:val="24"/>
                <w:u w:val="none"/>
              </w:rPr>
              <w:t>Core-4A-UTM</w:t>
            </w:r>
          </w:p>
        </w:tc>
        <w:tc>
          <w:tcPr>
            <w:tcW w:type="dxa" w:w="1441"/>
            <w:tcW w:w="0" w:type="auto"/>
          </w:tcPr>
          <w:p>
            <w:pPr>
              <w:jc w:val="left"/>
            </w:pPr>
            <w:r>
              <w:rPr>
                <w:rFonts w:ascii="Times New Roman" w:hAnsi="Times New Roman" w:eastAsia="FangSong"/>
                <w:b w:val="0"/>
                <w:i w:val="0"/>
                <w:color w:val="000000"/>
                <w:sz w:val="24"/>
                <w:u w:val="none"/>
              </w:rPr>
              <w:t>2</w:t>
            </w:r>
          </w:p>
        </w:tc>
        <w:tc>
          <w:tcPr>
            <w:tcW w:type="dxa" w:w="1441"/>
            <w:tcW w:w="0" w:type="auto"/>
          </w:tcPr>
          <w:p>
            <w:pPr>
              <w:jc w:val="left"/>
            </w:pPr>
            <w:r>
              <w:rPr>
                <w:rFonts w:ascii="Times New Roman" w:hAnsi="Times New Roman" w:eastAsia="FangSong"/>
                <w:b w:val="0"/>
                <w:i w:val="0"/>
                <w:color w:val="000000"/>
                <w:sz w:val="24"/>
                <w:u w:val="none"/>
              </w:rPr>
              <w:t>生产及内网服务器系统连接(可利旧)</w:t>
            </w:r>
          </w:p>
        </w:tc>
        <w:tc>
          <w:tcPr>
            <w:tcW w:type="dxa" w:w="1441"/>
            <w:tcW w:w="0" w:type="auto"/>
          </w:tcPr>
          <w:p>
            <w:pPr>
              <w:jc w:val="left"/>
            </w:pPr>
            <w:r>
              <w:rPr>
                <w:rFonts w:ascii="Times New Roman" w:hAnsi="Times New Roman" w:eastAsia="FangSong"/>
                <w:b w:val="0"/>
                <w:i w:val="0"/>
                <w:color w:val="000000"/>
                <w:sz w:val="24"/>
                <w:u w:val="none"/>
              </w:rPr>
              <w:t>直接利旧</w:t>
            </w:r>
          </w:p>
        </w:tc>
      </w:tr>
      <w:tr>
        <w:tc>
          <w:tcPr>
            <w:tcW w:type="dxa" w:w="1441"/>
            <w:vAlign w:val="center"/>
            <w:tcW w:w="0" w:type="auto"/>
          </w:tcPr>
          <w:p>
            <w:pPr>
              <w:jc w:val="center"/>
            </w:pPr>
            <w:r>
              <w:rPr>
                <w:rFonts w:ascii="Times New Roman" w:hAnsi="Times New Roman" w:eastAsia="FangSong"/>
                <w:b w:val="0"/>
                <w:i w:val="0"/>
                <w:color w:val="000000"/>
                <w:sz w:val="24"/>
                <w:u w:val="none"/>
              </w:rPr>
              <w:t>无线控制器</w:t>
            </w:r>
          </w:p>
        </w:tc>
        <w:tc>
          <w:tcPr>
            <w:tcW w:type="dxa" w:w="1441"/>
            <w:tcW w:w="0" w:type="auto"/>
          </w:tcPr>
          <w:p>
            <w:pPr>
              <w:jc w:val="left"/>
            </w:pPr>
            <w:r>
              <w:rPr>
                <w:rFonts w:ascii="Times New Roman" w:hAnsi="Times New Roman" w:eastAsia="FangSong"/>
                <w:b w:val="0"/>
                <w:i w:val="0"/>
                <w:color w:val="000000"/>
                <w:sz w:val="24"/>
                <w:u w:val="none"/>
              </w:rPr>
              <w:t>信锐</w:t>
            </w:r>
          </w:p>
        </w:tc>
        <w:tc>
          <w:tcPr>
            <w:tcW w:type="dxa" w:w="1441"/>
            <w:tcW w:w="0" w:type="auto"/>
          </w:tcPr>
          <w:p>
            <w:pPr>
              <w:jc w:val="left"/>
            </w:pPr>
            <w:r>
              <w:rPr>
                <w:rFonts w:ascii="Times New Roman" w:hAnsi="Times New Roman" w:eastAsia="FangSong"/>
                <w:b w:val="0"/>
                <w:i w:val="0"/>
                <w:color w:val="000000"/>
                <w:sz w:val="24"/>
                <w:u w:val="none"/>
              </w:rPr>
              <w:t>WAC3.7.4.2 R1</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现管理47AP，日常上线终端600左右</w:t>
            </w:r>
          </w:p>
        </w:tc>
        <w:tc>
          <w:tcPr>
            <w:tcW w:type="dxa" w:w="1441"/>
            <w:tcW w:w="0" w:type="auto"/>
          </w:tcPr>
          <w:p>
            <w:pPr>
              <w:jc w:val="left"/>
            </w:pPr>
            <w:r>
              <w:rPr>
                <w:rFonts w:ascii="Times New Roman" w:hAnsi="Times New Roman" w:eastAsia="FangSong"/>
                <w:b w:val="0"/>
                <w:i w:val="0"/>
                <w:color w:val="000000"/>
                <w:sz w:val="24"/>
                <w:u w:val="none"/>
              </w:rPr>
              <w:t>可部署为访客系统</w:t>
            </w:r>
          </w:p>
        </w:tc>
      </w:tr>
      <w:tr>
        <w:tc>
          <w:tcPr>
            <w:tcW w:type="dxa" w:w="1441"/>
            <w:vAlign w:val="center"/>
            <w:tcW w:w="0" w:type="auto"/>
          </w:tcPr>
          <w:p>
            <w:pPr>
              <w:jc w:val="center"/>
            </w:pPr>
            <w:r>
              <w:rPr>
                <w:rFonts w:ascii="Times New Roman" w:hAnsi="Times New Roman" w:eastAsia="FangSong"/>
                <w:b w:val="0"/>
                <w:i w:val="0"/>
                <w:color w:val="000000"/>
                <w:sz w:val="24"/>
                <w:u w:val="none"/>
              </w:rPr>
              <w:t>1层POE交换机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S1720</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无线AP接入</w:t>
            </w:r>
          </w:p>
        </w:tc>
        <w:tc>
          <w:tcPr>
            <w:tcW w:type="dxa" w:w="1441"/>
            <w:tcW w:w="0" w:type="auto"/>
          </w:tcPr>
          <w:p>
            <w:pPr>
              <w:jc w:val="left"/>
            </w:pPr>
            <w:r>
              <w:rPr>
                <w:rFonts w:ascii="Times New Roman" w:hAnsi="Times New Roman" w:eastAsia="FangSong"/>
                <w:b w:val="0"/>
                <w:i w:val="0"/>
                <w:color w:val="000000"/>
                <w:sz w:val="24"/>
                <w:u w:val="none"/>
              </w:rPr>
              <w:t>POE，无万兆，留作监控网络备用</w:t>
            </w:r>
          </w:p>
        </w:tc>
      </w:tr>
      <w:tr>
        <w:tc>
          <w:tcPr>
            <w:tcW w:type="dxa" w:w="1441"/>
            <w:vAlign w:val="center"/>
            <w:tcW w:w="0" w:type="auto"/>
          </w:tcPr>
          <w:p>
            <w:pPr>
              <w:jc w:val="center"/>
            </w:pPr>
            <w:r>
              <w:rPr>
                <w:rFonts w:ascii="Times New Roman" w:hAnsi="Times New Roman" w:eastAsia="FangSong"/>
                <w:b w:val="0"/>
                <w:i w:val="0"/>
                <w:color w:val="000000"/>
                <w:sz w:val="24"/>
                <w:u w:val="none"/>
              </w:rPr>
              <w:t>4层核心交换机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S5720-28P-SI-AC</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千兆ESXI服务器接入</w:t>
            </w:r>
          </w:p>
        </w:tc>
        <w:tc>
          <w:tcPr>
            <w:tcW w:type="dxa" w:w="1441"/>
            <w:tcW w:w="0" w:type="auto"/>
          </w:tcPr>
          <w:p>
            <w:pPr>
              <w:jc w:val="left"/>
            </w:pPr>
            <w:r>
              <w:rPr>
                <w:rFonts w:ascii="Times New Roman" w:hAnsi="Times New Roman" w:eastAsia="FangSong"/>
                <w:b w:val="0"/>
                <w:i w:val="0"/>
                <w:color w:val="000000"/>
                <w:sz w:val="24"/>
                <w:u w:val="none"/>
              </w:rPr>
              <w:t>利旧，用于运维管理区接入</w:t>
            </w:r>
          </w:p>
        </w:tc>
      </w:tr>
      <w:tr>
        <w:tc>
          <w:tcPr>
            <w:tcW w:type="dxa" w:w="1441"/>
            <w:vAlign w:val="center"/>
            <w:tcW w:w="0" w:type="auto"/>
          </w:tcPr>
          <w:p>
            <w:pPr>
              <w:jc w:val="center"/>
            </w:pPr>
            <w:r>
              <w:rPr>
                <w:rFonts w:ascii="Times New Roman" w:hAnsi="Times New Roman" w:eastAsia="FangSong"/>
                <w:b w:val="0"/>
                <w:i w:val="0"/>
                <w:color w:val="000000"/>
                <w:sz w:val="24"/>
                <w:u w:val="none"/>
              </w:rPr>
              <w:t>4层POE交换机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S5720S-28P-PWR-LI-AC</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无线AP接入</w:t>
            </w:r>
          </w:p>
        </w:tc>
        <w:tc>
          <w:tcPr>
            <w:tcW w:type="dxa" w:w="1441"/>
            <w:tcW w:w="0" w:type="auto"/>
          </w:tcPr>
          <w:p>
            <w:pPr>
              <w:jc w:val="left"/>
            </w:pPr>
            <w:r>
              <w:rPr>
                <w:rFonts w:ascii="Times New Roman" w:hAnsi="Times New Roman" w:eastAsia="FangSong"/>
                <w:b w:val="0"/>
                <w:i w:val="0"/>
                <w:color w:val="000000"/>
                <w:sz w:val="24"/>
                <w:u w:val="none"/>
              </w:rPr>
              <w:t>POE，无万兆，留作监控网络备用</w:t>
            </w:r>
          </w:p>
        </w:tc>
      </w:tr>
      <w:tr>
        <w:tc>
          <w:tcPr>
            <w:tcW w:type="dxa" w:w="1441"/>
            <w:vAlign w:val="center"/>
            <w:tcW w:w="0" w:type="auto"/>
          </w:tcPr>
          <w:p>
            <w:pPr>
              <w:jc w:val="center"/>
            </w:pPr>
            <w:r>
              <w:rPr>
                <w:rFonts w:ascii="Times New Roman" w:hAnsi="Times New Roman" w:eastAsia="FangSong"/>
                <w:b w:val="0"/>
                <w:i w:val="0"/>
                <w:color w:val="000000"/>
                <w:sz w:val="24"/>
                <w:u w:val="none"/>
              </w:rPr>
              <w:t>4层接入交换机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S5720S-52P-SI-AC</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千兆ESXI服务器接入</w:t>
            </w:r>
          </w:p>
        </w:tc>
        <w:tc>
          <w:tcPr>
            <w:tcW w:type="dxa" w:w="1441"/>
            <w:tcW w:w="0" w:type="auto"/>
          </w:tcPr>
          <w:p>
            <w:pPr>
              <w:jc w:val="left"/>
            </w:pPr>
            <w:r>
              <w:rPr>
                <w:rFonts w:ascii="Times New Roman" w:hAnsi="Times New Roman" w:eastAsia="FangSong"/>
                <w:b w:val="0"/>
                <w:i w:val="0"/>
                <w:color w:val="000000"/>
                <w:sz w:val="24"/>
                <w:u w:val="none"/>
              </w:rPr>
              <w:t>利旧，用于服务器带外管理</w:t>
            </w:r>
          </w:p>
        </w:tc>
      </w:tr>
      <w:tr>
        <w:tc>
          <w:tcPr>
            <w:tcW w:type="dxa" w:w="1441"/>
            <w:vAlign w:val="center"/>
            <w:tcW w:w="0" w:type="auto"/>
          </w:tcPr>
          <w:p>
            <w:pPr>
              <w:jc w:val="center"/>
            </w:pPr>
            <w:r>
              <w:rPr>
                <w:rFonts w:ascii="Times New Roman" w:hAnsi="Times New Roman" w:eastAsia="FangSong"/>
                <w:b w:val="0"/>
                <w:i w:val="0"/>
                <w:color w:val="000000"/>
                <w:sz w:val="24"/>
                <w:u w:val="none"/>
              </w:rPr>
              <w:t>4层万兆接入交换机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S6730S-H24X6C-A</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万兆光纤服务器接入</w:t>
            </w:r>
          </w:p>
        </w:tc>
        <w:tc>
          <w:tcPr>
            <w:tcW w:type="dxa" w:w="1441"/>
            <w:tcW w:w="0" w:type="auto"/>
          </w:tcPr>
          <w:p>
            <w:pPr>
              <w:jc w:val="left"/>
            </w:pPr>
            <w:r>
              <w:rPr>
                <w:rFonts w:ascii="Times New Roman" w:hAnsi="Times New Roman" w:eastAsia="FangSong"/>
                <w:b w:val="0"/>
                <w:i w:val="0"/>
                <w:color w:val="000000"/>
                <w:sz w:val="24"/>
                <w:u w:val="none"/>
              </w:rPr>
              <w:t>服务器万兆接入，支持24个万兆光口+4个40G光口</w:t>
            </w:r>
          </w:p>
        </w:tc>
      </w:tr>
      <w:tr>
        <w:tc>
          <w:tcPr>
            <w:tcW w:type="dxa" w:w="1441"/>
            <w:vAlign w:val="center"/>
            <w:tcW w:w="0" w:type="auto"/>
          </w:tcPr>
          <w:p>
            <w:pPr>
              <w:jc w:val="center"/>
            </w:pPr>
            <w:r>
              <w:rPr>
                <w:rFonts w:ascii="Times New Roman" w:hAnsi="Times New Roman" w:eastAsia="FangSong"/>
                <w:b w:val="0"/>
                <w:i w:val="0"/>
                <w:color w:val="000000"/>
                <w:sz w:val="24"/>
                <w:u w:val="none"/>
              </w:rPr>
              <w:t>10号楼三层核心交换机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S5720-28X-SI-AC</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服务器千兆接入</w:t>
              <w:br/>
              <w:t>24个千兆电口+4个万兆光口</w:t>
            </w:r>
          </w:p>
        </w:tc>
      </w:tr>
      <w:tr>
        <w:tc>
          <w:tcPr>
            <w:tcW w:type="dxa" w:w="1441"/>
            <w:vAlign w:val="center"/>
            <w:tcW w:w="0" w:type="auto"/>
          </w:tcPr>
          <w:p>
            <w:pPr>
              <w:jc w:val="center"/>
            </w:pPr>
            <w:r>
              <w:rPr>
                <w:rFonts w:ascii="Times New Roman" w:hAnsi="Times New Roman" w:eastAsia="FangSong"/>
                <w:b w:val="0"/>
                <w:i w:val="0"/>
                <w:color w:val="000000"/>
                <w:sz w:val="24"/>
                <w:u w:val="none"/>
              </w:rPr>
              <w:t>10号楼三层POE交换机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S5720S-28P-PWR-LI-AC</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无线AP接入</w:t>
            </w:r>
          </w:p>
        </w:tc>
        <w:tc>
          <w:tcPr>
            <w:tcW w:type="dxa" w:w="1441"/>
            <w:tcW w:w="0" w:type="auto"/>
          </w:tcPr>
          <w:p>
            <w:pPr>
              <w:jc w:val="left"/>
            </w:pPr>
            <w:r>
              <w:rPr>
                <w:rFonts w:ascii="Times New Roman" w:hAnsi="Times New Roman" w:eastAsia="FangSong"/>
                <w:b w:val="0"/>
                <w:i w:val="0"/>
                <w:color w:val="000000"/>
                <w:sz w:val="24"/>
                <w:u w:val="none"/>
              </w:rPr>
              <w:t>POE，无万兆，留作监控网络备用</w:t>
            </w:r>
          </w:p>
        </w:tc>
      </w:tr>
      <w:tr>
        <w:tc>
          <w:tcPr>
            <w:tcW w:type="dxa" w:w="1441"/>
            <w:vAlign w:val="center"/>
            <w:tcW w:w="0" w:type="auto"/>
          </w:tcPr>
          <w:p>
            <w:pPr>
              <w:jc w:val="center"/>
            </w:pPr>
            <w:r>
              <w:rPr>
                <w:rFonts w:ascii="Times New Roman" w:hAnsi="Times New Roman" w:eastAsia="FangSong"/>
                <w:b w:val="0"/>
                <w:i w:val="0"/>
                <w:color w:val="000000"/>
                <w:sz w:val="24"/>
                <w:u w:val="none"/>
              </w:rPr>
              <w:t>10号楼三层接入交换机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S5720S-28X-LI-AC</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服务器千兆接入</w:t>
              <w:br/>
              <w:t>24个千兆电口+4个万兆光口</w:t>
            </w:r>
          </w:p>
        </w:tc>
      </w:tr>
      <w:tr>
        <w:tc>
          <w:tcPr>
            <w:tcW w:type="dxa" w:w="1441"/>
            <w:vAlign w:val="center"/>
            <w:tcW w:w="0" w:type="auto"/>
          </w:tcPr>
          <w:p>
            <w:pPr>
              <w:jc w:val="center"/>
            </w:pPr>
            <w:r>
              <w:rPr>
                <w:rFonts w:ascii="Times New Roman" w:hAnsi="Times New Roman" w:eastAsia="FangSong"/>
                <w:b w:val="0"/>
                <w:i w:val="0"/>
                <w:color w:val="000000"/>
                <w:sz w:val="24"/>
                <w:u w:val="none"/>
              </w:rPr>
              <w:t>10号楼B1 POE交换机</w:t>
            </w:r>
          </w:p>
        </w:tc>
        <w:tc>
          <w:tcPr>
            <w:tcW w:type="dxa" w:w="1441"/>
            <w:tcW w:w="0" w:type="auto"/>
          </w:tcPr>
          <w:p>
            <w:pPr>
              <w:jc w:val="left"/>
            </w:pPr>
            <w:r>
              <w:rPr>
                <w:rFonts w:ascii="Times New Roman" w:hAnsi="Times New Roman" w:eastAsia="FangSong"/>
                <w:b w:val="0"/>
                <w:i w:val="0"/>
                <w:color w:val="000000"/>
                <w:sz w:val="24"/>
                <w:u w:val="none"/>
              </w:rPr>
              <w:t>华为</w:t>
            </w:r>
          </w:p>
        </w:tc>
        <w:tc>
          <w:tcPr>
            <w:tcW w:type="dxa" w:w="1441"/>
            <w:tcW w:w="0" w:type="auto"/>
          </w:tcPr>
          <w:p>
            <w:pPr>
              <w:jc w:val="left"/>
            </w:pPr>
            <w:r>
              <w:rPr>
                <w:rFonts w:ascii="Times New Roman" w:hAnsi="Times New Roman" w:eastAsia="FangSong"/>
                <w:b w:val="0"/>
                <w:i w:val="0"/>
                <w:color w:val="000000"/>
                <w:sz w:val="24"/>
                <w:u w:val="none"/>
              </w:rPr>
              <w:t>S2700-26TP-PWR-EI</w:t>
            </w:r>
          </w:p>
        </w:tc>
        <w:tc>
          <w:tcPr>
            <w:tcW w:type="dxa" w:w="1441"/>
            <w:tcW w:w="0" w:type="auto"/>
          </w:tcPr>
          <w:p>
            <w:pPr>
              <w:jc w:val="left"/>
            </w:pPr>
            <w:r>
              <w:rPr>
                <w:rFonts w:ascii="Times New Roman" w:hAnsi="Times New Roman" w:eastAsia="FangSong"/>
                <w:b w:val="0"/>
                <w:i w:val="0"/>
                <w:color w:val="000000"/>
                <w:sz w:val="24"/>
                <w:u w:val="none"/>
              </w:rPr>
              <w:t>1</w:t>
            </w:r>
          </w:p>
        </w:tc>
        <w:tc>
          <w:tcPr>
            <w:tcW w:type="dxa" w:w="1441"/>
            <w:tcW w:w="0" w:type="auto"/>
          </w:tcPr>
          <w:p>
            <w:pPr>
              <w:jc w:val="left"/>
            </w:pPr>
            <w:r>
              <w:rPr>
                <w:rFonts w:ascii="Times New Roman" w:hAnsi="Times New Roman" w:eastAsia="FangSong"/>
                <w:b w:val="0"/>
                <w:i w:val="0"/>
                <w:color w:val="000000"/>
                <w:sz w:val="24"/>
                <w:u w:val="none"/>
              </w:rPr>
              <w:t>无线AP接入</w:t>
            </w:r>
          </w:p>
        </w:tc>
        <w:tc>
          <w:tcPr>
            <w:tcW w:type="dxa" w:w="1441"/>
            <w:tcW w:w="0" w:type="auto"/>
          </w:tcPr>
          <w:p>
            <w:pPr>
              <w:jc w:val="left"/>
            </w:pPr>
            <w:r>
              <w:rPr>
                <w:rFonts w:ascii="Times New Roman" w:hAnsi="Times New Roman" w:eastAsia="FangSong"/>
                <w:b w:val="0"/>
                <w:i w:val="0"/>
                <w:color w:val="000000"/>
                <w:sz w:val="24"/>
                <w:u w:val="none"/>
              </w:rPr>
              <w:t>POE，无万兆，留作监控网络备用</w:t>
            </w:r>
          </w:p>
        </w:tc>
      </w:tr>
    </w:tbl>
    <w:p>
      <w:pPr>
        <w:pStyle w:val="Heading4"/>
        <w:jc w:val="left"/>
        <w:spacing w:before="0" w:after="0" w:line="360" w:lineRule="auto"/>
      </w:pPr>
      <w:r>
        <w:rPr>
          <w:rFonts w:ascii="Times New Roman" w:hAnsi="Times New Roman" w:eastAsia="宋体"/>
          <w:b/>
          <w:i w:val="0"/>
          <w:color w:val="000000"/>
          <w:sz w:val="24"/>
          <w:u w:val="none"/>
        </w:rPr>
        <w:t>3.3.3.2 新购设备清单；</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网络部分（包含无线）</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网络部分（包含无线）</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网络部分（包含无线）</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网络部分（包含无线）</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网络部分（包含无线）</w:t>
            </w:r>
          </w:p>
        </w:tc>
      </w:tr>
      <w:tr>
        <w:tc>
          <w:tcPr>
            <w:tcW w:type="dxa" w:w="1729"/>
            <w:vAlign w:val="center"/>
            <w:tcW w:w="0" w:type="auto"/>
          </w:tcPr>
          <w:p>
            <w:pPr>
              <w:jc w:val="center"/>
            </w:pPr>
            <w:r>
              <w:rPr>
                <w:rFonts w:ascii="Times New Roman" w:hAnsi="Times New Roman" w:eastAsia="FangSong"/>
                <w:b w:val="0"/>
                <w:i w:val="0"/>
                <w:color w:val="000000"/>
                <w:sz w:val="24"/>
                <w:u w:val="none"/>
              </w:rPr>
              <w:t>等保三级安全合规部分</w:t>
            </w:r>
          </w:p>
        </w:tc>
        <w:tc>
          <w:tcPr>
            <w:tcW w:type="dxa" w:w="1729"/>
            <w:tcW w:w="0" w:type="auto"/>
          </w:tcPr>
          <w:p>
            <w:pPr>
              <w:jc w:val="left"/>
            </w:pPr>
            <w:r>
              <w:rPr>
                <w:rFonts w:ascii="Times New Roman" w:hAnsi="Times New Roman" w:eastAsia="FangSong"/>
                <w:b w:val="0"/>
                <w:i w:val="0"/>
                <w:color w:val="000000"/>
                <w:sz w:val="24"/>
                <w:u w:val="none"/>
              </w:rPr>
              <w:t>等保三级安全合规部分</w:t>
            </w:r>
          </w:p>
        </w:tc>
        <w:tc>
          <w:tcPr>
            <w:tcW w:type="dxa" w:w="1729"/>
            <w:tcW w:w="0" w:type="auto"/>
          </w:tcPr>
          <w:p>
            <w:pPr>
              <w:jc w:val="left"/>
            </w:pPr>
            <w:r>
              <w:rPr>
                <w:rFonts w:ascii="Times New Roman" w:hAnsi="Times New Roman" w:eastAsia="FangSong"/>
                <w:b w:val="0"/>
                <w:i w:val="0"/>
                <w:color w:val="000000"/>
                <w:sz w:val="24"/>
                <w:u w:val="none"/>
              </w:rPr>
              <w:t>等保三级安全合规部分</w:t>
            </w:r>
          </w:p>
        </w:tc>
        <w:tc>
          <w:tcPr>
            <w:tcW w:type="dxa" w:w="1729"/>
            <w:tcW w:w="0" w:type="auto"/>
          </w:tcPr>
          <w:p>
            <w:pPr>
              <w:jc w:val="left"/>
            </w:pPr>
            <w:r>
              <w:rPr>
                <w:rFonts w:ascii="Times New Roman" w:hAnsi="Times New Roman" w:eastAsia="FangSong"/>
                <w:b w:val="0"/>
                <w:i w:val="0"/>
                <w:color w:val="000000"/>
                <w:sz w:val="24"/>
                <w:u w:val="none"/>
              </w:rPr>
              <w:t>等保三级安全合规部分</w:t>
            </w:r>
          </w:p>
        </w:tc>
        <w:tc>
          <w:tcPr>
            <w:tcW w:type="dxa" w:w="1729"/>
            <w:tcW w:w="0" w:type="auto"/>
          </w:tcPr>
          <w:p>
            <w:pPr>
              <w:jc w:val="left"/>
            </w:pPr>
            <w:r>
              <w:rPr>
                <w:rFonts w:ascii="Times New Roman" w:hAnsi="Times New Roman" w:eastAsia="FangSong"/>
                <w:b w:val="0"/>
                <w:i w:val="0"/>
                <w:color w:val="000000"/>
                <w:sz w:val="24"/>
                <w:u w:val="none"/>
              </w:rPr>
              <w:t>等保三级安全合规部分</w:t>
            </w:r>
          </w:p>
        </w:tc>
      </w:tr>
      <w:tr>
        <w:tc>
          <w:tcPr>
            <w:tcW w:type="dxa" w:w="1729"/>
            <w:vAlign w:val="center"/>
            <w:tcW w:w="0" w:type="auto"/>
          </w:tcPr>
          <w:p>
            <w:pPr>
              <w:jc w:val="center"/>
            </w:pPr>
            <w:r>
              <w:rPr>
                <w:rFonts w:ascii="Times New Roman" w:hAnsi="Times New Roman" w:eastAsia="FangSong"/>
                <w:b w:val="0"/>
                <w:i w:val="0"/>
                <w:color w:val="000000"/>
                <w:sz w:val="24"/>
                <w:u w:val="none"/>
              </w:rPr>
              <w:t>号</w:t>
            </w:r>
          </w:p>
        </w:tc>
        <w:tc>
          <w:tcPr>
            <w:tcW w:type="dxa" w:w="1729"/>
            <w:tcW w:w="0" w:type="auto"/>
          </w:tcPr>
          <w:p>
            <w:pPr>
              <w:jc w:val="left"/>
            </w:pPr>
            <w:r>
              <w:rPr>
                <w:rFonts w:ascii="Times New Roman" w:hAnsi="Times New Roman" w:eastAsia="FangSong"/>
                <w:b w:val="0"/>
                <w:i w:val="0"/>
                <w:color w:val="000000"/>
                <w:sz w:val="24"/>
                <w:u w:val="none"/>
              </w:rPr>
              <w:t>产品线</w:t>
            </w:r>
          </w:p>
        </w:tc>
        <w:tc>
          <w:tcPr>
            <w:tcW w:type="dxa" w:w="1729"/>
            <w:tcW w:w="0" w:type="auto"/>
          </w:tcPr>
          <w:p>
            <w:pPr>
              <w:jc w:val="left"/>
            </w:pPr>
            <w:r>
              <w:rPr>
                <w:rFonts w:ascii="Times New Roman" w:hAnsi="Times New Roman" w:eastAsia="FangSong"/>
                <w:b w:val="0"/>
                <w:i w:val="0"/>
                <w:color w:val="000000"/>
                <w:sz w:val="24"/>
                <w:u w:val="none"/>
              </w:rPr>
              <w:t>产品型号</w:t>
            </w:r>
          </w:p>
        </w:tc>
        <w:tc>
          <w:tcPr>
            <w:tcW w:type="dxa" w:w="1729"/>
            <w:tcW w:w="0" w:type="auto"/>
          </w:tcPr>
          <w:p>
            <w:pPr>
              <w:jc w:val="left"/>
            </w:pPr>
            <w:r>
              <w:rPr>
                <w:rFonts w:ascii="Times New Roman" w:hAnsi="Times New Roman" w:eastAsia="FangSong"/>
                <w:b w:val="0"/>
                <w:i w:val="0"/>
                <w:color w:val="000000"/>
                <w:sz w:val="24"/>
                <w:u w:val="none"/>
              </w:rPr>
              <w:t>产品说明</w:t>
            </w:r>
          </w:p>
        </w:tc>
        <w:tc>
          <w:tcPr>
            <w:tcW w:type="dxa" w:w="1729"/>
            <w:tcW w:w="0" w:type="auto"/>
          </w:tcPr>
          <w:p>
            <w:pPr>
              <w:jc w:val="left"/>
            </w:pPr>
            <w:r>
              <w:rPr>
                <w:rFonts w:ascii="Times New Roman" w:hAnsi="Times New Roman" w:eastAsia="FangSong"/>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日志审计</w:t>
            </w:r>
          </w:p>
        </w:tc>
        <w:tc>
          <w:tcPr>
            <w:tcW w:type="dxa" w:w="1729"/>
            <w:tcW w:w="0" w:type="auto"/>
          </w:tcPr>
          <w:p>
            <w:pPr>
              <w:jc w:val="left"/>
            </w:pPr>
            <w:r>
              <w:rPr>
                <w:rFonts w:ascii="Times New Roman" w:hAnsi="Times New Roman" w:eastAsia="FangSong"/>
                <w:b w:val="0"/>
                <w:i w:val="0"/>
                <w:color w:val="000000"/>
                <w:sz w:val="24"/>
                <w:u w:val="none"/>
              </w:rPr>
              <w:t>LAS-1000-C600(深信服日志审计系统)</w:t>
            </w:r>
          </w:p>
        </w:tc>
        <w:tc>
          <w:tcPr>
            <w:tcW w:type="dxa" w:w="1729"/>
            <w:tcW w:w="0" w:type="auto"/>
          </w:tcPr>
          <w:p>
            <w:pPr>
              <w:jc w:val="left"/>
            </w:pPr>
            <w:r>
              <w:rPr>
                <w:rFonts w:ascii="Times New Roman" w:hAnsi="Times New Roman" w:eastAsia="FangSong"/>
                <w:b w:val="0"/>
                <w:i w:val="0"/>
                <w:color w:val="000000"/>
                <w:sz w:val="24"/>
                <w:u w:val="none"/>
              </w:rPr>
              <w:t>性能参数：默认包含主机审计许可证书数量：200，最大可扩展审计主机许可数：450，可用存储量：1TB（RAID1 模式），平均每秒处理日志数（eps）最大性能：2000。</w:t>
              <w:br/>
              <w:t>硬件参数：规格：2U，内存大小：8G，硬盘容量：64GB minisata+1T SATA*2，电源：单电源，接口：6千兆电口。</w:t>
              <w:br/>
              <w:t>功能描述：深信服日志审计系统（LAS）是深信服公司推出的专业信息安全审计产品，系统通过监测及采集信息系统中的系统安全事件、用户访问行为、系统运行日志、系统运行状态等各类信息，经过规范化、过滤、归并和告警分析等处理后，以统一格式的日志形式进行集中存储和管理，结合丰富的日志统计汇总及综合分析功能，实现对信息系统整体安全状况的全面审计。(*1)；</w:t>
              <w:br/>
              <w:t>含：深信服日志审计系统软件V3.0（适用于LAS-1000-C600，JM-SAS-200A）(*1)；产品质保(*3)；软件升级（LAS-1000-C600）(*3)；</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BVT-基线核查(含漏扫)</w:t>
            </w:r>
          </w:p>
        </w:tc>
        <w:tc>
          <w:tcPr>
            <w:tcW w:type="dxa" w:w="1729"/>
            <w:tcW w:w="0" w:type="auto"/>
          </w:tcPr>
          <w:p>
            <w:pPr>
              <w:jc w:val="left"/>
            </w:pPr>
            <w:r>
              <w:rPr>
                <w:rFonts w:ascii="Times New Roman" w:hAnsi="Times New Roman" w:eastAsia="FangSong"/>
                <w:b w:val="0"/>
                <w:i w:val="0"/>
                <w:color w:val="000000"/>
                <w:sz w:val="24"/>
                <w:u w:val="none"/>
              </w:rPr>
              <w:t>BVT-1000-B1250(深信服基线核查系统)</w:t>
            </w:r>
          </w:p>
        </w:tc>
        <w:tc>
          <w:tcPr>
            <w:tcW w:type="dxa" w:w="1729"/>
            <w:tcW w:w="0" w:type="auto"/>
          </w:tcPr>
          <w:p>
            <w:pPr>
              <w:jc w:val="left"/>
            </w:pPr>
            <w:r>
              <w:rPr>
                <w:rFonts w:ascii="Times New Roman" w:hAnsi="Times New Roman" w:eastAsia="FangSong"/>
                <w:b w:val="0"/>
                <w:i w:val="0"/>
                <w:color w:val="000000"/>
                <w:sz w:val="24"/>
                <w:u w:val="none"/>
              </w:rPr>
              <w:t>性能参数：默认包含资产数：200，最大可扩展授权数：250，漏扫和WEB漏扫不限IP数：不限制。</w:t>
              <w:br/>
              <w:t>硬件参数：规格：1U，内存大小：16G，硬盘容量：2TB SATA，电源：单电源，接口：6千兆电口+4千兆光口SFP+2万兆光口SFP+。(*1)；</w:t>
              <w:br/>
              <w:t>含：深信服基线核查系统软件V3.0（适用于BVT-1000-B1250，配置安全评估系统-200A）(*1)；产品质保(*3)；软件升级（BVT-1000-B1250）(*3)；</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互联网出口防火墙</w:t>
            </w:r>
          </w:p>
        </w:tc>
        <w:tc>
          <w:tcPr>
            <w:tcW w:type="dxa" w:w="1729"/>
            <w:tcW w:w="0" w:type="auto"/>
          </w:tcPr>
          <w:p>
            <w:pPr>
              <w:jc w:val="left"/>
            </w:pPr>
            <w:r>
              <w:rPr>
                <w:rFonts w:ascii="Times New Roman" w:hAnsi="Times New Roman" w:eastAsia="FangSong"/>
                <w:b w:val="0"/>
                <w:i w:val="0"/>
                <w:color w:val="000000"/>
                <w:sz w:val="24"/>
                <w:u w:val="none"/>
              </w:rPr>
              <w:t>AF-1000-B1510(深信服防火墙)</w:t>
            </w:r>
          </w:p>
        </w:tc>
        <w:tc>
          <w:tcPr>
            <w:tcW w:type="dxa" w:w="1729"/>
            <w:tcW w:w="0" w:type="auto"/>
          </w:tcPr>
          <w:p>
            <w:pPr>
              <w:jc w:val="left"/>
            </w:pPr>
            <w:r>
              <w:rPr>
                <w:rFonts w:ascii="Times New Roman" w:hAnsi="Times New Roman" w:eastAsia="FangSong"/>
                <w:b w:val="0"/>
                <w:i w:val="0"/>
                <w:color w:val="000000"/>
                <w:sz w:val="24"/>
                <w:u w:val="none"/>
              </w:rPr>
              <w:t>性能参数：网络层吞吐量：6G，应用层吞吐量：2G，IPS吞吐量：500M，防病毒吞吐量：800M，全威胁吞吐量：400M，并发连接数：180万，HTTP新建连接数：6万，SSL VPN推荐用户数（单独购买）：20，SSL VPN最大用户数（单独购买）：80，SSL VPN最大理论加密流量（单独购买）：300M，IPSec最大隧道数：1000，IPSec  VPN吞吐量：160M。</w:t>
              <w:br/>
              <w:t>硬件参数：规格：1U，内存大小：4G，硬盘容量：64G minisata SSD，电源：单电源，接口：6千兆电口+4千兆光口SFP。</w:t>
              <w:br/>
              <w:t>功能描述：深信服下一代防火墙以保障用户核心资产为目标，提供L2-L7层各类威胁的检测和防护，是一款能够有效应对传统网络攻击和未知威胁攻击的网络安全产品。(*2)；</w:t>
              <w:br/>
              <w:t>含：深信服防火墙软件基础级(*2)；深信服云智订阅软件（AF8.0.7及以上版本适用）(*6)；深信服云鉴订阅软件（AF8.0.7及以上版本适用）(*6)；产品质保(*3)；软件升级(*3)；</w:t>
            </w:r>
          </w:p>
        </w:tc>
        <w:tc>
          <w:tcPr>
            <w:tcW w:type="dxa" w:w="1729"/>
            <w:tcW w:w="0" w:type="auto"/>
          </w:tcPr>
          <w:p>
            <w:pPr>
              <w:jc w:val="left"/>
            </w:pPr>
            <w:r>
              <w:rPr>
                <w:rFonts w:ascii="Times New Roman" w:hAnsi="Times New Roman" w:eastAsia="FangSong"/>
                <w:b w:val="0"/>
                <w:i w:val="0"/>
                <w:color w:val="000000"/>
                <w:sz w:val="24"/>
                <w:u w:val="none"/>
              </w:rPr>
              <w:t>2</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上网行为管理</w:t>
            </w:r>
          </w:p>
        </w:tc>
        <w:tc>
          <w:tcPr>
            <w:tcW w:type="dxa" w:w="1729"/>
            <w:tcW w:w="0" w:type="auto"/>
          </w:tcPr>
          <w:p>
            <w:pPr>
              <w:jc w:val="left"/>
            </w:pPr>
            <w:r>
              <w:rPr>
                <w:rFonts w:ascii="Times New Roman" w:hAnsi="Times New Roman" w:eastAsia="FangSong"/>
                <w:b w:val="0"/>
                <w:i w:val="0"/>
                <w:color w:val="000000"/>
                <w:sz w:val="24"/>
                <w:u w:val="none"/>
              </w:rPr>
              <w:t>AC-1000-B1750(深信服全网行为管理系统)</w:t>
            </w:r>
          </w:p>
        </w:tc>
        <w:tc>
          <w:tcPr>
            <w:tcW w:type="dxa" w:w="1729"/>
            <w:tcW w:w="0" w:type="auto"/>
          </w:tcPr>
          <w:p>
            <w:pPr>
              <w:jc w:val="left"/>
            </w:pPr>
            <w:r>
              <w:rPr>
                <w:rFonts w:ascii="Times New Roman" w:hAnsi="Times New Roman" w:eastAsia="FangSong"/>
                <w:b w:val="0"/>
                <w:i w:val="0"/>
                <w:color w:val="000000"/>
                <w:sz w:val="24"/>
                <w:u w:val="none"/>
              </w:rPr>
              <w:t>性能参数：网络层吞吐量（大包）：8Gb，应用层吞吐量：1.1Gb，带宽性能：750Mb，IPSEC VPN加密性能（最高性能）：150Mb，支持用户数：5000，准入终端数（默认客户端授权数）：2500，包转发率：108Kpps，每秒新建连接数：12000，最大并发连接数：500000。</w:t>
              <w:br/>
              <w:t>硬件参数：规格：1U，内存大小：4G，硬盘容量：1T SATA，电源：单电源，接口：6千兆电口+2万兆光口SFP+。</w:t>
              <w:br/>
              <w:t>功能描述：深信服全网行为管理聚焦企事业组织网络行为安全，实现全网资产、身份、行为可视可控，智能感知内部威胁风险，帮助用户构建有效防御体系。(*2)；</w:t>
              <w:br/>
              <w:t>含：URL&amp;应用识别规则库升级(*6)；深信服全网行为管理系统软件V13.0(*2)；产品质保(*3)；软件升级(*3)；</w:t>
            </w:r>
          </w:p>
        </w:tc>
        <w:tc>
          <w:tcPr>
            <w:tcW w:type="dxa" w:w="1729"/>
            <w:tcW w:w="0" w:type="auto"/>
          </w:tcPr>
          <w:p>
            <w:pPr>
              <w:jc w:val="left"/>
            </w:pPr>
            <w:r>
              <w:rPr>
                <w:rFonts w:ascii="Times New Roman" w:hAnsi="Times New Roman" w:eastAsia="FangSong"/>
                <w:b w:val="0"/>
                <w:i w:val="0"/>
                <w:color w:val="000000"/>
                <w:sz w:val="24"/>
                <w:u w:val="none"/>
              </w:rPr>
              <w:t>2</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终端安全防护</w:t>
            </w:r>
          </w:p>
        </w:tc>
        <w:tc>
          <w:tcPr>
            <w:tcW w:type="dxa" w:w="1729"/>
            <w:tcW w:w="0" w:type="auto"/>
          </w:tcPr>
          <w:p>
            <w:pPr>
              <w:jc w:val="left"/>
            </w:pPr>
            <w:r>
              <w:rPr>
                <w:rFonts w:ascii="Times New Roman" w:hAnsi="Times New Roman" w:eastAsia="FangSong"/>
                <w:b w:val="0"/>
                <w:i w:val="0"/>
                <w:color w:val="000000"/>
                <w:sz w:val="24"/>
                <w:u w:val="none"/>
              </w:rPr>
              <w:t>EDR(深信服终端检测响应平台软件V3.0)</w:t>
            </w:r>
          </w:p>
        </w:tc>
        <w:tc>
          <w:tcPr>
            <w:tcW w:type="dxa" w:w="1729"/>
            <w:tcW w:w="0" w:type="auto"/>
          </w:tcPr>
          <w:p>
            <w:pPr>
              <w:jc w:val="left"/>
            </w:pPr>
            <w:r>
              <w:rPr>
                <w:rFonts w:ascii="Times New Roman" w:hAnsi="Times New Roman" w:eastAsia="FangSong"/>
                <w:b w:val="0"/>
                <w:i w:val="0"/>
                <w:color w:val="000000"/>
                <w:sz w:val="24"/>
                <w:u w:val="none"/>
              </w:rPr>
              <w:t>安全策略模板一体化设置，全网资产盘点与风险可视，自动化日志可视化报表一键导出，管理账号分权分域，总分平台级联控制；管理平台需搭配客户端软件一齐使用，单独购买无效，含1年升级维护费用</w:t>
              <w:br/>
              <w:t>含：深信服终端检测响应平台软件V3.0（产品控制中心）(*1)；深信服端点安全软件V3.0（Linux客户端授权）(*50)；软件升级(*3)；</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数据库审计</w:t>
            </w:r>
          </w:p>
        </w:tc>
        <w:tc>
          <w:tcPr>
            <w:tcW w:type="dxa" w:w="1729"/>
            <w:tcW w:w="0" w:type="auto"/>
          </w:tcPr>
          <w:p>
            <w:pPr>
              <w:jc w:val="left"/>
            </w:pPr>
            <w:r>
              <w:rPr>
                <w:rFonts w:ascii="Times New Roman" w:hAnsi="Times New Roman" w:eastAsia="FangSong"/>
                <w:b w:val="0"/>
                <w:i w:val="0"/>
                <w:color w:val="000000"/>
                <w:sz w:val="24"/>
                <w:u w:val="none"/>
              </w:rPr>
              <w:t>DAS-1000-A620(深信服数据库安全审计系统)</w:t>
            </w:r>
          </w:p>
        </w:tc>
        <w:tc>
          <w:tcPr>
            <w:tcW w:type="dxa" w:w="1729"/>
            <w:tcW w:w="0" w:type="auto"/>
          </w:tcPr>
          <w:p>
            <w:pPr>
              <w:jc w:val="left"/>
            </w:pPr>
            <w:r>
              <w:rPr>
                <w:rFonts w:ascii="Times New Roman" w:hAnsi="Times New Roman" w:eastAsia="FangSong"/>
                <w:b w:val="0"/>
                <w:i w:val="0"/>
                <w:color w:val="000000"/>
                <w:sz w:val="24"/>
                <w:u w:val="none"/>
              </w:rPr>
              <w:t>性能参数：吞吐量：2Gbps，SQL处理性能：10000条SQL/s，日志检索性能：20000条/秒，日志检索：20000条/秒。</w:t>
              <w:br/>
              <w:t>硬件参数：规格：1U，内存大小：8G，硬盘容量：2TB SATA，电源：单电源，接口：6千兆电口+2千兆光口SFP。</w:t>
              <w:br/>
              <w:t>功能描述：深信服数据库安全审计系统（DAS）是针对业务环境下的数据库操作行为进行细粒度审计的合规性管理系统。它通过对业务人员访问系统的行为进行解析、分析、记录、汇报，用来帮助用户事前规划预防，事中实时监视、违规行为响应，事后合规报告、事故追踪溯源，促进核心资产的正常运营。DAS能够实时监控对数据库服务器的操作流量，智能解析出各种操作，并提供日志报表系统分析，为进行事后的分析、取证提供证据。(*1)；</w:t>
              <w:br/>
              <w:t>含：深信服数据库安全审计系统软件V2.0(*1)；产品质保(*3)；软件升级(*3)；</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7</w:t>
            </w:r>
          </w:p>
        </w:tc>
        <w:tc>
          <w:tcPr>
            <w:tcW w:type="dxa" w:w="1729"/>
            <w:tcW w:w="0" w:type="auto"/>
          </w:tcPr>
          <w:p>
            <w:pPr>
              <w:jc w:val="left"/>
            </w:pPr>
            <w:r>
              <w:rPr>
                <w:rFonts w:ascii="Times New Roman" w:hAnsi="Times New Roman" w:eastAsia="FangSong"/>
                <w:b w:val="0"/>
                <w:i w:val="0"/>
                <w:color w:val="000000"/>
                <w:sz w:val="24"/>
                <w:u w:val="none"/>
              </w:rPr>
              <w:t>备份一体机</w:t>
            </w:r>
          </w:p>
        </w:tc>
        <w:tc>
          <w:tcPr>
            <w:tcW w:type="dxa" w:w="1729"/>
            <w:tcW w:w="0" w:type="auto"/>
          </w:tcPr>
          <w:p>
            <w:pPr>
              <w:jc w:val="left"/>
            </w:pPr>
            <w:r>
              <w:rPr>
                <w:rFonts w:ascii="Times New Roman" w:hAnsi="Times New Roman" w:eastAsia="FangSong"/>
                <w:b w:val="0"/>
                <w:i w:val="0"/>
                <w:color w:val="000000"/>
                <w:sz w:val="24"/>
                <w:u w:val="none"/>
              </w:rPr>
              <w:t>aStor-EDS1205（备份一体机）(深信服企业级分布式存储)</w:t>
            </w:r>
          </w:p>
        </w:tc>
        <w:tc>
          <w:tcPr>
            <w:tcW w:type="dxa" w:w="1729"/>
            <w:tcW w:w="0" w:type="auto"/>
          </w:tcPr>
          <w:p>
            <w:pPr>
              <w:jc w:val="left"/>
            </w:pPr>
            <w:r>
              <w:rPr>
                <w:rFonts w:ascii="Times New Roman" w:hAnsi="Times New Roman" w:eastAsia="FangSong"/>
                <w:b w:val="0"/>
                <w:i w:val="0"/>
                <w:color w:val="000000"/>
                <w:sz w:val="24"/>
                <w:u w:val="none"/>
              </w:rPr>
              <w:t>硬件参数：CPU型号：E3-1230 v6 3.50GHz，CPU个数：1，内存：2*16GB，系统盘：1*64GB，缓存盘：选配，数据盘：选配，标配盘位数：12，电源：单电源，接口：2千兆电口+2万兆光口。</w:t>
              <w:br/>
              <w:t>功能描述：深信服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1)；</w:t>
              <w:br/>
              <w:t>含：深信服企业级分布式存储授权软件V3.0（EDS统一存储容量授权-48T)(*1)；深信服企业级数据备份与恢复系统软件V3.0（31T）(*1)；深信服企业级数据库实时CDP容灾软件(*1)；服务器缓存盘960G(2*480G SSD)(*1)；服务器机械硬盘48T（6*8T）(*1)；产品质保(*3)；软件升级(备份一体机)(*3)；</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核心交换机采用2台华为S7706，配置集群；（利旧1台现有S7706，扩容48口万兆光口业务板）；每台配置48口万兆光业务板用于接入交换机上联使用，主干网万兆；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无线AP支持wifi6，无线接入交换机采用4台24口POE交换机，万兆双线上联到核心交换机；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有线网络提供打印机等设备接入，有线接入交换机采用4台华为24口交换机，万兆双线上联到核心交换机；</w:t>
      </w:r>
    </w:p>
    <w:p>
      <w:pPr>
        <w:ind w:firstLineChars="200"/>
        <w:spacing w:before="0" w:after="0" w:line="360" w:lineRule="auto"/>
      </w:pPr>
      <w:r>
        <w:rPr>
          <w:rFonts w:ascii="Times New Roman" w:hAnsi="Times New Roman" w:eastAsia="宋体"/>
          <w:b w:val="0"/>
          <w:i w:val="0"/>
          <w:color w:val="000000"/>
          <w:sz w:val="24"/>
          <w:u w:val="none"/>
        </w:rPr>
        <w:t>服务器接入分为万兆服务器端口和千兆服务器端口2种接入，其中万兆部分采用14台24光口万兆交换机（利旧1台华为24口万兆交换机S6730S-H24X6C-A，新购13台，部署在7台机柜里）；千兆部分采用14台24口千兆电口交换机（利旧2台华为S5720S-28X-AC，新购12台，部署在7台机柜里）；</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利旧1台原有华为交换机S5720S-52P-SI-AC，实现服务器带外管理；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建设运维管理区，部署堡垒机、日志审计、数据审计、漏扫、终端安全防护等安全组件，安全组件接入交换机采用1台原有华为交换机利旧；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本地备份采用备份一体机，提供50TB存储空间，实现现有数据的在线备份；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异地备份选择在南京分公司的机房部署一台服务器，定期将核心数据备份到异地；</w:t>
      </w:r>
    </w:p>
    <w:p>
      <w:r>
        <w:br w:type="page"/>
      </w:r>
    </w:p>
    <w:p>
      <w:pPr>
        <w:pStyle w:val="Heading3"/>
        <w:jc w:val="left"/>
        <w:spacing w:before="0" w:after="0" w:line="360" w:lineRule="auto"/>
      </w:pPr>
      <w:r>
        <w:rPr>
          <w:rFonts w:ascii="Times New Roman" w:hAnsi="Times New Roman" w:eastAsia="宋体"/>
          <w:b/>
          <w:i w:val="0"/>
          <w:color w:val="000000"/>
          <w:sz w:val="28"/>
          <w:u w:val="none"/>
        </w:rPr>
        <w:t>3.3.4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设备可扩展，以满足未来3-5年业务需求；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合理利旧现有设备，保护投资；</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按照等保三级要求建设，满足测评基本要求；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免费提供等保咨询、备案服务；</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以旧换新业务，提供设备回收方案；</w:t>
      </w:r>
    </w:p>
    <w:p>
      <w:r>
        <w:br w:type="page"/>
      </w:r>
    </w:p>
    <w:p>
      <w:pPr>
        <w:pStyle w:val="Heading1"/>
        <w:jc w:val="left"/>
        <w:spacing w:before="0" w:after="0" w:line="360" w:lineRule="auto"/>
      </w:pPr>
      <w:r>
        <w:rPr>
          <w:rFonts w:ascii="Times New Roman" w:hAnsi="Times New Roman" w:eastAsia="宋体"/>
          <w:b/>
          <w:i w:val="0"/>
          <w:color w:val="000000"/>
          <w:sz w:val="32"/>
          <w:u w:val="none"/>
        </w:rPr>
        <w:t>第4章 产品功能</w:t>
      </w:r>
    </w:p>
    <w:p>
      <w:pPr>
        <w:ind w:firstLineChars="200"/>
        <w:spacing w:before="0" w:after="0" w:line="360" w:lineRule="auto"/>
      </w:pPr>
      <w:r>
        <w:rPr>
          <w:rFonts w:ascii="Times New Roman" w:hAnsi="Times New Roman" w:eastAsia="宋体"/>
          <w:b w:val="0"/>
          <w:i w:val="0"/>
          <w:color w:val="000000"/>
          <w:sz w:val="24"/>
          <w:u w:val="none"/>
        </w:rPr>
        <w:t>依据等保三级建设标准，以等保保护安全框架为依据和参考，在满足国家法律法规和标准体系的前提下通过一中心三防护的安全设计，形成网络安全综合防护体系。体系化的进行安全方案设计，全面满足等级保护安全需求及单位网络安全战略目标。</w:t>
      </w:r>
    </w:p>
    <w:p>
      <w:r>
        <w:br w:type="page"/>
      </w:r>
    </w:p>
    <w:p>
      <w:pPr>
        <w:pStyle w:val="Heading2"/>
        <w:jc w:val="left"/>
        <w:spacing w:before="0" w:after="0" w:line="360" w:lineRule="auto"/>
      </w:pPr>
      <w:r>
        <w:rPr>
          <w:rFonts w:ascii="Times New Roman" w:hAnsi="Times New Roman" w:eastAsia="宋体"/>
          <w:b/>
          <w:i w:val="0"/>
          <w:color w:val="000000"/>
          <w:sz w:val="30"/>
          <w:u w:val="none"/>
        </w:rPr>
        <w:t>4.1 下一代防护墙AF</w:t>
      </w:r>
    </w:p>
    <w:p>
      <w:pPr>
        <w:ind w:firstLineChars="200"/>
        <w:spacing w:before="0" w:after="0" w:line="360" w:lineRule="auto"/>
      </w:pPr>
      <w:r>
        <w:rPr>
          <w:rFonts w:ascii="Times New Roman" w:hAnsi="Times New Roman" w:eastAsia="宋体"/>
          <w:b w:val="0"/>
          <w:i w:val="0"/>
          <w:color w:val="000000"/>
          <w:sz w:val="24"/>
          <w:u w:val="none"/>
        </w:rPr>
        <w:t>边界防护的基础是流量的安全可视技术，在传统的IP地址、端口可视技术上，新一代安边界防护技术，需要加强应用程序、威胁和内容的可视。同时，将流量与用户绑定，不论其位置或设备类型如何。应用程序、内容和用户这三项推动业务开展的要素构成了企业安全策略中的一个完整部分。</w:t>
      </w:r>
    </w:p>
    <w:p>
      <w:pPr>
        <w:ind w:firstLineChars="200"/>
        <w:spacing w:before="0" w:after="0" w:line="360" w:lineRule="auto"/>
      </w:pPr>
      <w:r>
        <w:rPr>
          <w:rFonts w:ascii="Times New Roman" w:hAnsi="Times New Roman" w:eastAsia="宋体"/>
          <w:b w:val="0"/>
          <w:i w:val="0"/>
          <w:color w:val="000000"/>
          <w:sz w:val="24"/>
          <w:u w:val="none"/>
        </w:rPr>
        <w:t>除基本的ACL访问控制列表的方法予以隔离以外，还可以针对用户实施精细化的访问控制、应用限制、带宽保证等管控手段。例如，支持基于国家地理位置的访问控制。能够精确识别攻击源/ 目的IP 所处的国家地理位置，从而可以根据业务通信要求实施基于国家地理位置的访问控制，快速阻断攻击流量。</w:t>
      </w:r>
    </w:p>
    <w:p>
      <w:pPr>
        <w:ind w:firstLineChars="200"/>
        <w:spacing w:before="0" w:after="0" w:line="360" w:lineRule="auto"/>
      </w:pPr>
      <w:r>
        <w:rPr>
          <w:rFonts w:ascii="Times New Roman" w:hAnsi="Times New Roman" w:eastAsia="宋体"/>
          <w:b w:val="0"/>
          <w:i w:val="0"/>
          <w:color w:val="000000"/>
          <w:sz w:val="24"/>
          <w:u w:val="none"/>
        </w:rPr>
        <w:t>采用流模式和启发式文件扫描技术，可对HTTP、SMTP、POP3、FTP等多种协议类型的近百万种病毒进行查杀，包括木马、蠕虫、宏病毒、脚本病毒等，同时可对多线程并发、深层次压缩文件等进行有效控制和查杀。</w:t>
      </w:r>
    </w:p>
    <w:p>
      <w:pPr>
        <w:ind w:firstLineChars="200"/>
        <w:spacing w:before="0" w:after="0" w:line="360" w:lineRule="auto"/>
      </w:pPr>
      <w:r>
        <w:rPr>
          <w:rFonts w:ascii="Times New Roman" w:hAnsi="Times New Roman" w:eastAsia="宋体"/>
          <w:b w:val="0"/>
          <w:i w:val="0"/>
          <w:color w:val="000000"/>
          <w:sz w:val="24"/>
          <w:u w:val="none"/>
        </w:rPr>
        <w:t>提供专业Web攻击防护功能。支持SQL注入、跨站脚本、CC攻击等检测与过滤，避免Web服务器遭受攻击破坏；支持外链检查和目录访问控制，防止Web Shell和敏感信息泄露，避免网页篡改与挂马，满足用户Web服务器深层次安全防护需求。</w:t>
      </w:r>
    </w:p>
    <w:p>
      <w:r>
        <w:br w:type="page"/>
      </w:r>
    </w:p>
    <w:p>
      <w:pPr>
        <w:pStyle w:val="Heading2"/>
        <w:jc w:val="left"/>
        <w:spacing w:before="0" w:after="0" w:line="360" w:lineRule="auto"/>
      </w:pPr>
      <w:r>
        <w:rPr>
          <w:rFonts w:ascii="Times New Roman" w:hAnsi="Times New Roman" w:eastAsia="宋体"/>
          <w:b/>
          <w:i w:val="0"/>
          <w:color w:val="000000"/>
          <w:sz w:val="30"/>
          <w:u w:val="none"/>
        </w:rPr>
        <w:t>4.2 全网行为管理AC</w:t>
      </w:r>
    </w:p>
    <w:p>
      <w:pPr>
        <w:pStyle w:val="Heading3"/>
        <w:jc w:val="left"/>
        <w:spacing w:before="0" w:after="0" w:line="360" w:lineRule="auto"/>
      </w:pPr>
      <w:r>
        <w:rPr>
          <w:rFonts w:ascii="Times New Roman" w:hAnsi="Times New Roman" w:eastAsia="宋体"/>
          <w:b/>
          <w:i w:val="0"/>
          <w:color w:val="000000"/>
          <w:sz w:val="28"/>
          <w:u w:val="none"/>
        </w:rPr>
        <w:t>4.2.1 终端接入安全</w:t>
      </w:r>
    </w:p>
    <w:p>
      <w:pPr>
        <w:ind w:firstLineChars="200"/>
        <w:spacing w:before="0" w:after="0" w:line="360" w:lineRule="auto"/>
      </w:pPr>
      <w:r>
        <w:rPr>
          <w:rFonts w:ascii="Times New Roman" w:hAnsi="Times New Roman" w:eastAsia="宋体"/>
          <w:b w:val="0"/>
          <w:i w:val="0"/>
          <w:color w:val="000000"/>
          <w:sz w:val="24"/>
          <w:u w:val="none"/>
        </w:rPr>
        <w:t>AC终端安全能帮助用户实现对认证终端设备的全方位管理，具备了网关防病毒，终端安全级别检查等终端自身系统方面的策略。紧接着更是添加了外联检查用来检查终端设备的各种可能对网络安全带来威胁的多种外联行为，以及内网横向隔离的外联管控能力，可有效避免用户内部资料泄密，并且更是提供了认证终端设备的外设接入管理规则，将威胁网络安全的不利因素拒之门外。</w:t>
      </w:r>
    </w:p>
    <w:p>
      <w:pPr>
        <w:ind w:firstLineChars="200"/>
        <w:spacing w:before="0" w:after="0" w:line="360" w:lineRule="auto"/>
      </w:pPr>
      <w:r>
        <w:rPr>
          <w:rFonts w:ascii="Times New Roman" w:hAnsi="Times New Roman" w:eastAsia="宋体"/>
          <w:b w:val="0"/>
          <w:i w:val="0"/>
          <w:color w:val="000000"/>
          <w:sz w:val="24"/>
          <w:u w:val="none"/>
        </w:rPr>
        <w:t>AC支持丰富的身份认证方式，用户常用的认证方式能够有效的拦截我们常用的网络应用。但是一些UDP类型的网络应用就显得有心无力，为了提高用户的管理力度，AC提供了802.1x认证方式，802.1x是交换机端口授权的认证方式，能够在认证通过之前有效阻止PC的TCP和UDP报文，做到认证更保险。并且提供了认证失败的管理机制，可以让用户对认证有一个全面的把控。</w:t>
      </w:r>
    </w:p>
    <w:p>
      <w:r>
        <w:br w:type="page"/>
      </w:r>
    </w:p>
    <w:p>
      <w:pPr>
        <w:pStyle w:val="Heading3"/>
        <w:jc w:val="left"/>
        <w:spacing w:before="0" w:after="0" w:line="360" w:lineRule="auto"/>
      </w:pPr>
      <w:r>
        <w:rPr>
          <w:rFonts w:ascii="Times New Roman" w:hAnsi="Times New Roman" w:eastAsia="宋体"/>
          <w:b/>
          <w:i w:val="0"/>
          <w:color w:val="000000"/>
          <w:sz w:val="28"/>
          <w:u w:val="none"/>
        </w:rPr>
        <w:t>4.2.2 业务审计</w:t>
      </w:r>
    </w:p>
    <w:p>
      <w:pPr>
        <w:ind w:firstLineChars="200"/>
        <w:spacing w:before="0" w:after="0" w:line="360" w:lineRule="auto"/>
      </w:pPr>
      <w:r>
        <w:rPr>
          <w:rFonts w:ascii="Times New Roman" w:hAnsi="Times New Roman" w:eastAsia="宋体"/>
          <w:b w:val="0"/>
          <w:i w:val="0"/>
          <w:color w:val="000000"/>
          <w:sz w:val="24"/>
          <w:u w:val="none"/>
        </w:rPr>
        <w:t>随着企业信息化的发展，内部业务系统越来越多，业务系统上数据越来越多：</w:t>
      </w:r>
    </w:p>
    <w:p>
      <w:pPr>
        <w:ind w:firstLineChars="200"/>
        <w:spacing w:before="0" w:after="0" w:line="360" w:lineRule="auto"/>
      </w:pPr>
      <w:r>
        <w:rPr>
          <w:rFonts w:ascii="Times New Roman" w:hAnsi="Times New Roman" w:eastAsia="宋体"/>
          <w:b w:val="0"/>
          <w:i w:val="0"/>
          <w:color w:val="000000"/>
          <w:sz w:val="24"/>
          <w:u w:val="none"/>
        </w:rPr>
        <w:t>1. 业务系统梳理困难的问题。企业内部有很多系统，由于历史的原因，很难对业务系统进行梳理，难以对资产进行有效管理，导致存在很多安全隐患。</w:t>
      </w:r>
    </w:p>
    <w:p>
      <w:pPr>
        <w:ind w:firstLineChars="200"/>
        <w:spacing w:before="0" w:after="0" w:line="360" w:lineRule="auto"/>
      </w:pPr>
      <w:r>
        <w:rPr>
          <w:rFonts w:ascii="Times New Roman" w:hAnsi="Times New Roman" w:eastAsia="宋体"/>
          <w:b w:val="0"/>
          <w:i w:val="0"/>
          <w:color w:val="000000"/>
          <w:sz w:val="24"/>
          <w:u w:val="none"/>
        </w:rPr>
        <w:t>2. 业务系统访问的留存和追溯。企业的重要数据大都在各业务系统上，因此对业务系统的访问要进行日志留存，以便后续发生事件可以进行追溯。</w:t>
      </w:r>
    </w:p>
    <w:p>
      <w:pPr>
        <w:ind w:firstLineChars="200"/>
        <w:spacing w:before="0" w:after="0" w:line="360" w:lineRule="auto"/>
      </w:pPr>
      <w:r>
        <w:rPr>
          <w:rFonts w:ascii="Times New Roman" w:hAnsi="Times New Roman" w:eastAsia="宋体"/>
          <w:b w:val="0"/>
          <w:i w:val="0"/>
          <w:color w:val="000000"/>
          <w:sz w:val="24"/>
          <w:u w:val="none"/>
        </w:rPr>
        <w:t>3. 账号安全管理。业务系统使用的问题很多是由于账号的不当使用引起的，特别是在重要的业务系统里，由于账号的不合理使用导致了很多安全隐患。</w:t>
      </w:r>
    </w:p>
    <w:p>
      <w:pPr>
        <w:ind w:firstLineChars="200"/>
        <w:spacing w:before="0" w:after="0" w:line="360" w:lineRule="auto"/>
      </w:pPr>
      <w:r>
        <w:rPr>
          <w:rFonts w:ascii="Times New Roman" w:hAnsi="Times New Roman" w:eastAsia="宋体"/>
          <w:b w:val="0"/>
          <w:i w:val="0"/>
          <w:color w:val="000000"/>
          <w:sz w:val="24"/>
          <w:u w:val="none"/>
        </w:rPr>
        <w:t>AC在互联网审计和业务审计（提供了应用审计、流量和上网时长、网页内容审计）、日志记录、报表分心等不同层级的全面行为审计。实现用户网络的全面管控，不仅支持互联网侧的行为审计，同时支持内网侧的行为审计，可以让用户对自己的网络行为有更多更全的管理监测方式。</w:t>
      </w:r>
    </w:p>
    <w:p>
      <w:r>
        <w:br w:type="page"/>
      </w:r>
    </w:p>
    <w:p>
      <w:pPr>
        <w:pStyle w:val="Heading3"/>
        <w:jc w:val="left"/>
        <w:spacing w:before="0" w:after="0" w:line="360" w:lineRule="auto"/>
      </w:pPr>
      <w:r>
        <w:rPr>
          <w:rFonts w:ascii="Times New Roman" w:hAnsi="Times New Roman" w:eastAsia="宋体"/>
          <w:b/>
          <w:i w:val="0"/>
          <w:color w:val="000000"/>
          <w:sz w:val="28"/>
          <w:u w:val="none"/>
        </w:rPr>
        <w:t>4.2.3 上网管控</w:t>
      </w:r>
    </w:p>
    <w:p>
      <w:pPr>
        <w:ind w:firstLineChars="200"/>
        <w:spacing w:before="0" w:after="0" w:line="360" w:lineRule="auto"/>
      </w:pPr>
      <w:r>
        <w:rPr>
          <w:rFonts w:ascii="Times New Roman" w:hAnsi="Times New Roman" w:eastAsia="宋体"/>
          <w:b w:val="0"/>
          <w:i w:val="0"/>
          <w:color w:val="000000"/>
          <w:sz w:val="24"/>
          <w:u w:val="none"/>
        </w:rPr>
        <w:t>近年来信息防泄密方案备受组织管理员关注，内网员工无意或有意将组织机密信息泄露到互联网甚至竞争对手，或向论坛BBS发布不负责的言论、网络造谣等，将给组织带来泄密和法律风险。AC不仅能基于关键字过滤、记录员工通过Mail（包括Webmail）、BBS、Blog、QQ空间等发布的网络言论，还支持实时报警功能。</w:t>
      </w:r>
    </w:p>
    <w:p>
      <w:pPr>
        <w:ind w:firstLineChars="200"/>
        <w:spacing w:before="0" w:after="0" w:line="360" w:lineRule="auto"/>
      </w:pPr>
      <w:r>
        <w:rPr>
          <w:rFonts w:ascii="Times New Roman" w:hAnsi="Times New Roman" w:eastAsia="宋体"/>
          <w:b w:val="0"/>
          <w:i w:val="0"/>
          <w:color w:val="000000"/>
          <w:sz w:val="24"/>
          <w:u w:val="none"/>
        </w:rPr>
        <w:t>对于使用HTTP、FTP、mail等方式传送文件所引发的风险（如将研发部的核心代码发送出去），首先AC可以禁止用户使用HTTP、FTP上传下载指定类型的文件，对于上传的文件AC也可以全面记录文件内容，做到有据可查。而外发Email潜在的泄密风险通过AC的邮件延迟审计（Postponed Sending after Audit , PSA）技术，根据管理员预设条件，将潜在的泄密邮件先拦截，经人工审核后再发送，保障组织信息资产安全。但存心的泄密者通常会更改文件后缀名、删除后缀名、压缩、加密等，再通过Email外发、或通过HTTP、FTP上传，AC对以上行为同样可以识别并及时报警。</w:t>
      </w:r>
    </w:p>
    <w:p>
      <w:pPr>
        <w:ind w:firstLineChars="200"/>
        <w:spacing w:before="0" w:after="0" w:line="360" w:lineRule="auto"/>
      </w:pPr>
      <w:r>
        <w:rPr>
          <w:rFonts w:ascii="Times New Roman" w:hAnsi="Times New Roman" w:eastAsia="宋体"/>
          <w:b w:val="0"/>
          <w:i w:val="0"/>
          <w:color w:val="000000"/>
          <w:sz w:val="24"/>
          <w:u w:val="none"/>
        </w:rPr>
        <w:t>在移动互联网的兴起下，移动APP的使用已经越来越普遍，因此，公共社交类移动应用将成为发布不实言论、造谣诽谤等的重灾区。AC紧随时代步伐，针对移动端的新闻评论类（腾讯新闻、网易新闻、新浪新闻等）、微博（新浪微博等）、论坛类（百度贴吧、天涯社区、新浪论坛、搜狐社区等）APP进行内容审计，保护移动互联网时代的网络内容安全</w:t>
      </w:r>
    </w:p>
    <w:p>
      <w:r>
        <w:br w:type="page"/>
      </w:r>
    </w:p>
    <w:p>
      <w:pPr>
        <w:pStyle w:val="Heading2"/>
        <w:jc w:val="left"/>
        <w:spacing w:before="0" w:after="0" w:line="360" w:lineRule="auto"/>
      </w:pPr>
      <w:r>
        <w:rPr>
          <w:rFonts w:ascii="Times New Roman" w:hAnsi="Times New Roman" w:eastAsia="宋体"/>
          <w:b/>
          <w:i w:val="0"/>
          <w:color w:val="000000"/>
          <w:sz w:val="30"/>
          <w:u w:val="none"/>
        </w:rPr>
        <w:t>4.3 基线核查漏扫BVT</w:t>
      </w:r>
    </w:p>
    <w:p>
      <w:pPr>
        <w:pStyle w:val="Heading3"/>
        <w:jc w:val="left"/>
        <w:spacing w:before="0" w:after="0" w:line="360" w:lineRule="auto"/>
      </w:pPr>
      <w:r>
        <w:rPr>
          <w:rFonts w:ascii="Times New Roman" w:hAnsi="Times New Roman" w:eastAsia="宋体"/>
          <w:b/>
          <w:i w:val="0"/>
          <w:color w:val="000000"/>
          <w:sz w:val="28"/>
          <w:u w:val="none"/>
        </w:rPr>
        <w:t>4.3.1 资产管理</w:t>
      </w:r>
    </w:p>
    <w:p>
      <w:pPr>
        <w:ind w:firstLineChars="200"/>
        <w:spacing w:before="0" w:after="0" w:line="360" w:lineRule="auto"/>
      </w:pPr>
      <w:r>
        <w:rPr>
          <w:rFonts w:ascii="Times New Roman" w:hAnsi="Times New Roman" w:eastAsia="宋体"/>
          <w:b w:val="0"/>
          <w:i w:val="0"/>
          <w:color w:val="000000"/>
          <w:sz w:val="24"/>
          <w:u w:val="none"/>
        </w:rPr>
        <w:t>BVT设备协助用户实现企业内安全配置的集中采集、风险分析、处理的工作，它是企业日常信息安全工作的重要支撑。其主要解决企业日益繁重的安全配置管理问题。作为统一的安全配置核查和管理系统，能够准确、快速、及时地发现、汇总企业中不同厂商不同种类的网络设备、主机、防火墙、数据库、中间件的安全配置问题、漏洞情况，它主要包括如下主要功能：</w:t>
      </w:r>
    </w:p>
    <w:p>
      <w:pPr>
        <w:ind w:firstLineChars="200"/>
        <w:spacing w:before="0" w:after="0" w:line="360" w:lineRule="auto"/>
      </w:pPr>
      <w:r>
        <w:rPr>
          <w:rFonts w:ascii="Times New Roman" w:hAnsi="Times New Roman" w:eastAsia="宋体"/>
          <w:b w:val="0"/>
          <w:i w:val="0"/>
          <w:color w:val="000000"/>
          <w:sz w:val="24"/>
          <w:u w:val="none"/>
        </w:rPr>
        <w:t>1) 任务制定：提供灵活的功能用于制定不同类型或周期的安全基线检查任务，任务中可以方便地设置检查对象和检查策略。</w:t>
      </w:r>
    </w:p>
    <w:p>
      <w:pPr>
        <w:ind w:firstLineChars="200"/>
        <w:spacing w:before="0" w:after="0" w:line="360" w:lineRule="auto"/>
      </w:pPr>
      <w:r>
        <w:rPr>
          <w:rFonts w:ascii="Times New Roman" w:hAnsi="Times New Roman" w:eastAsia="宋体"/>
          <w:b w:val="0"/>
          <w:i w:val="0"/>
          <w:color w:val="000000"/>
          <w:sz w:val="24"/>
          <w:u w:val="none"/>
        </w:rPr>
        <w:t>2) 采集分析：全面集中检查和分析各类系统存在的本地安全配置问题、漏洞脆弱性、弱口令等，减轻用户因对不同设备分散管理而带来的冗余工作。</w:t>
      </w:r>
    </w:p>
    <w:p>
      <w:pPr>
        <w:ind w:firstLineChars="200"/>
        <w:spacing w:before="0" w:after="0" w:line="360" w:lineRule="auto"/>
      </w:pPr>
      <w:r>
        <w:rPr>
          <w:rFonts w:ascii="Times New Roman" w:hAnsi="Times New Roman" w:eastAsia="宋体"/>
          <w:b w:val="0"/>
          <w:i w:val="0"/>
          <w:color w:val="000000"/>
          <w:sz w:val="24"/>
          <w:u w:val="none"/>
        </w:rPr>
        <w:t>3) 违规报告：提供全面、详尽、清晰的扫描报告管理功能，并能对不同的检查结果进行比对。</w:t>
      </w:r>
    </w:p>
    <w:p>
      <w:pPr>
        <w:ind w:firstLineChars="200"/>
        <w:spacing w:before="0" w:after="0" w:line="360" w:lineRule="auto"/>
      </w:pPr>
      <w:r>
        <w:rPr>
          <w:rFonts w:ascii="Times New Roman" w:hAnsi="Times New Roman" w:eastAsia="宋体"/>
          <w:b w:val="0"/>
          <w:i w:val="0"/>
          <w:color w:val="000000"/>
          <w:sz w:val="24"/>
          <w:u w:val="none"/>
        </w:rPr>
        <w:t>4) 系统加固：提供详尽的、可实际运用的系统加固方案，以指导用户对产生的安全问题进行解决。</w:t>
      </w:r>
    </w:p>
    <w:p>
      <w:r>
        <w:br w:type="page"/>
      </w:r>
    </w:p>
    <w:p>
      <w:pPr>
        <w:pStyle w:val="Heading3"/>
        <w:jc w:val="left"/>
        <w:spacing w:before="0" w:after="0" w:line="360" w:lineRule="auto"/>
      </w:pPr>
      <w:r>
        <w:rPr>
          <w:rFonts w:ascii="Times New Roman" w:hAnsi="Times New Roman" w:eastAsia="宋体"/>
          <w:b/>
          <w:i w:val="0"/>
          <w:color w:val="000000"/>
          <w:sz w:val="28"/>
          <w:u w:val="none"/>
        </w:rPr>
        <w:t>4.3.2 运维管理</w:t>
      </w:r>
    </w:p>
    <w:p>
      <w:pPr>
        <w:ind w:firstLineChars="200"/>
        <w:spacing w:before="0" w:after="0" w:line="360" w:lineRule="auto"/>
      </w:pPr>
      <w:r>
        <w:rPr>
          <w:rFonts w:ascii="Times New Roman" w:hAnsi="Times New Roman" w:eastAsia="宋体"/>
          <w:b w:val="0"/>
          <w:i w:val="0"/>
          <w:color w:val="000000"/>
          <w:sz w:val="24"/>
          <w:u w:val="none"/>
        </w:rPr>
        <w:t>BVT设备积极响应国家政策，对 IPv6 全面支持。在内网部署后，支持资产自动发现，发现长期无人维护的资产，减少运维人员日常维护工作。通过资产发现，对未知资产进行探测，发现资产后看将资产纳入资产管理，统一对其进行安全检查，不留安全隐患。针对离线设备，如一些重要性极高，只在一个独立子网里运行的设备，可以通过离线检查脚本在设备本地进行安全基线配置采集，下载后上传至 BVT 在线分析。在我们运维时无需远程接入，也可安全检查。其体现的产品价值如下：</w:t>
      </w:r>
    </w:p>
    <w:p>
      <w:pPr>
        <w:ind w:firstLineChars="200"/>
        <w:spacing w:before="0" w:after="0" w:line="360" w:lineRule="auto"/>
      </w:pPr>
      <w:r>
        <w:rPr>
          <w:rFonts w:ascii="Times New Roman" w:hAnsi="Times New Roman" w:eastAsia="宋体"/>
          <w:b w:val="0"/>
          <w:i w:val="0"/>
          <w:color w:val="000000"/>
          <w:sz w:val="24"/>
          <w:u w:val="none"/>
        </w:rPr>
        <w:t>1）配置问题管理：全面集中检查和分析各类系统存在的本地安全配置问题，减轻用户因对不同设备分散管理而带来的冗余工作；</w:t>
      </w:r>
    </w:p>
    <w:p>
      <w:pPr>
        <w:ind w:firstLineChars="200"/>
        <w:spacing w:before="0" w:after="0" w:line="360" w:lineRule="auto"/>
      </w:pPr>
      <w:r>
        <w:rPr>
          <w:rFonts w:ascii="Times New Roman" w:hAnsi="Times New Roman" w:eastAsia="宋体"/>
          <w:b w:val="0"/>
          <w:i w:val="0"/>
          <w:color w:val="000000"/>
          <w:sz w:val="24"/>
          <w:u w:val="none"/>
        </w:rPr>
        <w:t>2) 漏洞问题管理：全面集中扫描和分析用户各类信息系统或设备存在的安全漏洞问题，以用户业务为视角，自动地完成以往需安全专家才能完成的风险分析工作；</w:t>
      </w:r>
    </w:p>
    <w:p>
      <w:pPr>
        <w:ind w:firstLineChars="200"/>
        <w:spacing w:before="0" w:after="0" w:line="360" w:lineRule="auto"/>
      </w:pPr>
      <w:r>
        <w:rPr>
          <w:rFonts w:ascii="Times New Roman" w:hAnsi="Times New Roman" w:eastAsia="宋体"/>
          <w:b w:val="0"/>
          <w:i w:val="0"/>
          <w:color w:val="000000"/>
          <w:sz w:val="24"/>
          <w:u w:val="none"/>
        </w:rPr>
        <w:t>3) 扫描报告管理：提供全面、详尽、清晰的扫描报告管理功能，并能对不同的扫描结果进行比对；</w:t>
      </w:r>
    </w:p>
    <w:p>
      <w:pPr>
        <w:ind w:firstLineChars="200"/>
        <w:spacing w:before="0" w:after="0" w:line="360" w:lineRule="auto"/>
      </w:pPr>
      <w:r>
        <w:rPr>
          <w:rFonts w:ascii="Times New Roman" w:hAnsi="Times New Roman" w:eastAsia="宋体"/>
          <w:b w:val="0"/>
          <w:i w:val="0"/>
          <w:color w:val="000000"/>
          <w:sz w:val="24"/>
          <w:u w:val="none"/>
        </w:rPr>
        <w:t>4) 安全运维管理：建立日常运维工作的服务保障体系；包括各种资产配置库、报表管理、安全知识管理等。</w:t>
      </w:r>
    </w:p>
    <w:p>
      <w:r>
        <w:br w:type="page"/>
      </w:r>
    </w:p>
    <w:p>
      <w:pPr>
        <w:pStyle w:val="Heading2"/>
        <w:jc w:val="left"/>
        <w:spacing w:before="0" w:after="0" w:line="360" w:lineRule="auto"/>
      </w:pPr>
      <w:r>
        <w:rPr>
          <w:rFonts w:ascii="Times New Roman" w:hAnsi="Times New Roman" w:eastAsia="宋体"/>
          <w:b/>
          <w:i w:val="0"/>
          <w:color w:val="000000"/>
          <w:sz w:val="30"/>
          <w:u w:val="none"/>
        </w:rPr>
        <w:t>4.4 日志审计运维LAS</w:t>
      </w:r>
    </w:p>
    <w:p>
      <w:pPr>
        <w:ind w:firstLineChars="200"/>
        <w:spacing w:before="0" w:after="0" w:line="360" w:lineRule="auto"/>
      </w:pPr>
      <w:r>
        <w:rPr>
          <w:rFonts w:ascii="Times New Roman" w:hAnsi="Times New Roman" w:eastAsia="宋体"/>
          <w:b w:val="0"/>
          <w:i w:val="0"/>
          <w:color w:val="000000"/>
          <w:sz w:val="24"/>
          <w:u w:val="none"/>
        </w:rPr>
        <w:t>LAS 专注于对信息系统中各类主机、数据库、应用和设备的安全事件、用户行为、系统状态的实时采集、实时分析、异常报警、集中存储和事后分析，是支持分布式、跨平台的统一智能化日志管理及审计设备，可以对各类网络设备、安全设备、操作系统、WEB 服务、中间件、数据库和其它应用进行全面的安全审计。</w:t>
      </w:r>
    </w:p>
    <w:p>
      <w:pPr>
        <w:ind w:firstLineChars="200"/>
        <w:spacing w:before="0" w:after="0" w:line="360" w:lineRule="auto"/>
      </w:pPr>
      <w:r>
        <w:rPr>
          <w:rFonts w:ascii="Times New Roman" w:hAnsi="Times New Roman" w:eastAsia="宋体"/>
          <w:b w:val="0"/>
          <w:i w:val="0"/>
          <w:color w:val="000000"/>
          <w:sz w:val="24"/>
          <w:u w:val="none"/>
        </w:rPr>
        <w:t>LAS 可以帮助企业管理员随时了解整个IT系统的运行情况，通过实时的日志分析及时发现系统异常和非法访问行为;另一方面，通过事后分析和丰富的报表系统，管理员方便高效地对信息系统进行有针对性的安全审计。遇到特殊安全事件和系统故障，LAS可以确保日志完整性和可用性，协助管理员进行故障快速定位，并提供客观依据进行追查和恢复。</w:t>
      </w:r>
    </w:p>
    <w:p>
      <w:pPr>
        <w:ind w:firstLineChars="200"/>
        <w:spacing w:before="0" w:after="0" w:line="360" w:lineRule="auto"/>
      </w:pPr>
      <w:r>
        <w:rPr>
          <w:rFonts w:ascii="Times New Roman" w:hAnsi="Times New Roman" w:eastAsia="宋体"/>
          <w:b w:val="0"/>
          <w:i w:val="0"/>
          <w:color w:val="000000"/>
          <w:sz w:val="24"/>
          <w:u w:val="none"/>
        </w:rPr>
        <w:t>因此，LAS可以帮助用户有效降低 IT系统的故障而带来的损失，降低IT系统的运维成本和管理的复杂度，显著提高系统整体的安全性、可靠性和运行效率，保证IT系统7X24h的正常、持续、稳定运行，降低IT系统的整体安全风险。</w:t>
      </w:r>
    </w:p>
    <w:p>
      <w:pPr>
        <w:ind w:firstLineChars="200"/>
        <w:spacing w:before="0" w:after="0" w:line="360" w:lineRule="auto"/>
      </w:pPr>
      <w:r>
        <w:rPr>
          <w:rFonts w:ascii="Times New Roman" w:hAnsi="Times New Roman" w:eastAsia="宋体"/>
          <w:b w:val="0"/>
          <w:i w:val="0"/>
          <w:color w:val="000000"/>
          <w:sz w:val="24"/>
          <w:u w:val="none"/>
        </w:rPr>
        <w:t>系统能够实时采集企业内部各种安全设备、网络设备、主机、操作系统、业务系统等日志信息，协助用户进行安全分析及合规审计，及时、有效的发现安全事件及审计违规。</w:t>
      </w:r>
    </w:p>
    <w:p>
      <w:pPr>
        <w:ind w:firstLineChars="200"/>
        <w:spacing w:before="0" w:after="0" w:line="360" w:lineRule="auto"/>
      </w:pPr>
      <w:r>
        <w:rPr>
          <w:rFonts w:ascii="Times New Roman" w:hAnsi="Times New Roman" w:eastAsia="宋体"/>
          <w:b w:val="0"/>
          <w:i w:val="0"/>
          <w:color w:val="000000"/>
          <w:sz w:val="24"/>
          <w:u w:val="none"/>
        </w:rPr>
        <w:t>支持安全审计和安全分析等国标、行标，支持数据集群、热扩容，基于关联、多维度场景关联、机器学习等多种分析模式，内置各类分析场景，满足安全监控、安全分析、安全审计、安全可视化等用户实际需求。</w:t>
      </w:r>
    </w:p>
    <w:p>
      <w:r>
        <w:br w:type="page"/>
      </w:r>
    </w:p>
    <w:p>
      <w:pPr>
        <w:pStyle w:val="Heading2"/>
        <w:jc w:val="left"/>
        <w:spacing w:before="0" w:after="0" w:line="360" w:lineRule="auto"/>
      </w:pPr>
      <w:r>
        <w:rPr>
          <w:rFonts w:ascii="Times New Roman" w:hAnsi="Times New Roman" w:eastAsia="宋体"/>
          <w:b/>
          <w:i w:val="0"/>
          <w:color w:val="000000"/>
          <w:sz w:val="30"/>
          <w:u w:val="none"/>
        </w:rPr>
        <w:t>4.5 数据库审计系统DAS</w:t>
      </w:r>
    </w:p>
    <w:p>
      <w:pPr>
        <w:pStyle w:val="Heading3"/>
        <w:jc w:val="left"/>
        <w:spacing w:before="0" w:after="0" w:line="360" w:lineRule="auto"/>
      </w:pPr>
      <w:r>
        <w:rPr>
          <w:rFonts w:ascii="Times New Roman" w:hAnsi="Times New Roman" w:eastAsia="宋体"/>
          <w:b/>
          <w:i w:val="0"/>
          <w:color w:val="000000"/>
          <w:sz w:val="28"/>
          <w:u w:val="none"/>
        </w:rPr>
        <w:t>4.5.1 精细化的数据库权限管控</w:t>
      </w:r>
    </w:p>
    <w:p>
      <w:pPr>
        <w:ind w:firstLineChars="200"/>
        <w:spacing w:before="0" w:after="0" w:line="360" w:lineRule="auto"/>
      </w:pPr>
      <w:r>
        <w:rPr>
          <w:rFonts w:ascii="Times New Roman" w:hAnsi="Times New Roman" w:eastAsia="宋体"/>
          <w:b w:val="0"/>
          <w:i w:val="0"/>
          <w:color w:val="000000"/>
          <w:sz w:val="24"/>
          <w:u w:val="none"/>
        </w:rPr>
        <w:t>特权用户管控支持各类元素的配置，支持针对各类SQL语句命令以及访问程序名对用户做权限管控，在运维端通过低权限账号非法访问数据库时拒绝该用户SQL请求，防止非法访问导致泄密行为。</w:t>
      </w:r>
    </w:p>
    <w:p>
      <w:r>
        <w:br w:type="page"/>
      </w:r>
    </w:p>
    <w:p>
      <w:pPr>
        <w:pStyle w:val="Heading3"/>
        <w:jc w:val="left"/>
        <w:spacing w:before="0" w:after="0" w:line="360" w:lineRule="auto"/>
      </w:pPr>
      <w:r>
        <w:rPr>
          <w:rFonts w:ascii="Times New Roman" w:hAnsi="Times New Roman" w:eastAsia="宋体"/>
          <w:b/>
          <w:i w:val="0"/>
          <w:color w:val="000000"/>
          <w:sz w:val="28"/>
          <w:u w:val="none"/>
        </w:rPr>
        <w:t>4.5.2 日志查询与统计分析</w:t>
      </w:r>
    </w:p>
    <w:p>
      <w:pPr>
        <w:ind w:firstLineChars="200"/>
        <w:spacing w:before="0" w:after="0" w:line="360" w:lineRule="auto"/>
      </w:pPr>
      <w:r>
        <w:rPr>
          <w:rFonts w:ascii="Times New Roman" w:hAnsi="Times New Roman" w:eastAsia="宋体"/>
          <w:b w:val="0"/>
          <w:i w:val="0"/>
          <w:color w:val="000000"/>
          <w:sz w:val="24"/>
          <w:u w:val="none"/>
        </w:rPr>
        <w:t>支持通过各种维度查询数据库审计日志，包括：</w:t>
      </w:r>
    </w:p>
    <w:p>
      <w:pPr>
        <w:ind w:firstLineChars="200"/>
        <w:spacing w:before="0" w:after="0" w:line="360" w:lineRule="auto"/>
      </w:pPr>
      <w:r>
        <w:rPr>
          <w:rFonts w:ascii="Times New Roman" w:hAnsi="Times New Roman" w:eastAsia="宋体"/>
          <w:b w:val="0"/>
          <w:i w:val="0"/>
          <w:color w:val="000000"/>
          <w:sz w:val="24"/>
          <w:u w:val="none"/>
        </w:rPr>
        <w:t>1)</w:t>
        <w:tab/>
        <w:t>支持时间段的选择；</w:t>
      </w:r>
    </w:p>
    <w:p>
      <w:pPr>
        <w:ind w:firstLineChars="200"/>
        <w:spacing w:before="0" w:after="0" w:line="360" w:lineRule="auto"/>
      </w:pPr>
      <w:r>
        <w:rPr>
          <w:rFonts w:ascii="Times New Roman" w:hAnsi="Times New Roman" w:eastAsia="宋体"/>
          <w:b w:val="0"/>
          <w:i w:val="0"/>
          <w:color w:val="000000"/>
          <w:sz w:val="24"/>
          <w:u w:val="none"/>
        </w:rPr>
        <w:t>2)</w:t>
        <w:tab/>
        <w:t>支持通过源区域、目的区域过滤日志；</w:t>
      </w:r>
    </w:p>
    <w:p>
      <w:pPr>
        <w:ind w:firstLineChars="200"/>
        <w:spacing w:before="0" w:after="0" w:line="360" w:lineRule="auto"/>
      </w:pPr>
      <w:r>
        <w:rPr>
          <w:rFonts w:ascii="Times New Roman" w:hAnsi="Times New Roman" w:eastAsia="宋体"/>
          <w:b w:val="0"/>
          <w:i w:val="0"/>
          <w:color w:val="000000"/>
          <w:sz w:val="24"/>
          <w:u w:val="none"/>
        </w:rPr>
        <w:t>3)</w:t>
        <w:tab/>
        <w:t>支持通过操作对象过滤日志；</w:t>
      </w:r>
    </w:p>
    <w:p>
      <w:pPr>
        <w:ind w:firstLineChars="200"/>
        <w:spacing w:before="0" w:after="0" w:line="360" w:lineRule="auto"/>
      </w:pPr>
      <w:r>
        <w:rPr>
          <w:rFonts w:ascii="Times New Roman" w:hAnsi="Times New Roman" w:eastAsia="宋体"/>
          <w:b w:val="0"/>
          <w:i w:val="0"/>
          <w:color w:val="000000"/>
          <w:sz w:val="24"/>
          <w:u w:val="none"/>
        </w:rPr>
        <w:t>4)</w:t>
        <w:tab/>
        <w:t>支持通过影响结果和SQL模板过滤日志。</w:t>
      </w:r>
    </w:p>
    <w:p>
      <w:pPr>
        <w:ind w:firstLineChars="200"/>
        <w:spacing w:before="0" w:after="0" w:line="360" w:lineRule="auto"/>
      </w:pPr>
      <w:r>
        <w:rPr>
          <w:rFonts w:ascii="Times New Roman" w:hAnsi="Times New Roman" w:eastAsia="宋体"/>
          <w:b w:val="0"/>
          <w:i w:val="0"/>
          <w:color w:val="000000"/>
          <w:sz w:val="24"/>
          <w:u w:val="none"/>
        </w:rPr>
        <w:t>支持14种数据库行为、趋势或SQL预计的分析报表，数据库行为的分析可从源IP、业务主机、操作类型、SQL模板、数据库用户这5种维度进行分析。</w:t>
      </w:r>
    </w:p>
    <w:p>
      <w:r>
        <w:br w:type="page"/>
      </w:r>
    </w:p>
    <w:p>
      <w:pPr>
        <w:pStyle w:val="Heading3"/>
        <w:jc w:val="left"/>
        <w:spacing w:before="0" w:after="0" w:line="360" w:lineRule="auto"/>
      </w:pPr>
      <w:r>
        <w:rPr>
          <w:rFonts w:ascii="Times New Roman" w:hAnsi="Times New Roman" w:eastAsia="宋体"/>
          <w:b/>
          <w:i w:val="0"/>
          <w:color w:val="000000"/>
          <w:sz w:val="28"/>
          <w:u w:val="none"/>
        </w:rPr>
        <w:t>4.5.3 数据库安全与查询统计分析</w:t>
      </w:r>
    </w:p>
    <w:p>
      <w:pPr>
        <w:ind w:firstLineChars="200"/>
        <w:spacing w:before="0" w:after="0" w:line="360" w:lineRule="auto"/>
      </w:pPr>
      <w:r>
        <w:rPr>
          <w:rFonts w:ascii="Times New Roman" w:hAnsi="Times New Roman" w:eastAsia="宋体"/>
          <w:b w:val="0"/>
          <w:i w:val="0"/>
          <w:color w:val="000000"/>
          <w:sz w:val="24"/>
          <w:u w:val="none"/>
        </w:rPr>
        <w:t>内置安全规则，包括：导出方式窃取、备份方式窃取、导出可执行程序、备份方式写入恶意代码、系统命令执行、读注册表、写注册表、暴露系统信息、高权存储过程、执行本地代码、常见运维工具使用grant、业务系统使用grant、客户端sp_addrolemember提权、web端sp_addrolemember提权、查询内置敏感表、篡改内置敏感表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支持自定义安全规则，可根据需求定制自己的安全策略规则。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针对数据安全，提供数据库安全日志的查询、排行和趋势分析。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风险查询，除了支持审计日志的过滤维度外，还支持通过策略、规则和风险级别来进行过滤。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风险排行和风险趋势，支持基于风险级别、源IP、业务主机、数据库用户、风险类型5个维度进行统计分析。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可查询分析某一个时间段内账号安全的风险日志。</w:t>
      </w:r>
    </w:p>
    <w:p>
      <w:r>
        <w:br w:type="page"/>
      </w:r>
    </w:p>
    <w:p>
      <w:pPr>
        <w:pStyle w:val="Heading3"/>
        <w:jc w:val="left"/>
        <w:spacing w:before="0" w:after="0" w:line="360" w:lineRule="auto"/>
      </w:pPr>
      <w:r>
        <w:rPr>
          <w:rFonts w:ascii="Times New Roman" w:hAnsi="Times New Roman" w:eastAsia="宋体"/>
          <w:b/>
          <w:i w:val="0"/>
          <w:color w:val="000000"/>
          <w:sz w:val="28"/>
          <w:u w:val="none"/>
        </w:rPr>
        <w:t>4.5.4 DAS完善的自管理功能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提供管理员权限设置和分权管理功能，系统可以对使用人员的操作进行审计记录，可以由审计员进行查询，具有自身安全审计功能。支持下面几种角色：</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w:t>
        <w:tab/>
        <w:t>安全管理员（负责配置规则，无查看日志权限）；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w:t>
        <w:tab/>
        <w:t>审计管理员（负责审计日志，仅有日志查看权限）；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w:t>
        <w:tab/>
        <w:t>自定义角色：可以自选页面。</w:t>
      </w:r>
    </w:p>
    <w:p>
      <w:pPr>
        <w:ind w:firstLineChars="200"/>
        <w:spacing w:before="0" w:after="0" w:line="360" w:lineRule="auto"/>
      </w:pPr>
      <w:r>
        <w:rPr>
          <w:rFonts w:ascii="Times New Roman" w:hAnsi="Times New Roman" w:eastAsia="宋体"/>
          <w:b w:val="0"/>
          <w:i w:val="0"/>
          <w:color w:val="000000"/>
          <w:sz w:val="24"/>
          <w:u w:val="none"/>
        </w:rPr>
        <w:t>提供CPU占用率、内存占用率、磁盘状态占用率、网口等系统资源信息，管理员可以很轻松地通过界面实现对审计数据中心、审计引擎的工作状态进行查看。当出现错误信息时，比如系统异常、磁盘空间不足、采集器离线等，系统可通过邮件告警、短信告警、SNMP TRAP或者SYSLOG方式通知管理员。</w:t>
      </w:r>
    </w:p>
    <w:p>
      <w:pPr>
        <w:ind w:firstLineChars="200"/>
        <w:spacing w:before="0" w:after="0" w:line="360" w:lineRule="auto"/>
      </w:pPr>
      <w:r>
        <w:rPr>
          <w:rFonts w:ascii="Times New Roman" w:hAnsi="Times New Roman" w:eastAsia="宋体"/>
          <w:b w:val="0"/>
          <w:i w:val="0"/>
          <w:color w:val="000000"/>
          <w:sz w:val="24"/>
          <w:u w:val="none"/>
        </w:rPr>
        <w:t>提供手工和NTP两种时间同步方式，通过对全系统自身的时间同步，保证了审计数据时间戳的精确性，避免了审计事件时间误差给事后审计分析工作带来的影响，提升了工作效率。</w:t>
      </w:r>
    </w:p>
    <w:p>
      <w:pPr>
        <w:ind w:firstLineChars="200"/>
        <w:spacing w:before="0" w:after="0" w:line="360" w:lineRule="auto"/>
      </w:pPr>
      <w:r>
        <w:rPr>
          <w:rFonts w:ascii="Times New Roman" w:hAnsi="Times New Roman" w:eastAsia="宋体"/>
          <w:b w:val="0"/>
          <w:i w:val="0"/>
          <w:color w:val="000000"/>
          <w:sz w:val="24"/>
          <w:u w:val="none"/>
        </w:rPr>
        <w:t>4.5.5 DAS全面的安全规则及时保驾护航</w:t>
      </w:r>
    </w:p>
    <w:p>
      <w:pPr>
        <w:ind w:firstLineChars="200"/>
        <w:spacing w:before="0" w:after="0" w:line="360" w:lineRule="auto"/>
      </w:pPr>
      <w:r>
        <w:rPr>
          <w:rFonts w:ascii="Times New Roman" w:hAnsi="Times New Roman" w:eastAsia="宋体"/>
          <w:b w:val="0"/>
          <w:i w:val="0"/>
          <w:color w:val="000000"/>
          <w:sz w:val="24"/>
          <w:u w:val="none"/>
        </w:rPr>
        <w:t>1)</w:t>
        <w:tab/>
        <w:t>内置大量SQL安全规则</w:t>
      </w:r>
    </w:p>
    <w:p>
      <w:pPr>
        <w:ind w:firstLineChars="200"/>
        <w:spacing w:before="0" w:after="0" w:line="360" w:lineRule="auto"/>
      </w:pPr>
      <w:r>
        <w:rPr>
          <w:rFonts w:ascii="Times New Roman" w:hAnsi="Times New Roman" w:eastAsia="宋体"/>
          <w:b w:val="0"/>
          <w:i w:val="0"/>
          <w:color w:val="000000"/>
          <w:sz w:val="24"/>
          <w:u w:val="none"/>
        </w:rPr>
        <w:t>包括如下：导出方式窃取、备份方式窃取、导出可执行程序、备份方式写入恶意代码、系统命令执行、读注册表、写注册表、暴露系统信息、高权存储过程、执行本地代码、常见运维工具使用grant、业务系统使用grant、客户端sp_addrolemember提权、web端sp_addrolemember提权、查询内置敏感表、篡改内置敏感表等。</w:t>
      </w:r>
    </w:p>
    <w:p>
      <w:pPr>
        <w:ind w:firstLineChars="200"/>
        <w:spacing w:before="0" w:after="0" w:line="360" w:lineRule="auto"/>
      </w:pPr>
      <w:r>
        <w:rPr>
          <w:rFonts w:ascii="Times New Roman" w:hAnsi="Times New Roman" w:eastAsia="宋体"/>
          <w:b w:val="0"/>
          <w:i w:val="0"/>
          <w:color w:val="000000"/>
          <w:sz w:val="24"/>
          <w:u w:val="none"/>
        </w:rPr>
        <w:t>2)</w:t>
        <w:tab/>
        <w:t>支持自定义数据库安全策略</w:t>
      </w:r>
    </w:p>
    <w:p>
      <w:pPr>
        <w:ind w:firstLineChars="200"/>
        <w:spacing w:before="0" w:after="0" w:line="360" w:lineRule="auto"/>
      </w:pPr>
      <w:r>
        <w:rPr>
          <w:rFonts w:ascii="Times New Roman" w:hAnsi="Times New Roman" w:eastAsia="宋体"/>
          <w:b w:val="0"/>
          <w:i w:val="0"/>
          <w:color w:val="000000"/>
          <w:sz w:val="24"/>
          <w:u w:val="none"/>
        </w:rPr>
        <w:t>可根据业务需要自定义各种场景的安全规则，对于违规的数据库访问可进行实时警告和阻断。</w:t>
      </w:r>
    </w:p>
    <w:p>
      <w:r>
        <w:br w:type="page"/>
      </w:r>
    </w:p>
    <w:p>
      <w:pPr>
        <w:pStyle w:val="Heading2"/>
        <w:jc w:val="left"/>
        <w:spacing w:before="0" w:after="0" w:line="360" w:lineRule="auto"/>
      </w:pPr>
      <w:r>
        <w:rPr>
          <w:rFonts w:ascii="Times New Roman" w:hAnsi="Times New Roman" w:eastAsia="宋体"/>
          <w:b/>
          <w:i w:val="0"/>
          <w:color w:val="000000"/>
          <w:sz w:val="30"/>
          <w:u w:val="none"/>
        </w:rPr>
        <w:t>4.6 终端安全检测EDR</w:t>
      </w:r>
    </w:p>
    <w:p>
      <w:pPr>
        <w:ind w:firstLineChars="200"/>
        <w:spacing w:before="0" w:after="0" w:line="360" w:lineRule="auto"/>
      </w:pPr>
      <w:r>
        <w:rPr>
          <w:rFonts w:ascii="Times New Roman" w:hAnsi="Times New Roman" w:eastAsia="宋体"/>
          <w:b w:val="0"/>
          <w:i w:val="0"/>
          <w:color w:val="000000"/>
          <w:sz w:val="24"/>
          <w:u w:val="none"/>
        </w:rPr>
        <w:t>对于内网办公区和服务器区，设计在各服务器及PC端安装EDR软件，以保障终端及数据安全。全网终端资产的全面盘点，包含业务服务器的终端和用户 PC 的终端。盘点每台终端设备的 名称、IP 地址、MAC 地址、所属组织、责任人、资产编号、资产位置等。每一台的终端上的资产信息清晰，每一个安全事件责任到人，使得安全管理能落实到位。</w:t>
      </w:r>
    </w:p>
    <w:p>
      <w:pPr>
        <w:ind w:firstLineChars="200"/>
        <w:spacing w:before="0" w:after="0" w:line="360" w:lineRule="auto"/>
      </w:pPr>
      <w:r>
        <w:rPr>
          <w:rFonts w:ascii="Times New Roman" w:hAnsi="Times New Roman" w:eastAsia="宋体"/>
          <w:b w:val="0"/>
          <w:i w:val="0"/>
          <w:color w:val="000000"/>
          <w:sz w:val="24"/>
          <w:u w:val="none"/>
        </w:rPr>
        <w:t>勒索病毒通过加密文件的方式，要求中招者支持一定数额的赎金。这种攻击方式越来越流 行，每天都有客户反馈中招。深信服 EDR 能够非常精准的识别不同的勒索软件家族，并通过专业 分析识别出种种勒索病毒感染行为和加密特征，对最新的勒索软件进行有效的查杀，防止用户感 染最新的勒索软件。</w:t>
      </w:r>
    </w:p>
    <w:p>
      <w:pPr>
        <w:ind w:firstLineChars="200"/>
        <w:spacing w:before="0" w:after="0" w:line="360" w:lineRule="auto"/>
      </w:pPr>
      <w:r>
        <w:rPr>
          <w:rFonts w:ascii="Times New Roman" w:hAnsi="Times New Roman" w:eastAsia="宋体"/>
          <w:b w:val="0"/>
          <w:i w:val="0"/>
          <w:color w:val="000000"/>
          <w:sz w:val="24"/>
          <w:u w:val="none"/>
        </w:rPr>
        <w:t>当前各种感染性病毒大部分都是通过网络进行传播，从而导致大范围内的终端中招，影响范围较广。深信服EDR的微隔离支持网络访问关系策略的配置，可以实现业务域之间或者终端之间的网络隔离，从源头上杜绝病毒的传播，减少用户的损失，进一步保证终端的安全。</w:t>
      </w:r>
    </w:p>
    <w:p>
      <w:r>
        <w:br w:type="page"/>
      </w:r>
    </w:p>
    <w:p>
      <w:pPr>
        <w:pStyle w:val="Heading2"/>
        <w:jc w:val="left"/>
        <w:spacing w:before="0" w:after="0" w:line="360" w:lineRule="auto"/>
      </w:pPr>
      <w:r>
        <w:rPr>
          <w:rFonts w:ascii="Times New Roman" w:hAnsi="Times New Roman" w:eastAsia="宋体"/>
          <w:b/>
          <w:i w:val="0"/>
          <w:color w:val="000000"/>
          <w:sz w:val="30"/>
          <w:u w:val="none"/>
        </w:rPr>
        <w:t>4.7 备份一体机</w:t>
      </w:r>
    </w:p>
    <w:p>
      <w:pPr>
        <w:ind w:firstLineChars="200"/>
        <w:spacing w:before="0" w:after="0" w:line="360" w:lineRule="auto"/>
      </w:pPr>
      <w:r>
        <w:rPr>
          <w:rFonts w:ascii="Times New Roman" w:hAnsi="Times New Roman" w:eastAsia="宋体"/>
          <w:b w:val="0"/>
          <w:i w:val="0"/>
          <w:color w:val="000000"/>
          <w:sz w:val="24"/>
          <w:u w:val="none"/>
        </w:rPr>
        <w:t>深信服企业级备份一体机，内部集成了深信服企业级备份与恢复系统、深信服企业级存储系统双软件，不仅可实现优秀的备份功能，同时提供了稳定、可靠、高性能的存储系统。深信服备份一体机实现了高性价比，适用于云、虚拟化、物理多种环境，同时搭配无代理备份、重删压缩、快速恢复等功能，助力用户一站式解决数据安全保护需求。</w:t>
      </w:r>
    </w:p>
    <w:p>
      <w:r>
        <w:br w:type="page"/>
      </w:r>
    </w:p>
    <w:p>
      <w:pPr>
        <w:pStyle w:val="Heading1"/>
        <w:jc w:val="left"/>
        <w:spacing w:before="0" w:after="0" w:line="360" w:lineRule="auto"/>
      </w:pPr>
      <w:r>
        <w:rPr>
          <w:rFonts w:ascii="Times New Roman" w:hAnsi="Times New Roman" w:eastAsia="宋体"/>
          <w:b/>
          <w:i w:val="0"/>
          <w:color w:val="000000"/>
          <w:sz w:val="32"/>
          <w:u w:val="none"/>
        </w:rPr>
        <w:t>第5章 硬件选型</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882"/>
        <w:gridCol w:w="2882"/>
        <w:gridCol w:w="2882"/>
      </w:tblGrid>
      <w:tr>
        <w:trPr>
          <w:tblHeader/>
        </w:trPr>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产品</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参数</w:t>
            </w:r>
          </w:p>
        </w:tc>
      </w:tr>
      <w:tr>
        <w:tc>
          <w:tcPr>
            <w:tcW w:type="dxa" w:w="2882"/>
            <w:vAlign w:val="center"/>
            <w:tcW w:w="0" w:type="auto"/>
          </w:tcPr>
          <w:p>
            <w:pPr>
              <w:jc w:val="center"/>
            </w:pPr>
            <w:r>
              <w:rPr>
                <w:rFonts w:ascii="Times New Roman" w:hAnsi="Times New Roman" w:eastAsia="FangSong"/>
                <w:b w:val="0"/>
                <w:i w:val="0"/>
                <w:color w:val="000000"/>
                <w:sz w:val="24"/>
                <w:u w:val="none"/>
              </w:rPr>
              <w:t>下一代防火墙AF</w:t>
            </w:r>
          </w:p>
        </w:tc>
        <w:tc>
          <w:tcPr>
            <w:tcW w:type="dxa" w:w="2882"/>
            <w:tcW w:w="0" w:type="auto"/>
          </w:tcPr>
          <w:p>
            <w:pPr>
              <w:jc w:val="left"/>
            </w:pPr>
            <w:r>
              <w:rPr>
                <w:rFonts w:ascii="Times New Roman" w:hAnsi="Times New Roman" w:eastAsia="FangSong"/>
                <w:b w:val="0"/>
                <w:i w:val="0"/>
                <w:color w:val="000000"/>
                <w:sz w:val="24"/>
                <w:u w:val="none"/>
              </w:rPr>
              <w:t>AF-1000-B1510</w:t>
            </w:r>
          </w:p>
        </w:tc>
        <w:tc>
          <w:tcPr>
            <w:tcW w:type="dxa" w:w="2882"/>
            <w:tcW w:w="0" w:type="auto"/>
          </w:tcPr>
          <w:p>
            <w:pPr>
              <w:jc w:val="left"/>
            </w:pPr>
            <w:r>
              <w:rPr>
                <w:rFonts w:ascii="Times New Roman" w:hAnsi="Times New Roman" w:eastAsia="FangSong"/>
                <w:b w:val="0"/>
                <w:i w:val="0"/>
                <w:color w:val="000000"/>
                <w:sz w:val="24"/>
                <w:u w:val="none"/>
              </w:rPr>
              <w:t>性能参数：网络层吞吐量：6G，应用层吞吐量：2G，IPS吞吐量：500M，防病毒吞吐量：800M，全威胁吞吐量：400M，并发连接数：180万，HTTP新建连接数：6万，SSL VPN推荐用户数（单独购买）：20，SSL VPN最大用户数（单独购买）：80，SSL VPN最大理论加密流量（单独购买）：300M，IPSec最大隧道数：1000，IPSec  VPN吞吐量：160M。</w:t>
              <w:br/>
              <w:t>硬件参数：规格：1U，内存大小：4G，硬盘容量：64G minisata SSD，电源：单电源，接口：6千兆电口+4千兆光口SFP。</w:t>
              <w:br/>
              <w:t>功能描述：深信服下一代防火墙以保障用户核心资产为目标，提供L2-L7层各类威胁的检测和防护，是一款能够有效应对传统网络攻击和未知威胁攻击的网络安全产品；</w:t>
              <w:br/>
              <w:t>深信服防火墙软件基础级，产品出厂默认自带功能，包括ACL控制、应用识别与流控、入侵防御、僵尸网络检测等功能；</w:t>
              <w:br/>
              <w:t>深信服云智订阅软，按年收费，包括WEB应用防护识别库、IPS特征库、僵尸网络与病毒防护库、实时漏洞分析识别库和URL&amp;应用识别库定期更新，保持设备具备检测防御最新威胁的能力；</w:t>
              <w:br/>
              <w:t>深信服云鉴订阅软件，"按年收费，提供新型威胁（URL、文件、DNS行为等）在云端检测分析功能以及通过全球威胁情报协同防御各类威胁功能，并提供本地设备杀毒功能和杀毒引擎的更新服务。</w:t>
              <w:br/>
              <w:t>注：云端新型威胁检测和云端威胁情报同步功能需在AF界面上勾选才会启用"</w:t>
              <w:br/>
              <w:t>产品质保，（默认一年服务）提供购买设备的返厂寄修服务</w:t>
              <w:br/>
              <w:t>软件升级，（默认一年服务）提供购买设备的软件升级授权</w:t>
            </w:r>
          </w:p>
        </w:tc>
      </w:tr>
      <w:tr>
        <w:tc>
          <w:tcPr>
            <w:tcW w:type="dxa" w:w="2882"/>
            <w:vAlign w:val="center"/>
            <w:tcW w:w="0" w:type="auto"/>
          </w:tcPr>
          <w:p>
            <w:pPr>
              <w:jc w:val="center"/>
            </w:pPr>
            <w:r>
              <w:rPr>
                <w:rFonts w:ascii="Times New Roman" w:hAnsi="Times New Roman" w:eastAsia="FangSong"/>
                <w:b w:val="0"/>
                <w:i w:val="0"/>
                <w:color w:val="000000"/>
                <w:sz w:val="24"/>
                <w:u w:val="none"/>
              </w:rPr>
              <w:t>全网行为管理AC</w:t>
            </w:r>
          </w:p>
        </w:tc>
        <w:tc>
          <w:tcPr>
            <w:tcW w:type="dxa" w:w="2882"/>
            <w:tcW w:w="0" w:type="auto"/>
          </w:tcPr>
          <w:p>
            <w:pPr>
              <w:jc w:val="left"/>
            </w:pPr>
            <w:r>
              <w:rPr>
                <w:rFonts w:ascii="Times New Roman" w:hAnsi="Times New Roman" w:eastAsia="FangSong"/>
                <w:b w:val="0"/>
                <w:i w:val="0"/>
                <w:color w:val="000000"/>
                <w:sz w:val="24"/>
                <w:u w:val="none"/>
              </w:rPr>
              <w:t>AC-1000-B1400</w:t>
            </w:r>
          </w:p>
        </w:tc>
        <w:tc>
          <w:tcPr>
            <w:tcW w:type="dxa" w:w="2882"/>
            <w:tcW w:w="0" w:type="auto"/>
          </w:tcPr>
          <w:p>
            <w:pPr>
              <w:jc w:val="left"/>
            </w:pPr>
            <w:r>
              <w:rPr>
                <w:rFonts w:ascii="Times New Roman" w:hAnsi="Times New Roman" w:eastAsia="FangSong"/>
                <w:b w:val="0"/>
                <w:i w:val="0"/>
                <w:color w:val="000000"/>
                <w:sz w:val="24"/>
                <w:u w:val="none"/>
              </w:rPr>
              <w:t>性能参数：网络层吞吐量（大包）：4.8Gb，应用层吞吐量：600Mb，带宽性能：400Mb，IPSEC VPN加密性能（最高性能）：120Mb，支持用户数：3000，准入终端数（默认客户端授权数）：1500，包转发率：72Kpps，每秒新建连接数：8000，最大并发连接数：400000。</w:t>
              <w:br/>
              <w:t>硬件参数：规格：1U，内存大小：4G，硬盘容量：1T SATA，电源：单电源，接口：4千兆电口+4千兆光口SFP。</w:t>
              <w:br/>
              <w:t>功能描述：深信服全网行为管理聚焦企事业组织网络行为安全，实现全网资产、身份、行为可视可控，智能感知内部威胁风险，帮助用户构建有效防御体系。</w:t>
              <w:br/>
              <w:t>含：</w:t>
              <w:br/>
              <w:t>URL&amp;应用识别规则库升级(*3);</w:t>
              <w:br/>
              <w:t>深信服全网行为管理系统软件V13.0(*1);</w:t>
              <w:br/>
              <w:t>产品质保(*3);</w:t>
              <w:br/>
              <w:t>软件升级(*3);</w:t>
            </w:r>
          </w:p>
        </w:tc>
      </w:tr>
      <w:tr>
        <w:tc>
          <w:tcPr>
            <w:tcW w:type="dxa" w:w="2882"/>
            <w:vAlign w:val="center"/>
            <w:tcW w:w="0" w:type="auto"/>
          </w:tcPr>
          <w:p>
            <w:pPr>
              <w:jc w:val="center"/>
            </w:pPr>
            <w:r>
              <w:rPr>
                <w:rFonts w:ascii="Times New Roman" w:hAnsi="Times New Roman" w:eastAsia="FangSong"/>
                <w:b w:val="0"/>
                <w:i w:val="0"/>
                <w:color w:val="000000"/>
                <w:sz w:val="24"/>
                <w:u w:val="none"/>
              </w:rPr>
              <w:t>基线核查漏扫BVT</w:t>
            </w:r>
          </w:p>
        </w:tc>
        <w:tc>
          <w:tcPr>
            <w:tcW w:type="dxa" w:w="2882"/>
            <w:tcW w:w="0" w:type="auto"/>
          </w:tcPr>
          <w:p>
            <w:pPr>
              <w:jc w:val="left"/>
            </w:pPr>
            <w:r>
              <w:rPr>
                <w:rFonts w:ascii="Times New Roman" w:hAnsi="Times New Roman" w:eastAsia="FangSong"/>
                <w:b w:val="0"/>
                <w:i w:val="0"/>
                <w:color w:val="000000"/>
                <w:sz w:val="24"/>
                <w:u w:val="none"/>
              </w:rPr>
              <w:t>BVT-1000-B1250</w:t>
            </w:r>
          </w:p>
        </w:tc>
        <w:tc>
          <w:tcPr>
            <w:tcW w:type="dxa" w:w="2882"/>
            <w:tcW w:w="0" w:type="auto"/>
          </w:tcPr>
          <w:p>
            <w:pPr>
              <w:jc w:val="left"/>
            </w:pPr>
            <w:r>
              <w:rPr>
                <w:rFonts w:ascii="Times New Roman" w:hAnsi="Times New Roman" w:eastAsia="FangSong"/>
                <w:b w:val="0"/>
                <w:i w:val="0"/>
                <w:color w:val="000000"/>
                <w:sz w:val="24"/>
                <w:u w:val="none"/>
              </w:rPr>
              <w:t>性能参数：默认包含资产数：200，最大可扩展授权数：250，漏扫和WEB漏扫不限IP数：不限制。</w:t>
              <w:br/>
              <w:t>硬件参数：规格：1U，内存大小：16G，硬盘容量：2TB SATA，电源：单电源，接口：6千兆电口+4千兆光口SFP+2万兆光口SFP+。(*1)；产品质保（默认一年服务）提供购买设备的返厂寄修服务</w:t>
              <w:br/>
              <w:t>软件升级（默认三年服务）提供购买设备的软件升级授权</w:t>
            </w:r>
          </w:p>
        </w:tc>
      </w:tr>
      <w:tr>
        <w:tc>
          <w:tcPr>
            <w:tcW w:type="dxa" w:w="2882"/>
            <w:vAlign w:val="center"/>
            <w:tcW w:w="0" w:type="auto"/>
          </w:tcPr>
          <w:p>
            <w:pPr>
              <w:jc w:val="center"/>
            </w:pPr>
            <w:r>
              <w:rPr>
                <w:rFonts w:ascii="Times New Roman" w:hAnsi="Times New Roman" w:eastAsia="FangSong"/>
                <w:b w:val="0"/>
                <w:i w:val="0"/>
                <w:color w:val="000000"/>
                <w:sz w:val="24"/>
                <w:u w:val="none"/>
              </w:rPr>
              <w:t>日志审计系统LAS</w:t>
            </w:r>
          </w:p>
        </w:tc>
        <w:tc>
          <w:tcPr>
            <w:tcW w:type="dxa" w:w="2882"/>
            <w:tcW w:w="0" w:type="auto"/>
          </w:tcPr>
          <w:p>
            <w:pPr>
              <w:jc w:val="left"/>
            </w:pPr>
            <w:r>
              <w:rPr>
                <w:rFonts w:ascii="Times New Roman" w:hAnsi="Times New Roman" w:eastAsia="FangSong"/>
                <w:b w:val="0"/>
                <w:i w:val="0"/>
                <w:color w:val="000000"/>
                <w:sz w:val="24"/>
                <w:u w:val="none"/>
              </w:rPr>
              <w:t>LAS-1000-C600</w:t>
            </w:r>
          </w:p>
        </w:tc>
        <w:tc>
          <w:tcPr>
            <w:tcW w:type="dxa" w:w="2882"/>
            <w:tcW w:w="0" w:type="auto"/>
          </w:tcPr>
          <w:p>
            <w:pPr>
              <w:jc w:val="left"/>
            </w:pPr>
            <w:r>
              <w:rPr>
                <w:rFonts w:ascii="Times New Roman" w:hAnsi="Times New Roman" w:eastAsia="FangSong"/>
                <w:b w:val="0"/>
                <w:i w:val="0"/>
                <w:color w:val="000000"/>
                <w:sz w:val="24"/>
                <w:u w:val="none"/>
              </w:rPr>
              <w:t>性能参数：默认包含主机审计许可证书数量：200，最大可扩展审计主机许可数：450，可用存储量：1TB（RAID1 模式），平均每秒处理日志数（eps）最大性能：2000。</w:t>
              <w:br/>
              <w:t>硬件参数：规格：2U，内存大小：8G，硬盘容量：64GB minisata+1T SATA*2，电源：单电源，接口：6千兆电口。</w:t>
              <w:br/>
              <w:t>产品质保（默认一年服务）提供购买设备的返厂寄修服务</w:t>
              <w:br/>
              <w:t>软件升级（默认三年服务）提供购买设备的软件升级授权</w:t>
            </w:r>
          </w:p>
        </w:tc>
      </w:tr>
      <w:tr>
        <w:tc>
          <w:tcPr>
            <w:tcW w:type="dxa" w:w="2882"/>
            <w:vAlign w:val="center"/>
            <w:tcW w:w="0" w:type="auto"/>
          </w:tcPr>
          <w:p>
            <w:pPr>
              <w:jc w:val="center"/>
            </w:pPr>
            <w:r>
              <w:rPr>
                <w:rFonts w:ascii="Times New Roman" w:hAnsi="Times New Roman" w:eastAsia="FangSong"/>
                <w:b w:val="0"/>
                <w:i w:val="0"/>
                <w:color w:val="000000"/>
                <w:sz w:val="24"/>
                <w:u w:val="none"/>
              </w:rPr>
              <w:t>数据库审计系统DAS</w:t>
            </w:r>
          </w:p>
        </w:tc>
        <w:tc>
          <w:tcPr>
            <w:tcW w:type="dxa" w:w="2882"/>
            <w:tcW w:w="0" w:type="auto"/>
          </w:tcPr>
          <w:p>
            <w:pPr>
              <w:jc w:val="left"/>
            </w:pPr>
            <w:r>
              <w:rPr>
                <w:rFonts w:ascii="Times New Roman" w:hAnsi="Times New Roman" w:eastAsia="FangSong"/>
                <w:b w:val="0"/>
                <w:i w:val="0"/>
                <w:color w:val="000000"/>
                <w:sz w:val="24"/>
                <w:u w:val="none"/>
              </w:rPr>
              <w:t>DAS-1000-A620</w:t>
            </w:r>
          </w:p>
        </w:tc>
        <w:tc>
          <w:tcPr>
            <w:tcW w:type="dxa" w:w="2882"/>
            <w:tcW w:w="0" w:type="auto"/>
          </w:tcPr>
          <w:p>
            <w:pPr>
              <w:jc w:val="left"/>
            </w:pPr>
            <w:r>
              <w:rPr>
                <w:rFonts w:ascii="Times New Roman" w:hAnsi="Times New Roman" w:eastAsia="FangSong"/>
                <w:b w:val="0"/>
                <w:i w:val="0"/>
                <w:color w:val="000000"/>
                <w:sz w:val="24"/>
                <w:u w:val="none"/>
              </w:rPr>
              <w:t>性能参数：吞吐量：2Gbps，SQL处理性能：10000条SQL/s，日志检索性能：20000条/秒，日志检索：20000条/秒。</w:t>
              <w:br/>
              <w:t>硬件参数：规格：1U，内存大小：8G，硬盘容量：2TB SATA，电源：单电源，接口：6千兆电口+2千兆光口SFP。</w:t>
              <w:br/>
              <w:t>产品质保（默认一年服务）提供购买设备的返厂寄修服务</w:t>
              <w:br/>
              <w:t>软件升级（默认一年服务）提供购买设备的软件升级授权</w:t>
            </w:r>
          </w:p>
        </w:tc>
      </w:tr>
      <w:tr>
        <w:tc>
          <w:tcPr>
            <w:tcW w:type="dxa" w:w="2882"/>
            <w:vAlign w:val="center"/>
            <w:tcW w:w="0" w:type="auto"/>
          </w:tcPr>
          <w:p>
            <w:pPr>
              <w:jc w:val="center"/>
            </w:pPr>
            <w:r>
              <w:rPr>
                <w:rFonts w:ascii="Times New Roman" w:hAnsi="Times New Roman" w:eastAsia="FangSong"/>
                <w:b w:val="0"/>
                <w:i w:val="0"/>
                <w:color w:val="000000"/>
                <w:sz w:val="24"/>
                <w:u w:val="none"/>
              </w:rPr>
              <w:t>防病毒系统EDR</w:t>
            </w:r>
          </w:p>
        </w:tc>
        <w:tc>
          <w:tcPr>
            <w:tcW w:type="dxa" w:w="2882"/>
            <w:tcW w:w="0" w:type="auto"/>
          </w:tcPr>
          <w:p>
            <w:pPr>
              <w:jc w:val="left"/>
            </w:pPr>
            <w:r>
              <w:rPr>
                <w:rFonts w:ascii="Times New Roman" w:hAnsi="Times New Roman" w:eastAsia="FangSong"/>
                <w:b w:val="0"/>
                <w:i w:val="0"/>
                <w:color w:val="000000"/>
                <w:sz w:val="24"/>
                <w:u w:val="none"/>
              </w:rPr>
              <w:t>EDR</w:t>
            </w:r>
          </w:p>
        </w:tc>
        <w:tc>
          <w:tcPr>
            <w:tcW w:type="dxa" w:w="2882"/>
            <w:tcW w:w="0" w:type="auto"/>
          </w:tcPr>
          <w:p>
            <w:pPr>
              <w:jc w:val="left"/>
            </w:pPr>
            <w:r>
              <w:rPr>
                <w:rFonts w:ascii="Times New Roman" w:hAnsi="Times New Roman" w:eastAsia="FangSong"/>
                <w:b w:val="0"/>
                <w:i w:val="0"/>
                <w:color w:val="000000"/>
                <w:sz w:val="24"/>
                <w:u w:val="none"/>
              </w:rPr>
              <w:t>深信服终端检测响应平台软件：</w:t>
              <w:br/>
              <w:t>安全策略模板一体化设置，全网资产盘点与风险可视，自动化日志可视化报表一键导出，管理账号分权分域，总分平台级联控制；管理平台需搭配客户端软件一齐使用，单独购买无效，含1年升级维护费用</w:t>
              <w:br/>
              <w:t>深信服端点安全软件（Linux客户端授权）</w:t>
              <w:br/>
              <w:t>Linux客户端授权包含智防、智控、智响应模块以及服务端防护（Webshell检测、暴力破解检测、基线合规检查等）；Linux客户端，可选组件，配合控制中心购买，单独购买无效，含1年升级维护费用。</w:t>
              <w:br/>
              <w:t>软件升级（默认一年服务）提供购买设备的软件升级授权</w:t>
            </w:r>
          </w:p>
        </w:tc>
      </w:tr>
      <w:tr>
        <w:tc>
          <w:tcPr>
            <w:tcW w:type="dxa" w:w="2882"/>
            <w:vAlign w:val="center"/>
            <w:tcW w:w="0" w:type="auto"/>
          </w:tcPr>
          <w:p>
            <w:pPr>
              <w:jc w:val="center"/>
            </w:pPr>
            <w:r>
              <w:rPr>
                <w:rFonts w:ascii="Times New Roman" w:hAnsi="Times New Roman" w:eastAsia="FangSong"/>
                <w:b w:val="0"/>
                <w:i w:val="0"/>
                <w:color w:val="000000"/>
                <w:sz w:val="24"/>
                <w:u w:val="none"/>
              </w:rPr>
              <w:t>备份一体机</w:t>
            </w:r>
          </w:p>
        </w:tc>
        <w:tc>
          <w:tcPr>
            <w:tcW w:type="dxa" w:w="2882"/>
            <w:tcW w:w="0" w:type="auto"/>
          </w:tcPr>
          <w:p>
            <w:pPr>
              <w:jc w:val="left"/>
            </w:pPr>
            <w:r>
              <w:rPr>
                <w:rFonts w:ascii="Times New Roman" w:hAnsi="Times New Roman" w:eastAsia="FangSong"/>
                <w:b w:val="0"/>
                <w:i w:val="0"/>
                <w:color w:val="000000"/>
                <w:sz w:val="24"/>
                <w:u w:val="none"/>
              </w:rPr>
              <w:t>aStor-EDS1205</w:t>
            </w:r>
          </w:p>
        </w:tc>
        <w:tc>
          <w:tcPr>
            <w:tcW w:type="dxa" w:w="2882"/>
            <w:tcW w:w="0" w:type="auto"/>
          </w:tcPr>
          <w:p>
            <w:pPr>
              <w:jc w:val="left"/>
            </w:pPr>
            <w:r>
              <w:rPr>
                <w:rFonts w:ascii="Times New Roman" w:hAnsi="Times New Roman" w:eastAsia="FangSong"/>
                <w:b w:val="0"/>
                <w:i w:val="0"/>
                <w:color w:val="000000"/>
                <w:sz w:val="24"/>
                <w:u w:val="none"/>
              </w:rPr>
              <w:t>硬件参数：CPU型号：E3-1230 v6 3.50GHz，CPU个数：1，内存：2*16GB，系统盘：1*64GB，缓存盘：选配，数据盘：选配，标配盘位数：12，电源：单电源，接口：2千兆电口+2万兆光口</w:t>
              <w:br/>
              <w:t>深信服企业级分布式存储授权软件</w:t>
              <w:br/>
              <w:t>深信服企业级数据备份与恢复系统软件</w:t>
              <w:br/>
              <w:t>深信服企业级数据库实时CDP容灾软件</w:t>
              <w:br/>
              <w:t>服务器缓存盘960G(2*480G SSD)</w:t>
              <w:tab/>
              <w:t>SATA接口，2.5寸；</w:t>
              <w:br/>
              <w:t>服务器机械硬盘48T（6*8T）企业级机械硬盘,SATA接口，3.5寸；</w:t>
              <w:br/>
              <w:t>产品质保（默认三年服务）提供购买一体机的备件更换、返厂寄修服务；</w:t>
              <w:br/>
              <w:t>软件升级（默认三年服务）提供购买设备的软件升级授权；</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第6章 售后服务</w:t>
      </w:r>
    </w:p>
    <w:p>
      <w:pPr>
        <w:ind w:firstLineChars="200"/>
        <w:spacing w:before="0" w:after="0" w:line="360" w:lineRule="auto"/>
      </w:pPr>
      <w:r>
        <w:rPr>
          <w:rFonts w:ascii="Times New Roman" w:hAnsi="Times New Roman" w:eastAsia="宋体"/>
          <w:b w:val="0"/>
          <w:i w:val="0"/>
          <w:color w:val="000000"/>
          <w:sz w:val="24"/>
          <w:u w:val="none"/>
        </w:rPr>
        <w:t>“顾客至上，服务第一”是深信服科技售后服务一直所秉持的售后服务理念。从成立之初到至今，深信服科技逐渐形成了一套完整的、规范化的服务体系，以“专业的人员、积极的态度、踏实的作风”服务于国内外过万家客户！</w:t>
      </w:r>
    </w:p>
    <w:p>
      <w:pPr>
        <w:ind w:firstLineChars="200"/>
        <w:spacing w:before="0" w:after="0" w:line="360" w:lineRule="auto"/>
      </w:pPr>
      <w:r>
        <w:rPr>
          <w:rFonts w:ascii="Times New Roman" w:hAnsi="Times New Roman" w:eastAsia="宋体"/>
          <w:b w:val="0"/>
          <w:i w:val="0"/>
          <w:color w:val="000000"/>
          <w:sz w:val="24"/>
          <w:u w:val="none"/>
        </w:rPr>
        <w:t>深信服科技以深圳总部为核心，经过多年的完善逐渐在全国范围内建设了三级服务体系，为广大用户提供全方位的服务。深信服科技拥有同类厂商中规模最大、专业程度最高的客户服务体系，已通过了国际品质管理体系Quality Management System ISO9001:2008认证，在公司项目流程中承担极为重要的部分，为客户提供专业、质量保证的服务。深信服科技服务体系覆盖广泛，布局合理，响应及时。</w:t>
      </w:r>
    </w:p>
    <w:p>
      <w:r>
        <w:br w:type="page"/>
      </w:r>
    </w:p>
    <w:p>
      <w:pPr>
        <w:pStyle w:val="Heading2"/>
        <w:jc w:val="left"/>
        <w:spacing w:before="0" w:after="0" w:line="360" w:lineRule="auto"/>
      </w:pPr>
      <w:r>
        <w:rPr>
          <w:rFonts w:ascii="Times New Roman" w:hAnsi="Times New Roman" w:eastAsia="宋体"/>
          <w:b/>
          <w:i w:val="0"/>
          <w:color w:val="000000"/>
          <w:sz w:val="30"/>
          <w:u w:val="none"/>
        </w:rPr>
        <w:t>6.1 专业的客服中心</w:t>
      </w:r>
    </w:p>
    <w:p>
      <w:pPr>
        <w:ind w:firstLineChars="200"/>
        <w:spacing w:before="0" w:after="0" w:line="360" w:lineRule="auto"/>
      </w:pPr>
      <w:r>
        <w:rPr>
          <w:rFonts w:ascii="Times New Roman" w:hAnsi="Times New Roman" w:eastAsia="宋体"/>
          <w:b w:val="0"/>
          <w:i w:val="0"/>
          <w:color w:val="000000"/>
          <w:sz w:val="24"/>
          <w:u w:val="none"/>
        </w:rPr>
        <w:t>深信服总部的客户服务中心是同类厂商中规模最大的CTI客服呼叫中心，拥有近60个呼叫座席，可容纳100余人办公。CTI客服呼叫中心由经验丰富的资深技术支持工程师为广大客户提供7×24小时热线电话服务，送修服务、远程调试、现场服务和有偿个性化服务。呼叫中心服务体系中整合了CTI和CRM技术，将把客户信息和电话绑定。客户电话一进来，客服人员就能马上查到该客户的产品信息，包括客户购买的产品、型号、实施时间、曾经出现过哪类问题。所有的客服人员工作纪律高，组织性强，技术掌握性强，响应速度快，是公司最为高效率的部门之一。</w:t>
      </w:r>
    </w:p>
    <w:p>
      <w:pPr>
        <w:ind w:firstLineChars="200"/>
        <w:spacing w:before="0" w:after="0" w:line="360" w:lineRule="auto"/>
      </w:pPr>
      <w:r>
        <w:rPr>
          <w:rFonts w:ascii="Times New Roman" w:hAnsi="Times New Roman" w:eastAsia="宋体"/>
          <w:b w:val="0"/>
          <w:i w:val="0"/>
          <w:color w:val="000000"/>
          <w:sz w:val="24"/>
          <w:u w:val="none"/>
        </w:rPr>
        <w:t>用户可随时通过拨打深信服科技售后服务电话接入CTI客户服务中心：400-630-6430进行有关问题的查询，并将有关问题提交给深信服科技，以便深信服科技提高对服务请求的追踪和反应速度，更迅速的解决用户出现的问题。同时，深信服客服中心将通过完善的客服系统自动记录下用户的产品信息和历史故障，并为每个用户建立资料库，以便深信服科技更准确的采取有针对性的措施来为用户服务。</w:t>
      </w:r>
    </w:p>
    <w:p>
      <w:r>
        <w:br w:type="page"/>
      </w:r>
    </w:p>
    <w:p>
      <w:pPr>
        <w:pStyle w:val="Heading2"/>
        <w:jc w:val="left"/>
        <w:spacing w:before="0" w:after="0" w:line="360" w:lineRule="auto"/>
      </w:pPr>
      <w:r>
        <w:rPr>
          <w:rFonts w:ascii="Times New Roman" w:hAnsi="Times New Roman" w:eastAsia="宋体"/>
          <w:b/>
          <w:i w:val="0"/>
          <w:color w:val="000000"/>
          <w:sz w:val="30"/>
          <w:u w:val="none"/>
        </w:rPr>
        <w:t>6.2 专业的服务队伍</w:t>
      </w:r>
    </w:p>
    <w:p>
      <w:pPr>
        <w:ind w:firstLineChars="200"/>
        <w:spacing w:before="0" w:after="0" w:line="360" w:lineRule="auto"/>
      </w:pPr>
      <w:r>
        <w:rPr>
          <w:rFonts w:ascii="Times New Roman" w:hAnsi="Times New Roman" w:eastAsia="宋体"/>
          <w:b w:val="0"/>
          <w:i w:val="0"/>
          <w:color w:val="000000"/>
          <w:sz w:val="24"/>
          <w:u w:val="none"/>
        </w:rPr>
        <w:t>深信服科技在全国各地设立有庞大的专业服务队伍。包括：东北区、华北区、华南区、华中区、华东区、西南区、西北区七个大区和三十余个驻外分支机构，所有分支机构都建立了本地客服中心，直接承担所在地区深信服客户的直接服务，达到全国所有一级城市和地区覆盖、某些发达省市已经覆盖到二级城市。</w:t>
      </w:r>
    </w:p>
    <w:p>
      <w:pPr>
        <w:ind w:firstLineChars="200"/>
        <w:spacing w:before="0" w:after="0" w:line="360" w:lineRule="auto"/>
      </w:pPr>
      <w:r>
        <w:rPr>
          <w:rFonts w:ascii="Times New Roman" w:hAnsi="Times New Roman" w:eastAsia="宋体"/>
          <w:b w:val="0"/>
          <w:i w:val="0"/>
          <w:color w:val="000000"/>
          <w:sz w:val="24"/>
          <w:u w:val="none"/>
        </w:rPr>
        <w:t>全国售后服务热线：400-630-6430</w:t>
      </w:r>
    </w:p>
    <w:p>
      <w:pPr>
        <w:ind w:firstLineChars="200"/>
        <w:spacing w:before="0" w:after="0" w:line="360" w:lineRule="auto"/>
      </w:pPr>
      <w:r>
        <w:rPr>
          <w:rFonts w:ascii="Times New Roman" w:hAnsi="Times New Roman" w:eastAsia="宋体"/>
          <w:b w:val="0"/>
          <w:i w:val="0"/>
          <w:color w:val="000000"/>
          <w:sz w:val="24"/>
          <w:u w:val="none"/>
        </w:rPr>
        <w:t>未开通400地区请拨打：0755-86336160</w:t>
      </w:r>
    </w:p>
    <w:p>
      <w:r>
        <w:br w:type="page"/>
      </w:r>
    </w:p>
    <w:p>
      <w:pPr>
        <w:pStyle w:val="Heading2"/>
        <w:jc w:val="left"/>
        <w:spacing w:before="0" w:after="0" w:line="360" w:lineRule="auto"/>
      </w:pPr>
      <w:r>
        <w:rPr>
          <w:rFonts w:ascii="Times New Roman" w:hAnsi="Times New Roman" w:eastAsia="宋体"/>
          <w:b/>
          <w:i w:val="0"/>
          <w:color w:val="000000"/>
          <w:sz w:val="30"/>
          <w:u w:val="none"/>
        </w:rPr>
        <w:t>6.3 广泛的合作伙伴服务体系</w:t>
      </w:r>
    </w:p>
    <w:p>
      <w:pPr>
        <w:ind w:firstLineChars="200"/>
        <w:spacing w:before="0" w:after="0" w:line="360" w:lineRule="auto"/>
      </w:pPr>
      <w:r>
        <w:rPr>
          <w:rFonts w:ascii="Times New Roman" w:hAnsi="Times New Roman" w:eastAsia="宋体"/>
          <w:b w:val="0"/>
          <w:i w:val="0"/>
          <w:color w:val="000000"/>
          <w:sz w:val="24"/>
          <w:u w:val="none"/>
        </w:rPr>
        <w:t>深信服科技通过遍布全国各地区、各行业的专业网络服务商，提供延伸到地市级城市的产品售前售后服务。目前，通过“深信服产品技术认证工程师”认证的合作伙伴超过400人，强大的售后服务保障体系，为广大客户服务提供了最直接的贴身服务。在售前、售中、售后，倡导基于用户满意的个性化关怀；满足用户标准化服务以外的特殊使用需要，在标准服务以外，我们还提供无偿或有偿个性化服务。建立回访制度，日常客户满意度调查，大客户定期回访，针对客户问题案例分析，提出预先解决方案，不断推出产品升级；积极与用户记性技术交流，与用户共享产品的最新信息及动态；主动开展对用户的技术培训，让用户用好产品，降低人为操作风险。</w:t>
      </w:r>
    </w:p>
    <w:sectPr w:rsidR="00FC693F" w:rsidRPr="0006063C" w:rsidSect="00034616">
      <w:headerReference w:type="default" r:id="rId12"/>
      <w:footerReference w:type="default" r:id="rId13"/>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