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1134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金诚信</w:t>
      </w:r>
    </w:p>
    <w:p>
      <w:pPr>
        <w:jc w:val="center"/>
        <w:spacing w:before="3402"/>
      </w:pPr>
      <w:r>
        <w:rPr>
          <w:rFonts w:ascii="SimHei" w:hAnsi="SimHei" w:eastAsia="SimHei"/>
          <w:b w:val="0"/>
          <w:i w:val="0"/>
          <w:color w:val="000000"/>
          <w:sz w:val="60"/>
          <w:u w:val="none"/>
        </w:rPr>
        <w:t>产品介绍</w:t>
      </w:r>
    </w:p>
    <w:p/>
    <w:p>
      <w:pPr>
        <w:jc w:val="center"/>
        <w:spacing w:before="3402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北京昱华源码科技有限公司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2026年04月03日</w:t>
      </w:r>
    </w:p>
    <w:p>
      <w:pPr>
        <w:jc w:val="center"/>
        <w:spacing w:before="141"/>
      </w:pPr>
      <w:r>
        <w:rPr>
          <w:rFonts w:ascii="SimSun" w:hAnsi="SimSun" w:eastAsia="SimSun"/>
          <w:b w:val="0"/>
          <w:i w:val="0"/>
          <w:color w:val="000000"/>
          <w:sz w:val="28"/>
          <w:u w:val="none"/>
        </w:rPr>
        <w:t>v1.0</w:t>
      </w:r>
    </w:p>
    <w:p>
      <w:r>
        <w:br w:type="page"/>
      </w:r>
    </w:p>
    <w:p>
      <w:pPr>
        <w:jc w:val="center"/>
      </w:pPr>
      <w:r>
        <w:t>Table of 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</w:p>
    <w:p>
      <w:r>
        <w:fldChar w:fldCharType="end"/>
      </w:r>
    </w:p>
    <w:p>
      <w:r>
        <w:br w:type="page"/>
      </w:r>
    </w:p>
    <w:p>
      <w:pPr>
        <w:spacing w:before="283"/>
        <w:jc w:val="center"/>
      </w:pPr>
      <w:r>
        <w:drawing>
          <wp:inline xmlns:a="http://schemas.openxmlformats.org/drawingml/2006/main" xmlns:pic="http://schemas.openxmlformats.org/drawingml/2006/picture">
            <wp:extent cx="4666678" cy="8458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94733d-f6b1-471a-8c06-86aaf6b309d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6678" cy="845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  <w:u w:val="none"/>
        </w:rPr>
        <w:t>图1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下一代防火墙互联网出口方案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新型威胁检测与防御能力缺失：AI大模型技术的应用加快了黑客开发工具的速度，例如自动生成或变种恶意软件，威胁变化快，攻击更隐蔽，传统基于特征匹配的方式无法应对有效防御。企业互联网边界缺少有效检测并防御新型威胁的能力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失陷主机难发现：大量失陷主机被远控，难以溯源定位，无法高效处置，终端成为大量攻击事件的突破口。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安全事件处置难：企业共同存在安全告警多、分析研判难、事件处置不及时难闭环的问题，人员精力疲于应对。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在办公网出口部署深信服下一代防火墙，订阅云威胁情报网关，基于自身强大的威胁检测能力，以及云端AI引擎和百亿级威胁情报，对通过办公网出口的流量进行深度检测研判，并与终端安全产品aES联动，构建深度防御体系，全面提升办公网边界的安全防御能力。</w:t>
      </w:r>
    </w:p>
    <w:p>
      <w:pPr>
        <w:spacing w:before="283"/>
        <w:jc w:val="center"/>
      </w:pPr>
      <w:r>
        <w:drawing>
          <wp:inline xmlns:a="http://schemas.openxmlformats.org/drawingml/2006/main" xmlns:pic="http://schemas.openxmlformats.org/drawingml/2006/picture">
            <wp:extent cx="4666678" cy="33490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5844f91-a63f-4c4b-a90b-8ada5b0dfe2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6678" cy="3349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  <w:u w:val="none"/>
        </w:rPr>
        <w:t>图2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入侵防御，阻止从外到内的攻击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深信服下一代防火墙AF内置wise2.0智能语义引擎，创新性设计对攻击语句进行流式分析+语义解析+虚拟执行，深入理解代码语义，还原攻击者的意图，防御规则无法应对的攻击，具备更强的攻击防绕过能力、未知漏洞的语义语法泛化防御能力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下一代防火墙具备勒索专项防护，能够自动评估勒索风险，聚合勒索风险展示，并提供IPS慢速爆破防御和风险一键处置能力，全面防护勒索风险。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失陷治理，阻止从内到外的恶意外联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深信服下一代防火墙依托云端百亿级威胁情报+本地SAVE智能杀毒引擎+云端AI引擎，将失陷主机外联、病毒文件、未知钓鱼网站的检测与防御能力从百万级提升至百亿级，失陷外联100ms内实时拦截，未知威胁5min内全网同步，即时拦截非法的外联访问行为和恶意病毒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深度联动终端安全aES，快速定位失陷主机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下一代防火墙与aES产品进行智能联动，通过在网络层流量定位恶意主机，并下发指令至aES对失陷主机进行隔离，防止威胁内部扩散，网端协同对恶意进程及文件操作有效定位，一键下发根除策略，从根源上清除，快速处置威胁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人机共智的轻量安全托管服务，安全事件100%闭环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将深信服下一代防火墙接入云端AI赋能的安全服务平台，获取线上专家的7*24小时持续守护：安全专家+平台内置大数据分析模型，从海量的设备安全告警中，快速、高效分析定位出真实重要的安全事件，准确率达99%；安全专家7*24H在线，主动识别安全事件，保证安全事件100%闭环。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设备能力可生长，满足多种需求</w:t>
      </w:r>
    </w:p>
    <w:p>
      <w:pPr>
        <w:ind w:firstLineChars="200"/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color w:val="000000"/>
          <w:sz w:val="24"/>
          <w:u w:val="none"/>
        </w:rPr>
        <w:t>深信服下一代防火墙通过云化+AI持续赋能，实现能力持续生长，可灵活订阅多种云化能力（SAAS-aES 有效保护终端安全、SAAS-ZTA提供随时随地安全、快速、稳定的数据中心与多云访问服务），未来将持续演进，用户通过下一代防火墙即可获取更多能力。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</w:tblPr>
      <w:tblGrid>
        <w:gridCol w:w="2161"/>
        <w:gridCol w:w="2161"/>
        <w:gridCol w:w="2161"/>
        <w:gridCol w:w="2161"/>
      </w:tblGrid>
      <w:tr>
        <w:trPr>
          <w:tblHeader/>
        </w:trPr>
        <w:tc>
          <w:tcPr>
            <w:tcW w:type="dxa" w:w="2161"/>
            <w:vAlign w:val="center"/>
            <w:shd w:val="clear" w:color="auto" w:fill="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4"/>
                <w:u w:val="none"/>
              </w:rPr>
              <w:t>长城汽车</w:t>
            </w:r>
          </w:p>
        </w:tc>
        <w:tc>
          <w:tcPr>
            <w:tcW w:type="dxa" w:w="2161"/>
            <w:vAlign w:val="center"/>
            <w:shd w:val="clear" w:color="auto" w:fill="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4"/>
                <w:u w:val="none"/>
              </w:rPr>
              <w:t>象屿集团</w:t>
            </w:r>
          </w:p>
        </w:tc>
        <w:tc>
          <w:tcPr>
            <w:tcW w:type="dxa" w:w="2161"/>
            <w:vAlign w:val="center"/>
            <w:shd w:val="clear" w:color="auto" w:fill="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4"/>
                <w:u w:val="none"/>
              </w:rPr>
              <w:t>安徽省立医院</w:t>
            </w:r>
          </w:p>
        </w:tc>
        <w:tc>
          <w:tcPr>
            <w:tcW w:type="dxa" w:w="2161"/>
            <w:vAlign w:val="center"/>
            <w:shd w:val="clear" w:color="auto" w:fill="D6E7F5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SimSun"/>
                <w:b w:val="0"/>
                <w:i w:val="0"/>
                <w:color w:val="000000"/>
                <w:sz w:val="24"/>
                <w:u w:val="none"/>
              </w:rPr>
              <w:t>上海中医药大学</w:t>
            </w:r>
          </w:p>
        </w:tc>
      </w:tr>
      <w:tr>
        <w:tc>
          <w:tcPr>
            <w:tcW w:type="dxa" w:w="2161"/>
            <w:vAlign w:val="center"/>
            <w:tcW w:w="0" w:type="auto"/>
          </w:tcPr>
          <w:p>
            <w:pPr>
              <w:jc w:val="center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南通开控集团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西山煤电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华山医院</w:t>
            </w:r>
          </w:p>
        </w:tc>
        <w:tc>
          <w:tcPr>
            <w:tcW w:type="dxa" w:w="2161"/>
            <w:tcW w:w="0" w:type="auto"/>
          </w:tcPr>
          <w:p>
            <w:pPr>
              <w:jc w:val="left"/>
            </w:pPr>
            <w:r>
              <w:rPr>
                <w:rFonts w:ascii="Times New Roman" w:hAnsi="Times New Roman" w:eastAsia="FangSong"/>
                <w:b w:val="0"/>
                <w:i w:val="0"/>
                <w:color w:val="000000"/>
                <w:sz w:val="24"/>
                <w:u w:val="none"/>
              </w:rPr>
              <w:t>浙江省宁波北仑教育局</w:t>
            </w:r>
          </w:p>
        </w:tc>
      </w:tr>
    </w:tbl>
    <w:sectPr w:rsidR="00FC693F" w:rsidRPr="0006063C" w:rsidSect="00034616">
      <w:headerReference w:type="default" r:id="rId11"/>
      <w:footerReference w:type="default" r:id="rId12"/>
      <w:pgSz w:w="12240" w:h="15840"/>
      <w:pgMar w:top="1440" w:right="1797" w:bottom="1440" w:left="1797" w:header="72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thinThickSmallGap" w:color="622423" w:sz="24" w:space="1"/>
      </w:pBdr>
      <w:ind w:firstLine="1080" w:firstLineChars="600"/>
      <w:spacing w:before="0" w:after="0" w:line="240" w:lineRule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142875</wp:posOffset>
          </wp:positionH>
          <wp:positionV relativeFrom="paragraph">
            <wp:posOffset>78740</wp:posOffset>
          </wp:positionV>
          <wp:extent cx="485775" cy="385445"/>
          <wp:effectExtent l="0" t="0" r="9525" b="0"/>
          <wp:wrapNone/>
          <wp:docPr id="100" name="FooterLogo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ot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85775" cy="385445"/>
                  </a:xfrm>
                  <a:prstGeom prst="rect"/>
                </pic:spPr>
              </pic:pic>
            </a:graphicData>
          </a:graphic>
        </wp:anchor>
      </w:drawing>
    </w:r>
    <w:r>
      <w:rPr>
        <w:rFonts w:ascii="Cambria" w:hAnsi="Cambria"/>
      </w:rPr>
      <w:t>北京昱华源码科技有限公司</w:t>
    </w:r>
  </w:p>
  <w:p>
    <w:pPr>
      <w:spacing w:before="0" w:after="0" w:line="240" w:lineRule="auto"/>
      <w:ind w:firstLine="1080" w:firstLineChars="600"/>
    </w:pPr>
    <w:r>
      <w:rPr>
        <w:rFonts w:ascii="Cambria" w:hAnsi="Cambria"/>
      </w:rPr>
      <w:t xml:space="preserve">北京市怀柔区乐园西大街13号院28号楼1层  </w:t>
    </w:r>
    <w:r>
      <w:rPr>
        <w:rFonts w:ascii="Cambria" w:hAnsi="Cambria"/>
      </w:rPr>
      <w:t xml:space="preserve">                     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PAGE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  <w:r>
      <w:rPr>
        <w:lang w:val="zh-CN"/>
      </w:rPr>
      <w:t xml:space="preserve"> / </w:t>
    </w:r>
    <w:r>
      <w:rPr>
        <w:lang w:val="zh-CN"/>
        <w:b/>
      </w:rPr>
      <w:fldChar w:fldCharType="begin"/>
    </w:r>
    <w:r>
      <w:rPr>
        <w:lang w:val="zh-CN"/>
        <w:b/>
      </w:rPr>
      <w:instrText xml:space="preserve">NUMPAGES  \* Arabic  \* MERGEFORMAT</w:instrText>
    </w:r>
    <w:r>
      <w:rPr>
        <w:lang w:val="zh-CN"/>
        <w:b/>
      </w:rPr>
      <w:fldChar w:fldCharType="separate"/>
    </w:r>
    <w:r>
      <w:rPr>
        <w:lang w:val="zh-CN"/>
        <w:b/>
      </w:rPr>
      <w:t>?</w:t>
    </w:r>
    <w:r>
      <w:rPr>
        <w:lang w:val="zh-CN"/>
        <w:b/>
      </w:rPr>
      <w:fldChar w:fldCharType="end"/>
    </w:r>
  </w:p>
  <w:p>
    <w:pPr>
      <w:spacing w:before="0" w:after="0" w:line="240" w:lineRule="auto"/>
      <w:ind w:firstLine="1080" w:firstLineChars="600"/>
    </w:pPr>
    <w:r>
      <w:t>Tel：010-82843001</w:t>
    </w:r>
  </w:p>
  <w:p>
    <w:pPr>
      <w:spacing w:before="0" w:after="0" w:line="240" w:lineRule="auto"/>
      <w:ind w:right="126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right" w:pos="8312"/>
      </w:tabs>
      <w:pBdr>
        <w:bottom w:val="single" w:sz="4" w:space="0" w:color="auto"/>
      </w:pBdr>
    </w:pPr>
    <w:r>
      <w:t>金诚信</w:t>
    </w:r>
    <w:r>
      <w:tab/>
    </w:r>
    <w:r>
      <w:t>产品介绍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