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项目概述</w:t>
      </w:r>
    </w:p>
    <w:p>
      <w:pPr>
        <w:pStyle w:val="Heading2"/>
        <w:jc w:val="left"/>
        <w:spacing w:before="0" w:after="0" w:line="360" w:lineRule="auto"/>
      </w:pPr>
      <w:r>
        <w:rPr>
          <w:rFonts w:ascii="Times New Roman" w:hAnsi="Times New Roman" w:eastAsia="宋体"/>
          <w:b/>
          <w:i w:val="0"/>
          <w:color w:val="000000"/>
          <w:sz w:val="30"/>
          <w:u w:val="none"/>
        </w:rPr>
        <w:t>1.1 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宋体"/>
          <w:b/>
          <w:i w:val="0"/>
          <w:color w:val="000000"/>
          <w:sz w:val="30"/>
          <w:u w:val="none"/>
        </w:rPr>
        <w:t>1.2 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宋体"/>
          <w:b/>
          <w:i w:val="0"/>
          <w:color w:val="000000"/>
          <w:sz w:val="30"/>
          <w:u w:val="none"/>
        </w:rPr>
        <w:t>1.3 项目参考标准</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指导思想</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FangSong"/>
                <w:b w:val="0"/>
                <w:i w:val="0"/>
                <w:color w:val="000000"/>
                <w:sz w:val="24"/>
                <w:u w:val="none"/>
              </w:rPr>
              <w:t>等级保护</w:t>
            </w:r>
          </w:p>
        </w:tc>
        <w:tc>
          <w:tcPr>
            <w:tcW w:type="dxa" w:w="4323"/>
            <w:tcW w:w="0" w:type="auto"/>
          </w:tcPr>
          <w:p>
            <w:pPr>
              <w:jc w:val="left"/>
            </w:pPr>
            <w:r>
              <w:rPr>
                <w:rFonts w:ascii="Times New Roman" w:hAnsi="Times New Roman" w:eastAsia="FangSong"/>
                <w:b w:val="0"/>
                <w:i w:val="0"/>
                <w:color w:val="000000"/>
                <w:sz w:val="24"/>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FangSong"/>
                <w:b w:val="0"/>
                <w:i w:val="0"/>
                <w:color w:val="000000"/>
                <w:sz w:val="24"/>
                <w:u w:val="none"/>
              </w:rPr>
              <w:t>系统定级</w:t>
            </w:r>
          </w:p>
        </w:tc>
        <w:tc>
          <w:tcPr>
            <w:tcW w:type="dxa" w:w="4323"/>
            <w:tcW w:w="0" w:type="auto"/>
          </w:tcPr>
          <w:p>
            <w:pPr>
              <w:jc w:val="left"/>
            </w:pPr>
            <w:r>
              <w:rPr>
                <w:rFonts w:ascii="Times New Roman" w:hAnsi="Times New Roman" w:eastAsia="FangSong"/>
                <w:b w:val="0"/>
                <w:i w:val="0"/>
                <w:color w:val="000000"/>
                <w:sz w:val="24"/>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FangSong"/>
                <w:b w:val="0"/>
                <w:i w:val="0"/>
                <w:color w:val="000000"/>
                <w:sz w:val="24"/>
                <w:u w:val="none"/>
              </w:rPr>
              <w:t>技术方面</w:t>
            </w:r>
          </w:p>
        </w:tc>
        <w:tc>
          <w:tcPr>
            <w:tcW w:type="dxa" w:w="4323"/>
            <w:tcW w:w="0" w:type="auto"/>
          </w:tcPr>
          <w:p>
            <w:pPr>
              <w:jc w:val="left"/>
            </w:pPr>
            <w:r>
              <w:rPr>
                <w:rFonts w:ascii="Times New Roman" w:hAnsi="Times New Roman" w:eastAsia="FangSong"/>
                <w:b w:val="0"/>
                <w:i w:val="0"/>
                <w:color w:val="000000"/>
                <w:sz w:val="24"/>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FangSong"/>
                <w:b w:val="0"/>
                <w:i w:val="0"/>
                <w:color w:val="000000"/>
                <w:sz w:val="24"/>
                <w:u w:val="none"/>
              </w:rPr>
              <w:t>管理方面</w:t>
            </w:r>
          </w:p>
        </w:tc>
        <w:tc>
          <w:tcPr>
            <w:tcW w:type="dxa" w:w="4323"/>
            <w:tcW w:w="0" w:type="auto"/>
          </w:tcPr>
          <w:p>
            <w:pPr>
              <w:jc w:val="left"/>
            </w:pPr>
            <w:r>
              <w:rPr>
                <w:rFonts w:ascii="Times New Roman" w:hAnsi="Times New Roman" w:eastAsia="FangSong"/>
                <w:b w:val="0"/>
                <w:i w:val="0"/>
                <w:color w:val="000000"/>
                <w:sz w:val="24"/>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FangSong"/>
                <w:b w:val="0"/>
                <w:i w:val="0"/>
                <w:color w:val="000000"/>
                <w:sz w:val="24"/>
                <w:u w:val="none"/>
              </w:rPr>
              <w:t>方案设计</w:t>
            </w:r>
          </w:p>
        </w:tc>
        <w:tc>
          <w:tcPr>
            <w:tcW w:type="dxa" w:w="4323"/>
            <w:tcW w:w="0" w:type="auto"/>
          </w:tcPr>
          <w:p>
            <w:pPr>
              <w:jc w:val="left"/>
            </w:pPr>
            <w:r>
              <w:rPr>
                <w:rFonts w:ascii="Times New Roman" w:hAnsi="Times New Roman" w:eastAsia="FangSong"/>
                <w:b w:val="0"/>
                <w:i w:val="0"/>
                <w:color w:val="000000"/>
                <w:sz w:val="24"/>
                <w:u w:val="none"/>
              </w:rPr>
              <w:t>GB/T25070-2010 信息系统等级保护安全设计技术要求</w:t>
            </w:r>
          </w:p>
        </w:tc>
      </w:tr>
      <w:tr>
        <w:tc>
          <w:tcPr>
            <w:tcW w:type="dxa" w:w="4323"/>
            <w:vAlign w:val="center"/>
            <w:tcW w:w="0" w:type="auto"/>
          </w:tcPr>
          <w:p>
            <w:pPr>
              <w:jc w:val="center"/>
            </w:pPr>
            <w:r>
              <w:rPr>
                <w:rFonts w:ascii="Times New Roman" w:hAnsi="Times New Roman" w:eastAsia="FangSong"/>
                <w:b w:val="0"/>
                <w:i w:val="0"/>
                <w:color w:val="000000"/>
                <w:sz w:val="24"/>
                <w:u w:val="none"/>
              </w:rPr>
              <w:t>等保测评</w:t>
            </w:r>
          </w:p>
        </w:tc>
        <w:tc>
          <w:tcPr>
            <w:tcW w:type="dxa" w:w="4323"/>
            <w:tcW w:w="0" w:type="auto"/>
          </w:tcPr>
          <w:p>
            <w:pPr>
              <w:jc w:val="left"/>
            </w:pPr>
            <w:r>
              <w:rPr>
                <w:rFonts w:ascii="Times New Roman" w:hAnsi="Times New Roman" w:eastAsia="FangSong"/>
                <w:b w:val="0"/>
                <w:i w:val="0"/>
                <w:color w:val="000000"/>
                <w:sz w:val="24"/>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1.4 安全整改原则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宋体"/>
          <w:b/>
          <w:i w:val="0"/>
          <w:color w:val="000000"/>
          <w:sz w:val="32"/>
          <w:u w:val="none"/>
        </w:rPr>
        <w:t>第2章 系统现状</w:t>
      </w:r>
    </w:p>
    <w:p>
      <w:pPr>
        <w:pStyle w:val="Heading2"/>
        <w:jc w:val="left"/>
        <w:spacing w:before="0" w:after="0" w:line="360" w:lineRule="auto"/>
      </w:pPr>
      <w:r>
        <w:rPr>
          <w:rFonts w:ascii="Times New Roman" w:hAnsi="Times New Roman" w:eastAsia="宋体"/>
          <w:b/>
          <w:i w:val="0"/>
          <w:color w:val="000000"/>
          <w:sz w:val="30"/>
          <w:u w:val="none"/>
        </w:rPr>
        <w:t>2.1 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宋体"/>
          <w:b/>
          <w:i w:val="0"/>
          <w:color w:val="000000"/>
          <w:sz w:val="30"/>
          <w:u w:val="none"/>
        </w:rPr>
        <w:t>2.2 现有网络拓扑</w:t>
      </w:r>
    </w:p>
    <w:p>
      <w:pPr>
        <w:pStyle w:val="Heading2"/>
        <w:jc w:val="left"/>
        <w:spacing w:before="0" w:after="0" w:line="360" w:lineRule="auto"/>
      </w:pPr>
      <w:r>
        <w:rPr>
          <w:rFonts w:ascii="Times New Roman" w:hAnsi="Times New Roman" w:eastAsia="宋体"/>
          <w:b/>
          <w:i w:val="0"/>
          <w:color w:val="000000"/>
          <w:sz w:val="30"/>
          <w:u w:val="none"/>
        </w:rPr>
        <w:t>2.3 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宋体"/>
          <w:b/>
          <w:i w:val="0"/>
          <w:color w:val="000000"/>
          <w:sz w:val="32"/>
          <w:u w:val="none"/>
        </w:rPr>
        <w:t>第3章 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符合情况</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物理位置的选择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防盗窃和防破坏</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防雷击</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防火</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防水和防潮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防静电</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温湿度控制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电力供应</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电磁防护</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结构安全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边界完整性检查</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网络设备防护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通信完整性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通信保密性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抗抵赖</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软件容错</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数据完整性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数据保密性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备份和恢复</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管理制度</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制定和发布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评审和修订</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岗位设置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人员配备</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授权和审批</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沟通和合作</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审核和检查</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人员录用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人员离岗</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人员考核</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安全意识教育和培训</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外部人员访问管理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系统定级</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安全方案设计</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产品采购和使用</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自行软件开发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外包软件开发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工程实施</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测试验收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系统交付</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系统备案</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等级测评</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安全服务商选择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环境管理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资产管理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介质管理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设备管理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监控管理和安全管理中心</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网络安全管理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恶意代码防范管理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密码管理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变更管理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备份与恢复管理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安全事件处置</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应急预案管理</w:t>
            </w:r>
          </w:p>
        </w:tc>
        <w:tc>
          <w:tcPr>
            <w:tcW w:type="dxa" w:w="1729"/>
            <w:tcW w:w="0" w:type="auto"/>
          </w:tcPr>
          <w:p>
            <w:pPr>
              <w:jc w:val="left"/>
            </w:pPr>
            <w:r>
              <w:rPr>
                <w:rFonts w:ascii="Times New Roman" w:hAnsi="Times New Roman" w:eastAsia="FangSong"/>
                <w:b w:val="0"/>
                <w:i w:val="0"/>
                <w:color w:val="000000"/>
                <w:sz w:val="24"/>
                <w:u w:val="none"/>
              </w:rPr>
              <w:t>部分符合</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第4章 安全需求分析</w:t>
      </w:r>
    </w:p>
    <w:p>
      <w:pPr>
        <w:pStyle w:val="Heading2"/>
        <w:jc w:val="left"/>
        <w:spacing w:before="0" w:after="0" w:line="360" w:lineRule="auto"/>
      </w:pPr>
      <w:r>
        <w:rPr>
          <w:rFonts w:ascii="Times New Roman" w:hAnsi="Times New Roman" w:eastAsia="宋体"/>
          <w:b/>
          <w:i w:val="0"/>
          <w:color w:val="000000"/>
          <w:sz w:val="30"/>
          <w:u w:val="none"/>
        </w:rPr>
        <w:t>4.1 安全计算环境需求分析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宋体"/>
          <w:b/>
          <w:i w:val="0"/>
          <w:color w:val="000000"/>
          <w:sz w:val="30"/>
          <w:u w:val="none"/>
        </w:rPr>
        <w:t>4.2 安全区域边界需求分析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4.3 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4.4 安全管理中心需求分析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宋体"/>
          <w:b/>
          <w:i w:val="0"/>
          <w:color w:val="000000"/>
          <w:sz w:val="32"/>
          <w:u w:val="none"/>
        </w:rPr>
        <w:t>第5章 方案设计</w:t>
      </w:r>
    </w:p>
    <w:p>
      <w:pPr>
        <w:pStyle w:val="Heading2"/>
        <w:jc w:val="left"/>
        <w:spacing w:before="0" w:after="0" w:line="360" w:lineRule="auto"/>
      </w:pPr>
      <w:r>
        <w:rPr>
          <w:rFonts w:ascii="Times New Roman" w:hAnsi="Times New Roman" w:eastAsia="宋体"/>
          <w:b/>
          <w:i w:val="0"/>
          <w:color w:val="000000"/>
          <w:sz w:val="30"/>
          <w:u w:val="none"/>
        </w:rPr>
        <w:t>5.1 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宋体"/>
          <w:b/>
          <w:i w:val="0"/>
          <w:color w:val="000000"/>
          <w:sz w:val="30"/>
          <w:u w:val="none"/>
        </w:rPr>
        <w:t>5.2 架构设计</w:t>
      </w:r>
    </w:p>
    <w:p>
      <w:pPr>
        <w:pStyle w:val="Heading2"/>
        <w:jc w:val="left"/>
        <w:spacing w:before="0" w:after="0" w:line="360" w:lineRule="auto"/>
      </w:pPr>
      <w:r>
        <w:rPr>
          <w:rFonts w:ascii="Times New Roman" w:hAnsi="Times New Roman" w:eastAsia="宋体"/>
          <w:b/>
          <w:i w:val="0"/>
          <w:color w:val="000000"/>
          <w:sz w:val="30"/>
          <w:u w:val="none"/>
        </w:rPr>
        <w:t>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宋体"/>
          <w:b/>
          <w:i w:val="0"/>
          <w:color w:val="000000"/>
          <w:sz w:val="30"/>
          <w:u w:val="none"/>
        </w:rPr>
        <w:t>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宋体"/>
          <w:b/>
          <w:i w:val="0"/>
          <w:color w:val="000000"/>
          <w:sz w:val="32"/>
          <w:u w:val="none"/>
        </w:rPr>
        <w:t>第6章 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宋体"/>
          <w:b/>
          <w:i w:val="0"/>
          <w:color w:val="000000"/>
          <w:sz w:val="30"/>
          <w:u w:val="none"/>
        </w:rPr>
        <w:t>6.1 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宋体"/>
          <w:b/>
          <w:i w:val="0"/>
          <w:color w:val="000000"/>
          <w:sz w:val="30"/>
          <w:u w:val="none"/>
        </w:rPr>
        <w:t>6.2 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宋体"/>
          <w:b/>
          <w:i w:val="0"/>
          <w:color w:val="000000"/>
          <w:sz w:val="30"/>
          <w:u w:val="none"/>
        </w:rPr>
        <w:t>6.3 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宋体"/>
          <w:b/>
          <w:i w:val="0"/>
          <w:color w:val="000000"/>
          <w:sz w:val="30"/>
          <w:u w:val="none"/>
        </w:rPr>
        <w:t>6.4 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宋体"/>
          <w:b/>
          <w:i w:val="0"/>
          <w:color w:val="000000"/>
          <w:sz w:val="30"/>
          <w:u w:val="none"/>
        </w:rPr>
        <w:t>6.5 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宋体"/>
          <w:b/>
          <w:i w:val="0"/>
          <w:color w:val="000000"/>
          <w:sz w:val="30"/>
          <w:u w:val="none"/>
        </w:rPr>
        <w:t>6.6 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宋体"/>
          <w:b/>
          <w:i w:val="0"/>
          <w:color w:val="000000"/>
          <w:sz w:val="30"/>
          <w:u w:val="none"/>
        </w:rPr>
        <w:t>6.7 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宋体"/>
          <w:b/>
          <w:i w:val="0"/>
          <w:color w:val="000000"/>
          <w:sz w:val="30"/>
          <w:u w:val="none"/>
        </w:rPr>
        <w:t>6.8 安全区域边界设计</w:t>
      </w:r>
    </w:p>
    <w:p>
      <w:pPr>
        <w:pStyle w:val="Heading3"/>
        <w:jc w:val="left"/>
        <w:spacing w:before="0" w:after="0" w:line="360" w:lineRule="auto"/>
      </w:pPr>
      <w:r>
        <w:rPr>
          <w:rFonts w:ascii="Times New Roman" w:hAnsi="Times New Roman" w:eastAsia="宋体"/>
          <w:b/>
          <w:i w:val="0"/>
          <w:color w:val="000000"/>
          <w:sz w:val="28"/>
          <w:u w:val="none"/>
        </w:rPr>
        <w:t>6.8.1 、边界控制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宋体"/>
          <w:b/>
          <w:i w:val="0"/>
          <w:color w:val="000000"/>
          <w:sz w:val="28"/>
          <w:u w:val="none"/>
        </w:rPr>
        <w:t>6.8.2 、Web安全防护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宋体"/>
          <w:b/>
          <w:i w:val="0"/>
          <w:color w:val="000000"/>
          <w:sz w:val="28"/>
          <w:u w:val="none"/>
        </w:rPr>
        <w:t>6.8.3 、网络安全审计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宋体"/>
          <w:b/>
          <w:i w:val="0"/>
          <w:color w:val="000000"/>
          <w:sz w:val="30"/>
          <w:u w:val="none"/>
        </w:rPr>
        <w:t>6.9 安全通信网络设计</w:t>
      </w:r>
    </w:p>
    <w:p>
      <w:pPr>
        <w:pStyle w:val="Heading3"/>
        <w:jc w:val="left"/>
        <w:spacing w:before="0" w:after="0" w:line="360" w:lineRule="auto"/>
      </w:pPr>
      <w:r>
        <w:rPr>
          <w:rFonts w:ascii="Times New Roman" w:hAnsi="Times New Roman" w:eastAsia="宋体"/>
          <w:b/>
          <w:i w:val="0"/>
          <w:color w:val="000000"/>
          <w:sz w:val="28"/>
          <w:u w:val="none"/>
        </w:rPr>
        <w:t>6.9.1 、流量管理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宋体"/>
          <w:b/>
          <w:i w:val="0"/>
          <w:color w:val="000000"/>
          <w:sz w:val="28"/>
          <w:u w:val="none"/>
        </w:rPr>
        <w:t>6.9.2 、安全管理中心设计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宋体"/>
          <w:b/>
          <w:i w:val="0"/>
          <w:color w:val="000000"/>
          <w:sz w:val="28"/>
          <w:u w:val="none"/>
        </w:rPr>
        <w:t>6.9.3 、统一日志平台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宋体"/>
          <w:b/>
          <w:i w:val="0"/>
          <w:color w:val="000000"/>
          <w:sz w:val="28"/>
          <w:u w:val="none"/>
        </w:rPr>
        <w:t>6.9.4 、统一监控平台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宋体"/>
          <w:b/>
          <w:i w:val="0"/>
          <w:color w:val="000000"/>
          <w:sz w:val="28"/>
          <w:u w:val="none"/>
        </w:rPr>
        <w:t>6.9.5 、统一管理平台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pPr>
        <w:pStyle w:val="Heading4"/>
        <w:jc w:val="left"/>
        <w:spacing w:before="0" w:after="0" w:line="360" w:lineRule="auto"/>
      </w:pPr>
      <w:r>
        <w:rPr>
          <w:rFonts w:ascii="Times New Roman" w:hAnsi="Times New Roman" w:eastAsia="宋体"/>
          <w:b/>
          <w:i w:val="0"/>
          <w:color w:val="000000"/>
          <w:sz w:val="24"/>
          <w:u w:val="none"/>
        </w:rPr>
        <w:t>6.9.5.1 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pPr>
      <w:r>
        <w:rPr>
          <w:rFonts w:ascii="Times New Roman" w:hAnsi="Times New Roman" w:eastAsia="宋体"/>
          <w:b/>
          <w:i w:val="0"/>
          <w:color w:val="000000"/>
          <w:sz w:val="24"/>
          <w:u w:val="none"/>
        </w:rPr>
        <w:t>6.9.5.2 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pPr>
      <w:r>
        <w:rPr>
          <w:rFonts w:ascii="Times New Roman" w:hAnsi="Times New Roman" w:eastAsia="宋体"/>
          <w:b/>
          <w:i w:val="0"/>
          <w:color w:val="000000"/>
          <w:sz w:val="24"/>
          <w:u w:val="none"/>
        </w:rPr>
        <w:t>6.9.5.3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pPr>
        <w:pStyle w:val="Heading4"/>
        <w:jc w:val="left"/>
        <w:spacing w:before="0" w:after="0" w:line="360" w:lineRule="auto"/>
      </w:pPr>
      <w:r>
        <w:rPr>
          <w:rFonts w:ascii="Times New Roman" w:hAnsi="Times New Roman" w:eastAsia="宋体"/>
          <w:b/>
          <w:i w:val="0"/>
          <w:color w:val="000000"/>
          <w:sz w:val="24"/>
          <w:u w:val="none"/>
        </w:rPr>
        <w:t>6.9.5.4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等保测评2天；</w:t>
      </w:r>
    </w:p>
    <w:p>
      <w:pPr>
        <w:pStyle w:val="Heading4"/>
        <w:jc w:val="left"/>
        <w:spacing w:before="0" w:after="0" w:line="360" w:lineRule="auto"/>
      </w:pPr>
      <w:r>
        <w:rPr>
          <w:rFonts w:ascii="Times New Roman" w:hAnsi="Times New Roman" w:eastAsia="宋体"/>
          <w:b/>
          <w:i w:val="0"/>
          <w:color w:val="000000"/>
          <w:sz w:val="24"/>
          <w:u w:val="none"/>
        </w:rPr>
        <w:t>6.9.5.5 拓扑图</w:t>
      </w:r>
    </w:p>
    <w:p>
      <w:pPr>
        <w:pStyle w:val="Heading4"/>
        <w:jc w:val="left"/>
        <w:spacing w:before="0" w:after="0" w:line="360" w:lineRule="auto"/>
      </w:pPr>
      <w:r>
        <w:rPr>
          <w:rFonts w:ascii="Times New Roman" w:hAnsi="Times New Roman" w:eastAsia="宋体"/>
          <w:b/>
          <w:i w:val="0"/>
          <w:color w:val="000000"/>
          <w:sz w:val="24"/>
          <w:u w:val="none"/>
        </w:rPr>
        <w:t>6.9.5.6 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