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t>[Table of contents will be generated when document is opened in Word]</w:t>
      </w:r>
    </w:p>
    <w:p>
      <w:r>
        <w:br w:type="page"/>
      </w:r>
    </w:p>
    <w:p>
      <w:pPr>
        <w:pStyle w:val="Heading1"/>
        <w:jc w:val="left"/>
      </w:pPr>
      <w:r>
        <w:t>一、两版方案核心差异</w:t>
      </w:r>
    </w:p>
    <w:p>
      <w:pPr>
        <w:pStyle w:val="Heading2"/>
        <w:jc w:val="left"/>
      </w:pPr>
      <w:r>
        <w:t>对比维度</w:t>
      </w:r>
    </w:p>
    <w:p>
      <w:pPr>
        <w:pStyle w:val="Heading2"/>
        <w:jc w:val="left"/>
      </w:pPr>
      <w:r>
        <w:t>核心预算</w:t>
      </w:r>
    </w:p>
    <w:p>
      <w:pPr>
        <w:pStyle w:val="Heading2"/>
        <w:jc w:val="left"/>
      </w:pPr>
      <w:r>
        <w:t>防护理念</w:t>
      </w:r>
    </w:p>
    <w:p>
      <w:pPr>
        <w:pStyle w:val="Heading2"/>
        <w:jc w:val="left"/>
      </w:pPr>
      <w:r>
        <w:t>核心模块</w:t>
      </w:r>
    </w:p>
    <w:p>
      <w:pPr>
        <w:pStyle w:val="Heading2"/>
        <w:jc w:val="left"/>
      </w:pPr>
      <w:r>
        <w:t>终端策略</w:t>
      </w:r>
    </w:p>
    <w:p>
      <w:pPr>
        <w:pStyle w:val="Heading2"/>
        <w:jc w:val="left"/>
      </w:pPr>
      <w:r>
        <w:t>防护范围</w:t>
      </w:r>
    </w:p>
    <w:p>
      <w:pPr>
        <w:pStyle w:val="Heading2"/>
        <w:jc w:val="left"/>
      </w:pPr>
      <w:r>
        <w:t>飞书集成</w:t>
      </w:r>
    </w:p>
    <w:p>
      <w:pPr>
        <w:pStyle w:val="Heading2"/>
        <w:jc w:val="left"/>
      </w:pPr>
      <w:r>
        <w:t>落地周期</w:t>
      </w:r>
    </w:p>
    <w:p>
      <w:pPr>
        <w:pStyle w:val="Heading2"/>
        <w:jc w:val="left"/>
      </w:pPr>
      <w:r>
        <w:t>建设目标</w:t>
      </w:r>
    </w:p>
    <w:p>
      <w:pPr>
        <w:pStyle w:val="Heading1"/>
        <w:jc w:val="left"/>
      </w:pPr>
      <w:r>
        <w:t>二、零信任+DLP核心组合具体功能</w:t>
      </w:r>
    </w:p>
    <w:p>
      <w:pPr>
        <w:pStyle w:val="Heading2"/>
        <w:jc w:val="left"/>
      </w:pPr>
      <w:r>
        <w:t>（一）零信任访问控制（集成飞书）</w:t>
      </w:r>
    </w:p>
    <w:p>
      <w:pPr>
        <w:pStyle w:val="Heading2"/>
        <w:jc w:val="left"/>
      </w:pPr>
      <w:r>
        <w:t>（二）终端DLP防护系统</w:t>
      </w:r>
    </w:p>
    <w:p>
      <w:pPr>
        <w:pStyle w:val="Heading2"/>
        <w:jc w:val="left"/>
      </w:pPr>
      <w:r>
        <w:t>（三）二者协同联动</w:t>
      </w:r>
    </w:p>
    <w:p>
      <w:pPr>
        <w:pStyle w:val="Heading1"/>
        <w:jc w:val="left"/>
      </w:pPr>
      <w:r>
        <w:t>三、无感知安装部署，最小化影响终端用户</w:t>
      </w:r>
    </w:p>
    <w:p>
      <w:pPr>
        <w:pStyle w:val="Heading2"/>
        <w:jc w:val="left"/>
      </w:pPr>
      <w:r>
        <w:t>（一）部署前：充分调研，提前适配</w:t>
      </w:r>
    </w:p>
    <w:p>
      <w:pPr>
        <w:pStyle w:val="Heading2"/>
        <w:jc w:val="left"/>
      </w:pPr>
      <w:r>
        <w:t>（二）部署中：静默安装，错峰实施</w:t>
      </w:r>
    </w:p>
    <w:p>
      <w:pPr>
        <w:pStyle w:val="Heading2"/>
        <w:jc w:val="left"/>
      </w:pPr>
      <w:r>
        <w:t>（三）部署后：后台运行，轻量化运营</w:t>
      </w:r>
    </w:p>
    <w:p>
      <w:pPr>
        <w:pStyle w:val="Heading1"/>
        <w:jc w:val="left"/>
      </w:pPr>
      <w:r>
        <w:t>四、方案选择建议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ab/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