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3402"/>
      </w:pPr>
      <w:r>
        <w:rPr>
          <w:rFonts w:ascii="SimHei" w:hAnsi="SimHei" w:eastAsia="SimHei"/>
          <w:b w:val="0"/>
          <w:i w:val="0"/>
          <w:color w:val="000000"/>
          <w:sz w:val="72"/>
          <w:u w:val="none"/>
        </w:rPr>
        <w:t>金诚信矿业股份有限公司</w:t>
      </w:r>
    </w:p>
    <w:p>
      <w:pPr>
        <w:jc w:val="center"/>
        <w:spacing w:before="4536"/>
      </w:pPr>
      <w:r>
        <w:rPr>
          <w:rFonts w:ascii="SimHei" w:hAnsi="SimHei" w:eastAsia="SimHei"/>
          <w:b w:val="0"/>
          <w:i w:val="0"/>
          <w:color w:val="000000"/>
          <w:sz w:val="72"/>
          <w:u w:val="none"/>
        </w:rPr>
        <w:t>数据防泄密方案v1</w:t>
      </w:r>
    </w:p>
    <w:p>
      <w:pPr>
        <w:jc w:val="center"/>
        <w:spacing w:before="6804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北京昱华源码科技有限公司</w:t>
      </w:r>
    </w:p>
    <w:p>
      <w:pPr>
        <w:jc w:val="center"/>
        <w:spacing w:before="283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2026年04月03日</w:t>
      </w:r>
    </w:p>
    <w:p>
      <w:pPr>
        <w:jc w:val="center"/>
        <w:spacing w:before="283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v1.0</w:t>
      </w:r>
    </w:p>
    <w:p>
      <w:r>
        <w:br w:type="page"/>
      </w:r>
    </w:p>
    <w:p>
      <w:pPr>
        <w:jc w:val="center"/>
      </w:pPr>
      <w:r>
        <w:t>Table of 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请在 Word 中按 Ctrl+A 全选后按 F9 更新目录</w:t>
      </w:r>
      <w:r>
        <w:fldChar w:fldCharType="end"/>
      </w:r>
    </w:p>
    <w:p>
      <w:r>
        <w:br w:type="page"/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金诚信矿业终端安全解决方案双版对比及核心能力介绍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一、两版方案核心差异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两款方案均围绕金诚信矿业数据防泄密、终端访问安全核心需求设计，适配矿业业务特点，核心差异体现在防护范围、预算与落地深度，满足不同阶段建设需求，具体对比如下：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对比维度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方案一（全面防护版）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方案二（轻量化防护版）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核心预算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约500万元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约100万元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防护理念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全链路闭环防护，覆盖终端安全全场景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聚焦核心风险，仅解决终端泄密、未授权访问问题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核心模块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透明加密、DLP、桌管、EDR、零信任、数据安全交换平台、统一管理平台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仅终端DLP+零信任（集成飞书）双核心模块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终端策略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500台核心PC全模块部署，5000台普通PC分级部署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全量终端统一部署DLP+零信任，无差异化配置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防护范围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数据安全、终端安全、访问安全、统一管理全覆盖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仅覆盖数据外发管控、访问身份认证，无独立终端防护与管理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飞书集成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深度联动认证、审批、日志、告警全流程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基础集成，仅实现飞书作为零信任入口+文件外发管控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落地周期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16周，四阶段标准化实施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8-10周，简化流程快速落地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建设目标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满足上市公司全维度合规，构建长期可扩展安全体系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低成本快速落地，满足企业基础合规与核心风险防护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两款方案均兼容矿业CAD、工程软件等专业格式及飞书办公场景，不影响核心业务开展。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二、零信任+DLP核心组合具体功能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零信任+DLP是两款方案的共性核心模块，协同实现访问源头管控+数据流转防护，精准解决矿业终端核心安全风险，深度适配飞书办公场景：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（一）零信任访问控制（集成飞书）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飞书作为统一身份入口，登录后自动触发零信任认证，无需额外操作，贴合办公习惯；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采用飞书原生认证+终端安全状态校验双重机制，仅合规终端可访问内部资源，未授权终端禁止接入；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同步飞书组织架构，按岗位实现最小权限分配，核心资源专人专权，访问核心应用需飞书二次认证；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支持远程办公通过飞书零信任安全接入，替代传统VPN，终端出现风险时动态冻结访问权限。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（二）终端DLP防护系统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管控邮件、U盘、微信等全外发渠道，重点聚焦飞书聊天、云文档、邮件全场景文件外发，实现无死角监控；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支持关键词、正则表达式、文件指纹多维度识别矿业敏感数据（采矿方案、储量数据等），飞书内容实时扫描；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针对违规外发采取阻断告警、加密外发、审批外发三种差异化策略，审批流程与飞书联动，线上高效处理；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记录所有数据操作审计日志，支持多维度检索，兼容矿业所有专业文件格式，防护不影响文件正常编辑。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（三）二者协同联动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员工通过飞书发文件时，先经零信任身份与终端校验，再由DLP识别敏感级别；DLP检测到违规外发，立即同步零信任冻结飞书访问权限；未通过零信任认证的终端，DLP直接阻断所有敏感数据操作，形成双重防护屏障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三、无感知安装部署，最小化影响终端用户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部署遵循业务无感知、操作无影响、防护后台化原则，针对矿业5000台终端、多岗位、依赖专业软件的特点，分三阶段实施，最大限度降低对用户的影响：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（一）部署前：充分调研，提前适配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全量采集终端硬件、系统、专业软件及飞书版本信息，定制化部署包；搭建测试环境，专项验证安全客户端与矿业专业软件、飞书的兼容性，提前解决冲突；按非核心→一般→核心部门规划分批次部署，降低核心业务风险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（二）部署中：静默安装，错峰实施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轻量化静默安装包，内网远程推送、后台运行，无弹窗、无人工干预；核心部门选下班后/周末部署，财务部门避开结账节点，错峰开展不影响业务；每批次先小范围试点，实时监控终端资源占用率，异常情况技术人员远程快速处理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（三）部署后：后台运行，轻量化运营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安全客户端后台静默运行，无桌面图标，防护策略自动执行，用户办公操作与部署前无差异；按核心/普通PC制定差异化防护策略，避免过度管控；采用线上简易手册+短时长专项培训，降低用户学习成本，全量员工仅需了解基础安全规则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同时建立7×24小时飞书答疑通道，30分钟内响应解决用户问题；后续系统升级、策略优化均后台远程完成，且搭建应急回滚机制，极端情况可远程卸载客户端，快速恢复终端状态，保障业务连续性。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四、方案选择建议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两款方案均贴合金诚信矿业核心安全需求，可根据企业实际灵活选择：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若需一次性解决所有终端安全风险，满足上市公司全维度合规要求，构建长期可扩展、可统一管理的安全体系，选择方案一（全面防护版）；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若预算有限，需低成本、短周期快速落地，仅解决终端泄密与未授权访问核心风险，满足基础合规要求，选择方案二（轻量化防护版）。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两款方案支持无缝升级扩展，若先部署方案二，后续可直接新增加密、EDR、统一管理等模块，无需重新部署，最大限度降低后期建设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  <w:pBdr>
        <w:bottom w:val="single" w:sz="4" w:space="0" w:color="auto"/>
      </w:pBdr>
    </w:pPr>
    <w:r>
      <w:t>金诚信矿业股份有限公司</w:t>
    </w:r>
    <w:r>
      <w:tab/>
    </w:r>
    <w:r>
      <w:t>数据防泄密方案v1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