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2026年04月04日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一、整体技术方案概览</w:t>
      </w:r>
      <w:r>
        <w:tab/>
      </w:r>
      <w:r>
        <w:rPr>
          <w:color w:val="999999"/>
        </w:rPr>
        <w:t>...</w:t>
      </w:r>
    </w:p>
    <w:p>
      <w:pPr>
        <w:ind w:left="227"/>
      </w:pPr>
      <w:r>
        <w:t>整体架构</w:t>
      </w:r>
      <w:r>
        <w:tab/>
      </w:r>
      <w:r>
        <w:rPr>
          <w:color w:val="999999"/>
        </w:rPr>
        <w:t>...</w:t>
      </w:r>
    </w:p>
    <w:p>
      <w:pPr>
        <w:ind w:left="227"/>
      </w:pPr>
      <w:r>
        <w:t>两期建设规划</w:t>
      </w:r>
      <w:r>
        <w:tab/>
      </w:r>
      <w:r>
        <w:rPr>
          <w:color w:val="999999"/>
        </w:rPr>
        <w:t>...</w:t>
      </w:r>
    </w:p>
    <w:p>
      <w:r>
        <w:rPr>
          <w:b/>
        </w:rPr>
        <w:t>二、1期建设详细技术方案（PC端数据防泄密）</w:t>
      </w:r>
      <w:r>
        <w:tab/>
      </w:r>
      <w:r>
        <w:rPr>
          <w:color w:val="999999"/>
        </w:rPr>
        <w:t>...</w:t>
      </w:r>
    </w:p>
    <w:p>
      <w:pPr>
        <w:ind w:left="227"/>
      </w:pPr>
      <w:r>
        <w:t>1. 需求分析</w:t>
      </w:r>
      <w:r>
        <w:tab/>
      </w:r>
      <w:r>
        <w:rPr>
          <w:color w:val="999999"/>
        </w:rPr>
        <w:t>...</w:t>
      </w:r>
    </w:p>
    <w:p>
      <w:pPr>
        <w:ind w:left="454"/>
      </w:pPr>
      <w:r>
        <w:t>核心业务场景需求</w:t>
      </w:r>
      <w:r>
        <w:tab/>
      </w:r>
      <w:r>
        <w:rPr>
          <w:color w:val="999999"/>
        </w:rPr>
        <w:t>...</w:t>
      </w:r>
    </w:p>
    <w:p>
      <w:pPr>
        <w:ind w:left="227"/>
      </w:pPr>
      <w:r>
        <w:t>2. 方案价值</w:t>
      </w:r>
      <w:r>
        <w:tab/>
      </w:r>
      <w:r>
        <w:rPr>
          <w:color w:val="999999"/>
        </w:rPr>
        <w:t>...</w:t>
      </w:r>
    </w:p>
    <w:p>
      <w:pPr>
        <w:ind w:left="227"/>
      </w:pPr>
      <w:r>
        <w:t>3. 核心技术方案细节</w:t>
      </w:r>
      <w:r>
        <w:tab/>
      </w:r>
      <w:r>
        <w:rPr>
          <w:color w:val="999999"/>
        </w:rPr>
        <w:t>...</w:t>
      </w:r>
    </w:p>
    <w:p>
      <w:pPr>
        <w:ind w:left="454"/>
      </w:pPr>
      <w:r>
        <w:t>（1）透明文件加密系统</w:t>
      </w:r>
      <w:r>
        <w:tab/>
      </w:r>
      <w:r>
        <w:rPr>
          <w:color w:val="999999"/>
        </w:rPr>
        <w:t>...</w:t>
      </w:r>
    </w:p>
    <w:p>
      <w:pPr>
        <w:ind w:left="454"/>
      </w:pPr>
      <w:r>
        <w:t>（2）终端DLP防护系统</w:t>
      </w:r>
      <w:r>
        <w:tab/>
      </w:r>
      <w:r>
        <w:rPr>
          <w:color w:val="999999"/>
        </w:rPr>
        <w:t>...</w:t>
      </w:r>
    </w:p>
    <w:p>
      <w:pPr>
        <w:ind w:left="454"/>
      </w:pPr>
      <w:r>
        <w:t>（3）桌面管理系统</w:t>
      </w:r>
      <w:r>
        <w:tab/>
      </w:r>
      <w:r>
        <w:rPr>
          <w:color w:val="999999"/>
        </w:rPr>
        <w:t>...</w:t>
      </w:r>
    </w:p>
    <w:p>
      <w:pPr>
        <w:ind w:left="454"/>
      </w:pPr>
      <w:r>
        <w:t>（4）EDR终端安全系统（全量5000台PC部署）</w:t>
      </w:r>
      <w:r>
        <w:tab/>
      </w:r>
      <w:r>
        <w:rPr>
          <w:color w:val="999999"/>
        </w:rPr>
        <w:t>...</w:t>
      </w:r>
    </w:p>
    <w:p>
      <w:pPr>
        <w:ind w:left="454"/>
      </w:pPr>
      <w:r>
        <w:t>（5）零信任访问控制（集成飞书，全量5000台PC部署）</w:t>
      </w:r>
      <w:r>
        <w:tab/>
      </w:r>
      <w:r>
        <w:rPr>
          <w:color w:val="999999"/>
        </w:rPr>
        <w:t>...</w:t>
      </w:r>
    </w:p>
    <w:p>
      <w:pPr>
        <w:ind w:left="454"/>
      </w:pPr>
      <w:r>
        <w:t>（6）数据安全交换平台（数据安全域）</w:t>
      </w:r>
      <w:r>
        <w:tab/>
      </w:r>
      <w:r>
        <w:rPr>
          <w:color w:val="999999"/>
        </w:rPr>
        <w:t>...</w:t>
      </w:r>
    </w:p>
    <w:p>
      <w:pPr>
        <w:ind w:left="454"/>
      </w:pPr>
      <w:r>
        <w:t>（7）统一安全管理平台</w:t>
      </w:r>
      <w:r>
        <w:tab/>
      </w:r>
      <w:r>
        <w:rPr>
          <w:color w:val="999999"/>
        </w:rPr>
        <w:t>...</w:t>
      </w:r>
    </w:p>
    <w:p>
      <w:pPr>
        <w:ind w:left="227"/>
      </w:pPr>
      <w:r>
        <w:t>4. 预算估算</w:t>
      </w:r>
      <w:r>
        <w:tab/>
      </w:r>
      <w:r>
        <w:rPr>
          <w:color w:val="999999"/>
        </w:rPr>
        <w:t>...</w:t>
      </w:r>
    </w:p>
    <w:p>
      <w:pPr>
        <w:ind w:left="227"/>
      </w:pPr>
      <w:r>
        <w:t>5. 实施规划（总周期16周）</w:t>
      </w:r>
      <w:r>
        <w:tab/>
      </w:r>
      <w:r>
        <w:rPr>
          <w:color w:val="999999"/>
        </w:rPr>
        <w:t>...</w:t>
      </w:r>
    </w:p>
    <w:p>
      <w:pPr>
        <w:ind w:left="454"/>
      </w:pPr>
      <w:r>
        <w:t>阶段1：筹备与调研（第1-3周）</w:t>
      </w:r>
      <w:r>
        <w:tab/>
      </w:r>
      <w:r>
        <w:rPr>
          <w:color w:val="999999"/>
        </w:rPr>
        <w:t>...</w:t>
      </w:r>
    </w:p>
    <w:p>
      <w:pPr>
        <w:ind w:left="227"/>
      </w:pPr>
      <w:r>
        <w:t>6. 项目风险防范</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整体技术方案概览</w:t>
      </w:r>
    </w:p>
    <w:p>
      <w:pPr>
        <w:ind w:firstLineChars="200"/>
        <w:spacing w:before="0" w:after="0" w:line="360" w:lineRule="auto"/>
      </w:pPr>
      <w:r>
        <w:rPr>
          <w:rFonts w:ascii="Times New Roman" w:hAnsi="Times New Roman" w:eastAsia="宋体"/>
          <w:b w:val="0"/>
          <w:i w:val="0"/>
          <w:color w:val="000000"/>
          <w:sz w:val="24"/>
          <w:u w:val="none"/>
        </w:rPr>
        <w:t>核心目标</w:t>
      </w:r>
    </w:p>
    <w:p>
      <w:pPr>
        <w:ind w:firstLineChars="200"/>
        <w:spacing w:before="0" w:after="0" w:line="360" w:lineRule="auto"/>
      </w:pPr>
      <w:r>
        <w:rPr>
          <w:rFonts w:ascii="Times New Roman" w:hAnsi="Times New Roman" w:eastAsia="宋体"/>
          <w:b w:val="0"/>
          <w:i w:val="0"/>
          <w:color w:val="000000"/>
          <w:sz w:val="24"/>
          <w:u w:val="none"/>
        </w:rPr>
        <w:t>构建“终端-网络-数据-管理”全链路数据防泄密体系，保障PC端、OA系统、数据库数据的机密性、完整性和可用性，满足上市公司合规要求，杜绝数据泄密风险。</w:t>
      </w:r>
    </w:p>
    <w:p>
      <w:r>
        <w:br w:type="page"/>
      </w:r>
    </w:p>
    <w:p>
      <w:pPr>
        <w:pStyle w:val="Heading2"/>
        <w:jc w:val="left"/>
        <w:spacing w:before="0" w:after="0" w:line="360" w:lineRule="auto"/>
      </w:pPr>
      <w:r>
        <w:rPr>
          <w:rFonts w:ascii="Times New Roman" w:hAnsi="Times New Roman" w:eastAsia="宋体"/>
          <w:b/>
          <w:i w:val="0"/>
          <w:color w:val="000000"/>
          <w:sz w:val="30"/>
          <w:u w:val="none"/>
        </w:rPr>
        <w:t>整体架构</w:t>
      </w:r>
    </w:p>
    <w:p>
      <w:pPr>
        <w:ind w:firstLineChars="200"/>
        <w:spacing w:before="0" w:after="0" w:line="360" w:lineRule="auto"/>
      </w:pPr>
      <w:r>
        <w:rPr>
          <w:rFonts w:ascii="Times New Roman" w:hAnsi="Times New Roman" w:eastAsia="宋体"/>
          <w:b w:val="0"/>
          <w:i w:val="0"/>
          <w:color w:val="000000"/>
          <w:sz w:val="24"/>
          <w:u w:val="none"/>
        </w:rPr>
        <w:t>采用“统一管理平台+分层防护”架构，覆盖数据全生命周期（产生、存储、传输、使用、销毁）：</w:t>
      </w:r>
    </w:p>
    <w:p>
      <w:pPr>
        <w:ind w:firstLineChars="200"/>
        <w:spacing w:before="0" w:after="0" w:line="360" w:lineRule="auto"/>
      </w:pPr>
      <w:r>
        <w:rPr>
          <w:rFonts w:ascii="Times New Roman" w:hAnsi="Times New Roman" w:eastAsia="宋体"/>
          <w:b w:val="0"/>
          <w:i w:val="0"/>
          <w:color w:val="000000"/>
          <w:sz w:val="24"/>
          <w:u w:val="none"/>
        </w:rPr>
        <w:t>管理层：统一安全管理平台，整合DLP、桌面管理、加密、EDR、零信任、数据安全域等功能，新增零信任与飞书的集成模块，实现策略统一配置、日志集中分析、风险可视化。</w:t>
      </w:r>
    </w:p>
    <w:p>
      <w:pPr>
        <w:ind w:firstLineChars="200"/>
        <w:spacing w:before="0" w:after="0" w:line="360" w:lineRule="auto"/>
      </w:pPr>
      <w:r>
        <w:rPr>
          <w:rFonts w:ascii="Times New Roman" w:hAnsi="Times New Roman" w:eastAsia="宋体"/>
          <w:b w:val="0"/>
          <w:i w:val="0"/>
          <w:color w:val="000000"/>
          <w:sz w:val="24"/>
          <w:u w:val="none"/>
        </w:rPr>
        <w:t>终端层（1期重点）：500台核心业务PC部署加密客户端+桌管+DLP+EDR+零信任代理，5000台普通办公PC部署桌管+DLP+EDR+零信任代理，全量PC通过飞书客户端接入零信任体系，实现分级终端防护。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服务器层（2期重点）：OA服务器、数据库服务器部署数据脱敏、访问控制、审计模块，同步对接飞书开放平台，实现通过飞书访问服务器资源的安全管控。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应用层：飞书作为统一办公入口，集成零信任认证能力，管控飞书内文件传输、消息发送、应用访问等场景的数据安全。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网络层：联动防火墙、VPN等设备，基于飞书身份与零信任终端状态动态调整网络访问权限，阻断违规传输行为。</w:t>
      </w:r>
    </w:p>
    <w:p>
      <w:r>
        <w:br w:type="page"/>
      </w:r>
    </w:p>
    <w:p>
      <w:pPr>
        <w:pStyle w:val="Heading2"/>
        <w:jc w:val="left"/>
        <w:spacing w:before="0" w:after="0" w:line="360" w:lineRule="auto"/>
      </w:pPr>
      <w:r>
        <w:rPr>
          <w:rFonts w:ascii="Times New Roman" w:hAnsi="Times New Roman" w:eastAsia="宋体"/>
          <w:b/>
          <w:i w:val="0"/>
          <w:color w:val="000000"/>
          <w:sz w:val="30"/>
          <w:u w:val="none"/>
        </w:rPr>
        <w:t>两期建设规划</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阶段</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核心范围</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关键技术</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建设目标</w:t>
            </w:r>
          </w:p>
        </w:tc>
      </w:tr>
      <w:tr>
        <w:tc>
          <w:tcPr>
            <w:tcW w:type="dxa" w:w="2161"/>
            <w:vAlign w:val="center"/>
            <w:tcW w:w="0" w:type="auto"/>
          </w:tcPr>
          <w:p>
            <w:pPr>
              <w:jc w:val="center"/>
            </w:pPr>
            <w:r>
              <w:rPr>
                <w:rFonts w:ascii="Times New Roman" w:hAnsi="Times New Roman" w:eastAsia="FangSong"/>
                <w:b w:val="0"/>
                <w:i w:val="0"/>
                <w:color w:val="000000"/>
                <w:sz w:val="24"/>
                <w:u w:val="none"/>
              </w:rPr>
              <w:t>1期</w:t>
            </w:r>
          </w:p>
        </w:tc>
        <w:tc>
          <w:tcPr>
            <w:tcW w:type="dxa" w:w="2161"/>
            <w:tcW w:w="0" w:type="auto"/>
          </w:tcPr>
          <w:p>
            <w:pPr>
              <w:jc w:val="left"/>
            </w:pPr>
            <w:r>
              <w:rPr>
                <w:rFonts w:ascii="Times New Roman" w:hAnsi="Times New Roman" w:eastAsia="FangSong"/>
                <w:b w:val="0"/>
                <w:i w:val="0"/>
                <w:color w:val="000000"/>
                <w:sz w:val="24"/>
                <w:u w:val="none"/>
              </w:rPr>
              <w:t>PC端数据防泄密</w:t>
            </w:r>
          </w:p>
        </w:tc>
        <w:tc>
          <w:tcPr>
            <w:tcW w:type="dxa" w:w="2161"/>
            <w:tcW w:w="0" w:type="auto"/>
          </w:tcPr>
          <w:p>
            <w:pPr>
              <w:jc w:val="left"/>
            </w:pPr>
            <w:r>
              <w:rPr>
                <w:rFonts w:ascii="Times New Roman" w:hAnsi="Times New Roman" w:eastAsia="FangSong"/>
                <w:b w:val="0"/>
                <w:i w:val="0"/>
                <w:color w:val="000000"/>
                <w:sz w:val="24"/>
                <w:u w:val="none"/>
              </w:rPr>
              <w:t>透明加密（500台核心PC）、终端DLP（3500台全量PC）、桌面管理（3500台全量PC）、EDR终端安全（3500台全量PC）、零信任访问（集成飞书，3500台全量PC部署）、数据安全域（安全网盘5000用户、200TB空间，分级部署10套）</w:t>
            </w:r>
          </w:p>
        </w:tc>
        <w:tc>
          <w:tcPr>
            <w:tcW w:type="dxa" w:w="2161"/>
            <w:tcW w:w="0" w:type="auto"/>
          </w:tcPr>
          <w:p>
            <w:pPr>
              <w:jc w:val="left"/>
            </w:pPr>
            <w:r>
              <w:rPr>
                <w:rFonts w:ascii="Times New Roman" w:hAnsi="Times New Roman" w:eastAsia="FangSong"/>
                <w:b w:val="0"/>
                <w:i w:val="0"/>
                <w:color w:val="000000"/>
                <w:sz w:val="24"/>
                <w:u w:val="none"/>
              </w:rPr>
              <w:t>解决PC端文件外泄、违规操作、未授权访问等核心风险</w:t>
            </w:r>
          </w:p>
        </w:tc>
      </w:tr>
      <w:tr>
        <w:tc>
          <w:tcPr>
            <w:tcW w:type="dxa" w:w="2161"/>
            <w:vAlign w:val="center"/>
            <w:tcW w:w="0" w:type="auto"/>
          </w:tcPr>
          <w:p>
            <w:pPr>
              <w:jc w:val="center"/>
            </w:pPr>
            <w:r>
              <w:rPr>
                <w:rFonts w:ascii="Times New Roman" w:hAnsi="Times New Roman" w:eastAsia="FangSong"/>
                <w:b w:val="0"/>
                <w:i w:val="0"/>
                <w:color w:val="000000"/>
                <w:sz w:val="24"/>
                <w:u w:val="none"/>
              </w:rPr>
              <w:t>2期</w:t>
            </w:r>
          </w:p>
        </w:tc>
        <w:tc>
          <w:tcPr>
            <w:tcW w:type="dxa" w:w="2161"/>
            <w:tcW w:w="0" w:type="auto"/>
          </w:tcPr>
          <w:p>
            <w:pPr>
              <w:jc w:val="left"/>
            </w:pPr>
            <w:r>
              <w:rPr>
                <w:rFonts w:ascii="Times New Roman" w:hAnsi="Times New Roman" w:eastAsia="FangSong"/>
                <w:b w:val="0"/>
                <w:i w:val="0"/>
                <w:color w:val="000000"/>
                <w:sz w:val="24"/>
                <w:u w:val="none"/>
              </w:rPr>
              <w:t>服务器端数据防泄密</w:t>
            </w:r>
          </w:p>
        </w:tc>
        <w:tc>
          <w:tcPr>
            <w:tcW w:type="dxa" w:w="2161"/>
            <w:tcW w:w="0" w:type="auto"/>
          </w:tcPr>
          <w:p>
            <w:pPr>
              <w:jc w:val="left"/>
            </w:pPr>
            <w:r>
              <w:rPr>
                <w:rFonts w:ascii="Times New Roman" w:hAnsi="Times New Roman" w:eastAsia="FangSong"/>
                <w:b w:val="0"/>
                <w:i w:val="0"/>
                <w:color w:val="000000"/>
                <w:sz w:val="24"/>
                <w:u w:val="none"/>
              </w:rPr>
              <w:t>数据库加密/脱敏、OA系统权限管控、服务器DLP</w:t>
            </w:r>
          </w:p>
        </w:tc>
        <w:tc>
          <w:tcPr>
            <w:tcW w:type="dxa" w:w="2161"/>
            <w:tcW w:w="0" w:type="auto"/>
          </w:tcPr>
          <w:p>
            <w:pPr>
              <w:jc w:val="left"/>
            </w:pPr>
            <w:r>
              <w:rPr>
                <w:rFonts w:ascii="Times New Roman" w:hAnsi="Times New Roman" w:eastAsia="FangSong"/>
                <w:b w:val="0"/>
                <w:i w:val="0"/>
                <w:color w:val="000000"/>
                <w:sz w:val="24"/>
                <w:u w:val="none"/>
              </w:rPr>
              <w:t>覆盖OA数据、数据库数据，实现端到端全场景防护</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第2章 1期建设详细技术方案（PC端数据防泄密）</w:t>
      </w:r>
    </w:p>
    <w:p>
      <w:pPr>
        <w:pStyle w:val="Heading2"/>
        <w:jc w:val="left"/>
        <w:spacing w:before="0" w:after="0" w:line="360" w:lineRule="auto"/>
      </w:pPr>
      <w:r>
        <w:rPr>
          <w:rFonts w:ascii="Times New Roman" w:hAnsi="Times New Roman" w:eastAsia="宋体"/>
          <w:b/>
          <w:i w:val="0"/>
          <w:color w:val="000000"/>
          <w:sz w:val="30"/>
          <w:u w:val="none"/>
        </w:rPr>
        <w:t>需求分析</w:t>
      </w:r>
    </w:p>
    <w:p>
      <w:pPr>
        <w:pStyle w:val="Heading3"/>
        <w:jc w:val="left"/>
        <w:spacing w:before="0" w:after="0" w:line="360" w:lineRule="auto"/>
      </w:pPr>
      <w:r>
        <w:rPr>
          <w:rFonts w:ascii="Times New Roman" w:hAnsi="Times New Roman" w:eastAsia="宋体"/>
          <w:b/>
          <w:i w:val="0"/>
          <w:color w:val="000000"/>
          <w:sz w:val="28"/>
          <w:u w:val="none"/>
        </w:rPr>
        <w:t>核心业务场景需求</w:t>
      </w:r>
    </w:p>
    <w:p>
      <w:pPr>
        <w:ind w:firstLineChars="200"/>
        <w:spacing w:before="0" w:after="0" w:line="360" w:lineRule="auto"/>
      </w:pPr>
      <w:r>
        <w:rPr>
          <w:rFonts w:ascii="Times New Roman" w:hAnsi="Times New Roman" w:eastAsia="宋体"/>
          <w:b w:val="0"/>
          <w:i w:val="0"/>
          <w:color w:val="000000"/>
          <w:sz w:val="24"/>
          <w:u w:val="none"/>
        </w:rPr>
        <w:t>文件安全：500台核心PC存储的采矿方案、储量数据、财务核心数据、招投标文件等敏感文件需加密存储，防止通过飞书文件传输、拷贝等方式外泄；普通PC办公文件需管控通过飞书的外发渠道。</w:t>
      </w:r>
    </w:p>
    <w:p>
      <w:pPr>
        <w:ind w:firstLineChars="200"/>
        <w:spacing w:before="0" w:after="0" w:line="360" w:lineRule="auto"/>
      </w:pPr>
      <w:r>
        <w:rPr>
          <w:rFonts w:ascii="Times New Roman" w:hAnsi="Times New Roman" w:eastAsia="宋体"/>
          <w:b w:val="0"/>
          <w:i w:val="0"/>
          <w:color w:val="000000"/>
          <w:sz w:val="24"/>
          <w:u w:val="none"/>
        </w:rPr>
        <w:t>终端管控：全量5000台PC存在通过飞书私自发送敏感文件、截图传输、外接设备结合飞书拷贝等违规风险，需全面管控；禁止通过飞书安装非授权插件。</w:t>
      </w:r>
    </w:p>
    <w:p>
      <w:pPr>
        <w:ind w:firstLineChars="200"/>
        <w:spacing w:before="0" w:after="0" w:line="360" w:lineRule="auto"/>
      </w:pPr>
      <w:r>
        <w:rPr>
          <w:rFonts w:ascii="Times New Roman" w:hAnsi="Times New Roman" w:eastAsia="宋体"/>
          <w:b w:val="0"/>
          <w:i w:val="0"/>
          <w:color w:val="000000"/>
          <w:sz w:val="24"/>
          <w:u w:val="none"/>
        </w:rPr>
        <w:t>终端安全：全量PC面临通过飞书接收恶意文件、链接导致病毒、勒索软件入侵的威胁，需实时检测并响应，核心PC需重点防护。</w:t>
      </w:r>
    </w:p>
    <w:p>
      <w:pPr>
        <w:ind w:firstLineChars="200"/>
        <w:spacing w:before="0" w:after="0" w:line="360" w:lineRule="auto"/>
      </w:pPr>
      <w:r>
        <w:rPr>
          <w:rFonts w:ascii="Times New Roman" w:hAnsi="Times New Roman" w:eastAsia="宋体"/>
          <w:b w:val="0"/>
          <w:i w:val="0"/>
          <w:color w:val="000000"/>
          <w:sz w:val="24"/>
          <w:u w:val="none"/>
        </w:rPr>
        <w:t>访问安全：员工通过飞书访问企业内部资源（如OA、财务系统）时，需实现身份与终端状态的双重认证，区分核心与普通PC通过飞书的访问权限；远程办公时通过飞书零信任入口接入，防止未授权访问。</w:t>
      </w:r>
    </w:p>
    <w:p>
      <w:pPr>
        <w:ind w:firstLineChars="200"/>
        <w:spacing w:before="0" w:after="0" w:line="360" w:lineRule="auto"/>
      </w:pPr>
      <w:r>
        <w:rPr>
          <w:rFonts w:ascii="Times New Roman" w:hAnsi="Times New Roman" w:eastAsia="宋体"/>
          <w:b w:val="0"/>
          <w:i w:val="0"/>
          <w:color w:val="000000"/>
          <w:sz w:val="24"/>
          <w:u w:val="none"/>
        </w:rPr>
        <w:t>审计追溯：通过飞书发生的泄密或终端安全事件后，需快速定位发送人、接收人、终端状态等信息，实现全链路追溯，满足合规审计要求。</w:t>
      </w:r>
    </w:p>
    <w:p>
      <w:pPr>
        <w:pStyle w:val="Heading4"/>
        <w:jc w:val="left"/>
        <w:spacing w:before="0" w:after="0" w:line="360" w:lineRule="auto"/>
      </w:pPr>
      <w:r>
        <w:rPr>
          <w:rFonts w:ascii="Times New Roman" w:hAnsi="Times New Roman" w:eastAsia="宋体"/>
          <w:b/>
          <w:i w:val="0"/>
          <w:color w:val="000000"/>
          <w:sz w:val="24"/>
          <w:u w:val="none"/>
        </w:rPr>
        <w:t>合规性需求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符合《数据安全法》《网络安全法》对企业数据保护的强制性要求。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满足上市公司信息披露管理、内幕信息保密等监管要求。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符合行业数据安全相关规范，保障矿业核心业务数据不外泄。</w:t>
      </w:r>
    </w:p>
    <w:p>
      <w:pPr>
        <w:pStyle w:val="Heading4"/>
        <w:jc w:val="left"/>
        <w:spacing w:before="0" w:after="0" w:line="360" w:lineRule="auto"/>
      </w:pPr>
      <w:r>
        <w:rPr>
          <w:rFonts w:ascii="Times New Roman" w:hAnsi="Times New Roman" w:eastAsia="宋体"/>
          <w:b/>
          <w:i w:val="0"/>
          <w:color w:val="000000"/>
          <w:sz w:val="24"/>
          <w:u w:val="none"/>
        </w:rPr>
        <w:t>技术适配需求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兼容现有PC端操作系统（Windows 10/11为主），不影响日常办公效率。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支持矿业常用文件格式（CAD、Office、PDF、工程软件文件等）的加密防护。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与现有企业网络架构、IT管理流程兼容，避免系统冲突。</w:t>
      </w:r>
    </w:p>
    <w:p>
      <w:r>
        <w:br w:type="page"/>
      </w:r>
    </w:p>
    <w:p>
      <w:pPr>
        <w:pStyle w:val="Heading2"/>
        <w:jc w:val="left"/>
        <w:spacing w:before="0" w:after="0" w:line="360" w:lineRule="auto"/>
      </w:pPr>
      <w:r>
        <w:rPr>
          <w:rFonts w:ascii="Times New Roman" w:hAnsi="Times New Roman" w:eastAsia="宋体"/>
          <w:b/>
          <w:i w:val="0"/>
          <w:color w:val="000000"/>
          <w:sz w:val="30"/>
          <w:u w:val="none"/>
        </w:rPr>
        <w:t>方案价值</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分级防护精准落地：核心PC加密+全量PC桌管/DLP/EDR的组合，兼顾核心数据机密性与整体终端安全性，避免过度防护或防护不足。</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终端威胁全面防控：EDR实现病毒、勒索软件等恶意行为实时拦截，解决传统杀毒软件滞后性问题，降低终端入侵风险。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合规风险降低：满足《数据安全法》《网络安全法》及上市公司监管要求，避免因泄密或终端安全事件引发的行政处罚、声誉损失及股价波动。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管理效率提升：统一平台实现5000台PC分级策略管控，日志集中审计，减少人工巡检与故障排查成本。</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风险可追溯：全流程操作日志+EDR威胁日志联动，支持泄密事件与终端安全事件双重溯源，明确责任边界。</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业务无感知：加密、管控、EDR防护均采用后台运行模式，零信任与飞书无缝集成，员工通过飞书正常办公无需额外繁琐操作，核心PC与普通PC差异化策略降低落地阻力。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飞书办公安全闭环：实现飞书入口的身份认证、终端校验、权限分配、行为审计全流程管控，解决飞书使用中的数据泄密风险，让飞书成为安全的办公入口。</w:t>
      </w:r>
    </w:p>
    <w:p>
      <w:r>
        <w:br w:type="page"/>
      </w:r>
    </w:p>
    <w:p>
      <w:pPr>
        <w:pStyle w:val="Heading2"/>
        <w:jc w:val="left"/>
        <w:spacing w:before="0" w:after="0" w:line="360" w:lineRule="auto"/>
      </w:pPr>
      <w:r>
        <w:rPr>
          <w:rFonts w:ascii="Times New Roman" w:hAnsi="Times New Roman" w:eastAsia="宋体"/>
          <w:b/>
          <w:i w:val="0"/>
          <w:color w:val="000000"/>
          <w:sz w:val="30"/>
          <w:u w:val="none"/>
        </w:rPr>
        <w:t>核心技术方案细节</w:t>
      </w:r>
    </w:p>
    <w:p>
      <w:pPr>
        <w:ind w:firstLineChars="200"/>
        <w:spacing w:before="0" w:after="0" w:line="360" w:lineRule="auto"/>
      </w:pPr>
      <w:r>
        <w:rPr>
          <w:rFonts w:ascii="Times New Roman" w:hAnsi="Times New Roman" w:eastAsia="宋体"/>
          <w:b w:val="0"/>
          <w:i w:val="0"/>
          <w:color w:val="000000"/>
          <w:sz w:val="24"/>
          <w:u w:val="none"/>
        </w:rPr>
        <w:t>以“加密为核心、DLP为防护、桌面管理为支撑、零信任为边界”构建PC端防护体系，选型参考深信服DLP、ipguard桌面管理的核心功能，整合适配：</w:t>
      </w:r>
    </w:p>
    <w:p>
      <w:r>
        <w:br w:type="page"/>
      </w:r>
    </w:p>
    <w:p>
      <w:pPr>
        <w:pStyle w:val="Heading3"/>
        <w:jc w:val="left"/>
        <w:spacing w:before="0" w:after="0" w:line="360" w:lineRule="auto"/>
      </w:pPr>
      <w:r>
        <w:rPr>
          <w:rFonts w:ascii="Times New Roman" w:hAnsi="Times New Roman" w:eastAsia="宋体"/>
          <w:b/>
          <w:i w:val="0"/>
          <w:color w:val="000000"/>
          <w:sz w:val="28"/>
          <w:u w:val="none"/>
        </w:rPr>
        <w:t>透明文件加密系统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加密范围：覆盖Office、CAD、PDF、工程软件（如矿业设计软件）、财务软件文件等核心业务文件。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加密模式：透明加密，员工正常打开、编辑、保存文件无感知，未授权设备/人员打开文件显示乱码。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分级管控：按数据重要性分为“公开、内部、机密、绝密”4级，绝密文件禁止外发，机密文件外发需审批。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离线支持：员工外出办公时，可设置离线加密时长（1-7天），超时需重新认证，保障离线数据安全。</w:t>
      </w:r>
    </w:p>
    <w:p>
      <w:r>
        <w:br w:type="page"/>
      </w:r>
    </w:p>
    <w:p>
      <w:pPr>
        <w:pStyle w:val="Heading3"/>
        <w:jc w:val="left"/>
        <w:spacing w:before="0" w:after="0" w:line="360" w:lineRule="auto"/>
      </w:pPr>
      <w:r>
        <w:rPr>
          <w:rFonts w:ascii="Times New Roman" w:hAnsi="Times New Roman" w:eastAsia="宋体"/>
          <w:b/>
          <w:i w:val="0"/>
          <w:color w:val="000000"/>
          <w:sz w:val="28"/>
          <w:u w:val="none"/>
        </w:rPr>
        <w:t>终端DLP防护系统</w:t>
      </w:r>
    </w:p>
    <w:p>
      <w:pPr>
        <w:ind w:firstLineChars="200"/>
        <w:spacing w:before="0" w:after="0" w:line="360" w:lineRule="auto"/>
      </w:pPr>
      <w:r>
        <w:rPr>
          <w:rFonts w:ascii="Times New Roman" w:hAnsi="Times New Roman" w:eastAsia="宋体"/>
          <w:b w:val="0"/>
          <w:i w:val="0"/>
          <w:color w:val="000000"/>
          <w:sz w:val="24"/>
          <w:u w:val="none"/>
        </w:rPr>
        <w:t>外发渠道管控：监控并阻断邮件、微信、QQ、钉钉、浏览器上传（百度网盘、知乎等）、FTP、蓝牙、U盘拷贝等违规外发行为；重点管控飞书渠道，包括飞书聊天窗口文件发送、飞书云文档上传/分享、飞书邮件发送等，实现飞书全场景外发管控。</w:t>
      </w:r>
    </w:p>
    <w:p>
      <w:pPr>
        <w:ind w:firstLineChars="200"/>
        <w:spacing w:before="0" w:after="0" w:line="360" w:lineRule="auto"/>
      </w:pPr>
      <w:r>
        <w:rPr>
          <w:rFonts w:ascii="Times New Roman" w:hAnsi="Times New Roman" w:eastAsia="宋体"/>
          <w:b w:val="0"/>
          <w:i w:val="0"/>
          <w:color w:val="000000"/>
          <w:sz w:val="24"/>
          <w:u w:val="none"/>
        </w:rPr>
        <w:t>内容识别能力：支持关键词（如“采矿方案”“储量数据”“招标底价”）、正则表达式（手机号、身份证号、合同编号）、文件指纹（匹配企业内部敏感文档库）识别敏感信息；针对飞书聊天内容、云文档内容，支持实时内容扫描识别。</w:t>
      </w:r>
    </w:p>
    <w:p>
      <w:pPr>
        <w:ind w:firstLineChars="200"/>
        <w:spacing w:before="0" w:after="0" w:line="360" w:lineRule="auto"/>
      </w:pPr>
      <w:r>
        <w:rPr>
          <w:rFonts w:ascii="Times New Roman" w:hAnsi="Times New Roman" w:eastAsia="宋体"/>
          <w:b w:val="0"/>
          <w:i w:val="0"/>
          <w:color w:val="000000"/>
          <w:sz w:val="24"/>
          <w:u w:val="none"/>
        </w:rPr>
        <w:t>动作控制策略：违规外发时可执行“阻断+告警”“加密外发”“审批后外发”三种策略，审批流程支持通过飞书发起线上审批，部门负责人及安全管理员通过飞书审批节点处理，审批结果实时同步至DLP系统。</w:t>
      </w:r>
    </w:p>
    <w:p>
      <w:r>
        <w:br w:type="page"/>
      </w:r>
    </w:p>
    <w:p>
      <w:pPr>
        <w:pStyle w:val="Heading3"/>
        <w:jc w:val="left"/>
        <w:spacing w:before="0" w:after="0" w:line="360" w:lineRule="auto"/>
      </w:pPr>
      <w:r>
        <w:rPr>
          <w:rFonts w:ascii="Times New Roman" w:hAnsi="Times New Roman" w:eastAsia="宋体"/>
          <w:b/>
          <w:i w:val="0"/>
          <w:color w:val="000000"/>
          <w:sz w:val="28"/>
          <w:u w:val="none"/>
        </w:rPr>
        <w:t>桌面管理系统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外设管控：U盘授权使用，未授权U盘插入PC后自动禁用或告警，授权U盘可设置“只读/读写”权限；禁用蓝牙、红外、串口等风险外设。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行为管控：禁止屏幕截图、禁止私自安装非授权软件（如网盘、破解工具），监控网页浏览记录、即时通讯内容，违规操作自动记录并告警。</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资产管理：自动采集PC硬件（CPU、内存、硬盘）、软件安装信息，定期扫描资产变更，生成资产报表，防止设备私用或丢失。</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补丁与安全加固：推送系统安全补丁，禁用Windows默认共享，限制管理员权限滥用，降低恶意软件入侵风险。</w:t>
      </w:r>
    </w:p>
    <w:p>
      <w:r>
        <w:br w:type="page"/>
      </w:r>
    </w:p>
    <w:p>
      <w:pPr>
        <w:pStyle w:val="Heading3"/>
        <w:jc w:val="left"/>
        <w:spacing w:before="0" w:after="0" w:line="360" w:lineRule="auto"/>
      </w:pPr>
      <w:r>
        <w:rPr>
          <w:rFonts w:ascii="Times New Roman" w:hAnsi="Times New Roman" w:eastAsia="宋体"/>
          <w:b/>
          <w:i w:val="0"/>
          <w:color w:val="000000"/>
          <w:sz w:val="28"/>
          <w:u w:val="none"/>
        </w:rPr>
        <w:t>EDR终端安全系统（全量5000台PC部署）</w:t>
      </w:r>
    </w:p>
    <w:p>
      <w:pPr>
        <w:ind w:firstLineChars="200"/>
        <w:spacing w:before="0" w:after="0" w:line="360" w:lineRule="auto"/>
      </w:pPr>
      <w:r>
        <w:rPr>
          <w:rFonts w:ascii="Times New Roman" w:hAnsi="Times New Roman" w:eastAsia="宋体"/>
          <w:b w:val="0"/>
          <w:i w:val="0"/>
          <w:color w:val="000000"/>
          <w:sz w:val="24"/>
          <w:u w:val="none"/>
        </w:rPr>
        <w:t>威胁检测：基于AI引擎实时监测病毒、勒索软件、恶意脚本、异常进程（如未授权加密进程）等威胁；重点监测通过飞书接收的文件、点击的链接，核心PC开启深度检测模式，普通PC开启标准检测模式。</w:t>
      </w:r>
    </w:p>
    <w:p>
      <w:pPr>
        <w:ind w:firstLineChars="200"/>
        <w:spacing w:before="0" w:after="0" w:line="360" w:lineRule="auto"/>
      </w:pPr>
      <w:r>
        <w:rPr>
          <w:rFonts w:ascii="Times New Roman" w:hAnsi="Times New Roman" w:eastAsia="宋体"/>
          <w:b w:val="0"/>
          <w:i w:val="0"/>
          <w:color w:val="000000"/>
          <w:sz w:val="24"/>
          <w:u w:val="none"/>
        </w:rPr>
        <w:t>实时响应：检测到威胁后自动执行隔离进程、删除恶意文件、阻断网络连接等操作；若威胁源于飞书（如打开飞书恶意文件），自动同步至零信任系统，临时冻结该账号飞书访问权限，核心PC威胁事件触发安全管理员飞书告警，普通PC威胁自动处置并记录日志。</w:t>
      </w:r>
    </w:p>
    <w:p>
      <w:pPr>
        <w:ind w:firstLineChars="200"/>
        <w:spacing w:before="0" w:after="0" w:line="360" w:lineRule="auto"/>
      </w:pPr>
      <w:r>
        <w:rPr>
          <w:rFonts w:ascii="Times New Roman" w:hAnsi="Times New Roman" w:eastAsia="宋体"/>
          <w:b w:val="0"/>
          <w:i w:val="0"/>
          <w:color w:val="000000"/>
          <w:sz w:val="24"/>
          <w:u w:val="none"/>
        </w:rPr>
        <w:t>漏洞管理：定期扫描PC系统漏洞、软件漏洞，生成漏洞报表，支持按风险等级（高危/中危/低危）推送补丁，核心PC优先修复高危漏洞；同步扫描飞书客户端漏洞，及时推送飞书版本更新。</w:t>
      </w:r>
    </w:p>
    <w:p>
      <w:pPr>
        <w:ind w:firstLineChars="200"/>
        <w:spacing w:before="0" w:after="0" w:line="360" w:lineRule="auto"/>
      </w:pPr>
      <w:r>
        <w:rPr>
          <w:rFonts w:ascii="Times New Roman" w:hAnsi="Times New Roman" w:eastAsia="宋体"/>
          <w:b w:val="0"/>
          <w:i w:val="0"/>
          <w:color w:val="000000"/>
          <w:sz w:val="24"/>
          <w:u w:val="none"/>
        </w:rPr>
        <w:t>终端画像：建立每台PC的安全画像，包含设备配置、漏洞状态、威胁历史、软件清单、飞书操作行为等信息，支持异常画像（如突然通过飞书接收大量陌生文件）告警。</w:t>
      </w:r>
    </w:p>
    <w:p>
      <w:pPr>
        <w:ind w:firstLineChars="200"/>
        <w:spacing w:before="0" w:after="0" w:line="360" w:lineRule="auto"/>
      </w:pPr>
      <w:r>
        <w:rPr>
          <w:rFonts w:ascii="Times New Roman" w:hAnsi="Times New Roman" w:eastAsia="宋体"/>
          <w:b w:val="0"/>
          <w:i w:val="0"/>
          <w:color w:val="000000"/>
          <w:sz w:val="24"/>
          <w:u w:val="none"/>
        </w:rPr>
        <w:t>联动防护：与DLP、加密系统、零信任系统联动，当EDR检测到终端被入侵时，自动禁止文件外发（含飞书渠道）、加密未加密的敏感文件，同时通过零信任系统冻结飞书访问权限，防止入侵导致的数据泄露。</w:t>
      </w:r>
    </w:p>
    <w:p>
      <w:r>
        <w:br w:type="page"/>
      </w:r>
    </w:p>
    <w:p>
      <w:pPr>
        <w:pStyle w:val="Heading3"/>
        <w:jc w:val="left"/>
        <w:spacing w:before="0" w:after="0" w:line="360" w:lineRule="auto"/>
      </w:pPr>
      <w:r>
        <w:rPr>
          <w:rFonts w:ascii="Times New Roman" w:hAnsi="Times New Roman" w:eastAsia="宋体"/>
          <w:b/>
          <w:i w:val="0"/>
          <w:color w:val="000000"/>
          <w:sz w:val="28"/>
          <w:u w:val="none"/>
        </w:rPr>
        <w:t>零信任访问控制（集成飞书，全量5000台PC部署）</w:t>
      </w:r>
    </w:p>
    <w:p>
      <w:pPr>
        <w:ind w:firstLineChars="200"/>
        <w:spacing w:before="0" w:after="0" w:line="360" w:lineRule="auto"/>
      </w:pPr>
      <w:r>
        <w:rPr>
          <w:rFonts w:ascii="Times New Roman" w:hAnsi="Times New Roman" w:eastAsia="宋体"/>
          <w:b w:val="0"/>
          <w:i w:val="0"/>
          <w:color w:val="000000"/>
          <w:sz w:val="24"/>
          <w:u w:val="none"/>
        </w:rPr>
        <w:t>飞书统一身份入口：将零信任认证集成至飞书客户端，员工登录飞书后自动触发零信任认证流程，无需额外登录其他安全客户端，提升办公效率。</w:t>
      </w:r>
    </w:p>
    <w:p>
      <w:pPr>
        <w:ind w:firstLineChars="200"/>
        <w:spacing w:before="0" w:after="0" w:line="360" w:lineRule="auto"/>
      </w:pPr>
      <w:r>
        <w:rPr>
          <w:rFonts w:ascii="Times New Roman" w:hAnsi="Times New Roman" w:eastAsia="宋体"/>
          <w:b w:val="0"/>
          <w:i w:val="0"/>
          <w:color w:val="000000"/>
          <w:sz w:val="24"/>
          <w:u w:val="none"/>
        </w:rPr>
        <w:t>身份与终端双重认证：采用“飞书账号身份认证+终端安全状态校验”双重机制。身份认证结合飞书原生的账号密码+飞书短信/APP验证码；终端校验通过零信任代理同步至飞书，校验内容包括是否安装加密客户端（核心PC）、EDR是否开启、系统补丁是否更新、是否存在恶意进程等，状态不合规则飞书无法访问企业内部资源。</w:t>
      </w:r>
    </w:p>
    <w:p>
      <w:pPr>
        <w:ind w:firstLineChars="200"/>
        <w:spacing w:before="0" w:after="0" w:line="360" w:lineRule="auto"/>
      </w:pPr>
      <w:r>
        <w:rPr>
          <w:rFonts w:ascii="Times New Roman" w:hAnsi="Times New Roman" w:eastAsia="宋体"/>
          <w:b w:val="0"/>
          <w:i w:val="0"/>
          <w:color w:val="000000"/>
          <w:sz w:val="24"/>
          <w:u w:val="none"/>
        </w:rPr>
        <w:t>基于飞书组织架构的权限分配：零信任系统同步飞书企业组织架构及岗位信息，自动为不同岗位员工分配通过飞书访问资源的权限。例如，采矿工程师（核心PC）可通过飞书访问采矿方案文件服务器，行政人员（普通PC）仅可通过飞书访问办公通知类资源，实现最小权限管控。</w:t>
      </w:r>
    </w:p>
    <w:p>
      <w:pPr>
        <w:ind w:firstLineChars="200"/>
        <w:spacing w:before="0" w:after="0" w:line="360" w:lineRule="auto"/>
      </w:pPr>
      <w:r>
        <w:rPr>
          <w:rFonts w:ascii="Times New Roman" w:hAnsi="Times New Roman" w:eastAsia="宋体"/>
          <w:b w:val="0"/>
          <w:i w:val="0"/>
          <w:color w:val="000000"/>
          <w:sz w:val="24"/>
          <w:u w:val="none"/>
        </w:rPr>
        <w:t>飞书应用访问管控：通过零信任策略管控员工通过飞书访问第三方应用或企业内部应用的行为。禁止通过飞书访问高风险第三方网盘、邮件等应用；访问企业OA、财务系统等内部应用时，需再次触发二次认证（飞书人脸/指纹认证）。</w:t>
      </w:r>
    </w:p>
    <w:p>
      <w:pPr>
        <w:ind w:firstLineChars="200"/>
        <w:spacing w:before="0" w:after="0" w:line="360" w:lineRule="auto"/>
      </w:pPr>
      <w:r>
        <w:rPr>
          <w:rFonts w:ascii="Times New Roman" w:hAnsi="Times New Roman" w:eastAsia="宋体"/>
          <w:b w:val="0"/>
          <w:i w:val="0"/>
          <w:color w:val="000000"/>
          <w:sz w:val="24"/>
          <w:u w:val="none"/>
        </w:rPr>
        <w:t>飞书会话与文件安全联动：零信任系统与DLP、加密系统联动，员工通过飞书发送文件时，DLP自动识别文件敏感级别，绝密文件直接阻断发送并告警，机密文件需通过飞书发起审批流程（部门负责人+安全管理员审批）；核心PC加密文件通过飞书发送给内部授权人员后，接收方需在合规终端（已部署客户端）才能解密打开。</w:t>
      </w:r>
    </w:p>
    <w:p>
      <w:r>
        <w:br w:type="page"/>
      </w:r>
    </w:p>
    <w:p>
      <w:pPr>
        <w:pStyle w:val="Heading3"/>
        <w:jc w:val="left"/>
        <w:spacing w:before="0" w:after="0" w:line="360" w:lineRule="auto"/>
      </w:pPr>
      <w:r>
        <w:rPr>
          <w:rFonts w:ascii="Times New Roman" w:hAnsi="Times New Roman" w:eastAsia="宋体"/>
          <w:b/>
          <w:i w:val="0"/>
          <w:color w:val="000000"/>
          <w:sz w:val="28"/>
          <w:u w:val="none"/>
        </w:rPr>
        <w:t>数据安全交换平台（数据安全域）</w:t>
      </w:r>
    </w:p>
    <w:p>
      <w:pPr>
        <w:ind w:firstLineChars="200"/>
        <w:spacing w:before="0" w:after="0" w:line="360" w:lineRule="auto"/>
      </w:pPr>
      <w:r>
        <w:rPr>
          <w:rFonts w:ascii="Times New Roman" w:hAnsi="Times New Roman" w:eastAsia="宋体"/>
          <w:b w:val="0"/>
          <w:i w:val="0"/>
          <w:color w:val="000000"/>
          <w:sz w:val="24"/>
          <w:u w:val="none"/>
        </w:rPr>
        <w:t>基于网络构建双域隔离数据安全存储空间，员工按角色授权访问权限‌，搭建私有传输通道，阻断非授权外传高危路径，通过监测引擎实时识别敏感数据外发、异常操作等风险‌，在对员工零干扰的情况，落实对员工的数据安全管理工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安全存储：可用不可得，防止业务数据落盘造成泄露</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安全存储：精细化访问控制，从存储到使用全链路保护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基于水印/指纹技术快速定位数据泄漏责任人、数据泄漏源头</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水印包含用户名、访问终端IP、访问时间等关键要素，并支持水印内容，水印数量、水印角度、明暗等自定义配置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阻断非授权高危传输通道，防止数据传播范围失控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跨网安全交换，文档摆渡可控、可审、合规便捷</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文档外发传输途径统一，可灵活控制外部单位权限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数据操作行为全面可视，预防违规存储造成泄密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数据流转通道实时监控，预防违规传输造成泄密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数据血缘关系深度示踪，快速定位泄密责任人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模块</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功能点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个人办公文档保护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业务系统文档保护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网间摆渡文档保护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企业内部文档安全传输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企业外部文档安全传输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一键发起文档传输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传输共享审批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文件在线预览和编辑（私有化）非标配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Office多人协同编辑（私有化）非标配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文件基础属性审计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文件识别，包括格式、名称、内容识别</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文件来源识别-基于文件下载的web地址</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文件来源识别-基于生成文件的进程名</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基础操作行为审计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互联网外发通路审计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存储设备外发审计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代码管理工具审计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打印行为审计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外发行为截屏</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外发审计白名单</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屏幕水印</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安全域数据下载管控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业务系统数据下载管控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数据外发阻断管控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用户视角下数据行为可视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数据视角下数据行为可视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全局数据行为展示</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单一单用户的机密数据操作行为可视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机密数据溯源可视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用户/部门管理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终端管理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安全空间设置</w:t>
            </w:r>
          </w:p>
        </w:tc>
      </w:tr>
    </w:tbl>
    <w:p>
      <w:r>
        <w:br w:type="page"/>
      </w:r>
    </w:p>
    <w:p>
      <w:pPr>
        <w:pStyle w:val="Heading3"/>
        <w:jc w:val="left"/>
        <w:spacing w:before="0" w:after="0" w:line="360" w:lineRule="auto"/>
      </w:pPr>
      <w:r>
        <w:rPr>
          <w:rFonts w:ascii="Times New Roman" w:hAnsi="Times New Roman" w:eastAsia="宋体"/>
          <w:b/>
          <w:i w:val="0"/>
          <w:color w:val="000000"/>
          <w:sz w:val="28"/>
          <w:u w:val="none"/>
        </w:rPr>
        <w:t>统一安全管理平台</w:t>
      </w:r>
    </w:p>
    <w:p>
      <w:pPr>
        <w:ind w:firstLineChars="200"/>
        <w:spacing w:before="0" w:after="0" w:line="360" w:lineRule="auto"/>
      </w:pPr>
      <w:r>
        <w:rPr>
          <w:rFonts w:ascii="Times New Roman" w:hAnsi="Times New Roman" w:eastAsia="宋体"/>
          <w:b w:val="0"/>
          <w:i w:val="0"/>
          <w:color w:val="000000"/>
          <w:sz w:val="24"/>
          <w:u w:val="none"/>
        </w:rPr>
        <w:t>策略管理：集中配置加密规则、DLP防护策略、桌面管控策略、零信任认证规则，新增飞书专项策略模块，支持按飞书部门、岗位批量下发飞书访问管控策略；同步飞书组织架构变更，自动更新权限策略。</w:t>
      </w:r>
    </w:p>
    <w:p>
      <w:pPr>
        <w:ind w:firstLineChars="200"/>
        <w:spacing w:before="0" w:after="0" w:line="360" w:lineRule="auto"/>
      </w:pPr>
      <w:r>
        <w:rPr>
          <w:rFonts w:ascii="Times New Roman" w:hAnsi="Times New Roman" w:eastAsia="宋体"/>
          <w:b w:val="0"/>
          <w:i w:val="0"/>
          <w:color w:val="000000"/>
          <w:sz w:val="24"/>
          <w:u w:val="none"/>
        </w:rPr>
        <w:t>日志审计：新增飞书操作日志采集模块，收集员工通过飞书的登录行为、文件发送/接收记录、应用访问记录、审批记录等，与终端操作日志、EDR威胁日志联动，支持按飞书账号、操作类型、时间检索，生成飞书安全审计报表。</w:t>
      </w:r>
    </w:p>
    <w:p>
      <w:pPr>
        <w:ind w:firstLineChars="200"/>
        <w:spacing w:before="0" w:after="0" w:line="360" w:lineRule="auto"/>
      </w:pPr>
      <w:r>
        <w:rPr>
          <w:rFonts w:ascii="Times New Roman" w:hAnsi="Times New Roman" w:eastAsia="宋体"/>
          <w:b w:val="0"/>
          <w:i w:val="0"/>
          <w:color w:val="000000"/>
          <w:sz w:val="24"/>
          <w:u w:val="none"/>
        </w:rPr>
        <w:t>风险监控：实时监控飞书相关违规行为告警，如未授权终端尝试通过飞书访问核心资源、通过飞书发送敏感文件等，告警信息同步推送至飞书安全管理员专属会话，支持短信/邮件二次推送，确保及时响应。</w:t>
      </w:r>
    </w:p>
    <w:p>
      <w:r>
        <w:br w:type="page"/>
      </w:r>
    </w:p>
    <w:p>
      <w:pPr>
        <w:pStyle w:val="Heading2"/>
        <w:jc w:val="left"/>
        <w:spacing w:before="0" w:after="0" w:line="360" w:lineRule="auto"/>
      </w:pPr>
      <w:r>
        <w:rPr>
          <w:rFonts w:ascii="Times New Roman" w:hAnsi="Times New Roman" w:eastAsia="宋体"/>
          <w:b/>
          <w:i w:val="0"/>
          <w:color w:val="000000"/>
          <w:sz w:val="30"/>
          <w:u w:val="none"/>
        </w:rPr>
        <w:t>预算估算</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882"/>
        <w:gridCol w:w="2882"/>
        <w:gridCol w:w="2882"/>
      </w:tblGrid>
      <w:tr>
        <w:trPr>
          <w:tblHeader/>
        </w:trPr>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预算项目</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明细说明</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万</w:t>
            </w:r>
          </w:p>
        </w:tc>
      </w:tr>
      <w:tr>
        <w:tc>
          <w:tcPr>
            <w:tcW w:type="dxa" w:w="2882"/>
            <w:vAlign w:val="center"/>
            <w:tcW w:w="0" w:type="auto"/>
          </w:tcPr>
          <w:p>
            <w:pPr>
              <w:jc w:val="center"/>
            </w:pPr>
            <w:r>
              <w:rPr>
                <w:rFonts w:ascii="Times New Roman" w:hAnsi="Times New Roman" w:eastAsia="FangSong"/>
                <w:b w:val="0"/>
                <w:i w:val="0"/>
                <w:color w:val="000000"/>
                <w:sz w:val="24"/>
                <w:u w:val="none"/>
              </w:rPr>
              <w:t>软件许可费</w:t>
            </w:r>
          </w:p>
        </w:tc>
        <w:tc>
          <w:tcPr>
            <w:tcW w:type="dxa" w:w="2882"/>
            <w:tcW w:w="0" w:type="auto"/>
          </w:tcPr>
          <w:p>
            <w:pPr>
              <w:jc w:val="left"/>
            </w:pPr>
            <w:r>
              <w:rPr>
                <w:rFonts w:ascii="Times New Roman" w:hAnsi="Times New Roman" w:eastAsia="FangSong"/>
                <w:b w:val="0"/>
                <w:i w:val="0"/>
                <w:color w:val="000000"/>
                <w:sz w:val="24"/>
                <w:u w:val="none"/>
              </w:rPr>
              <w:t>终端DLP：3500台PC×300元/台=105万；</w:t>
              <w:br/>
              <w:t>桌面管理系统：3500台PC×200元/台=70万；</w:t>
              <w:br/>
              <w:t>EDR终端安全系统：3500台PC×100元/台=35万；</w:t>
              <w:br/>
              <w:t>透明加密系统：500台核心PC×500元/台=25万；</w:t>
              <w:br/>
              <w:t>零信任访问系统（含认证服务器+2500点并发授权+飞书集成模块费用，可支撑5000用户,约1万终端）：75万</w:t>
              <w:br/>
              <w:t>数据安全交换平台：分布式部署10套，20万*10=200万  （合计: 5000用户，200TB空间：）</w:t>
            </w:r>
          </w:p>
        </w:tc>
        <w:tc>
          <w:tcPr>
            <w:tcW w:type="dxa" w:w="2882"/>
            <w:tcW w:w="0" w:type="auto"/>
          </w:tcPr>
          <w:p>
            <w:pPr>
              <w:jc w:val="left"/>
            </w:pPr>
            <w:r>
              <w:rPr>
                <w:rFonts w:ascii="Times New Roman" w:hAnsi="Times New Roman" w:eastAsia="FangSong"/>
                <w:b w:val="0"/>
                <w:i w:val="0"/>
                <w:color w:val="000000"/>
                <w:sz w:val="24"/>
                <w:u w:val="none"/>
              </w:rPr>
              <w:t>510</w:t>
            </w:r>
          </w:p>
        </w:tc>
      </w:tr>
      <w:tr>
        <w:tc>
          <w:tcPr>
            <w:tcW w:type="dxa" w:w="2882"/>
            <w:vAlign w:val="center"/>
            <w:tcW w:w="0" w:type="auto"/>
          </w:tcPr>
          <w:p>
            <w:pPr>
              <w:jc w:val="center"/>
            </w:pPr>
            <w:r>
              <w:rPr>
                <w:rFonts w:ascii="Times New Roman" w:hAnsi="Times New Roman" w:eastAsia="FangSong"/>
                <w:b w:val="0"/>
                <w:i w:val="0"/>
                <w:color w:val="000000"/>
                <w:sz w:val="24"/>
                <w:u w:val="none"/>
              </w:rPr>
              <w:t>实施服务费</w:t>
            </w:r>
          </w:p>
        </w:tc>
        <w:tc>
          <w:tcPr>
            <w:tcW w:type="dxa" w:w="2882"/>
            <w:tcW w:w="0" w:type="auto"/>
          </w:tcPr>
          <w:p>
            <w:pPr>
              <w:jc w:val="left"/>
            </w:pPr>
            <w:r>
              <w:rPr>
                <w:rFonts w:ascii="Times New Roman" w:hAnsi="Times New Roman" w:eastAsia="FangSong"/>
                <w:b w:val="0"/>
                <w:i w:val="0"/>
                <w:color w:val="000000"/>
                <w:sz w:val="24"/>
                <w:u w:val="none"/>
              </w:rPr>
              <w:t>系统部署、分级策略配置、兼容性测试（覆盖矿业专业软件及飞书客户端）、数据迁移支持、零信任与飞书集成调试，按软件许可费的15%计算（规模扩大降低费率）</w:t>
            </w:r>
          </w:p>
        </w:tc>
        <w:tc>
          <w:tcPr>
            <w:tcW w:type="dxa" w:w="2882"/>
            <w:tcW w:w="0" w:type="auto"/>
          </w:tcPr>
          <w:p>
            <w:pPr>
              <w:jc w:val="left"/>
            </w:pPr>
            <w:r>
              <w:rPr>
                <w:rFonts w:ascii="Times New Roman" w:hAnsi="Times New Roman" w:eastAsia="FangSong"/>
                <w:b w:val="0"/>
                <w:i w:val="0"/>
                <w:color w:val="000000"/>
                <w:sz w:val="24"/>
                <w:u w:val="none"/>
              </w:rPr>
              <w:t>35</w:t>
            </w:r>
          </w:p>
        </w:tc>
      </w:tr>
      <w:tr>
        <w:tc>
          <w:tcPr>
            <w:tcW w:type="dxa" w:w="2882"/>
            <w:vAlign w:val="center"/>
            <w:tcW w:w="0" w:type="auto"/>
          </w:tcPr>
          <w:p>
            <w:pPr>
              <w:jc w:val="center"/>
            </w:pPr>
            <w:r>
              <w:rPr>
                <w:rFonts w:ascii="Times New Roman" w:hAnsi="Times New Roman" w:eastAsia="FangSong"/>
                <w:b w:val="0"/>
                <w:i w:val="0"/>
                <w:color w:val="000000"/>
                <w:sz w:val="24"/>
                <w:u w:val="none"/>
              </w:rPr>
              <w:t>培训费用</w:t>
            </w:r>
          </w:p>
        </w:tc>
        <w:tc>
          <w:tcPr>
            <w:tcW w:type="dxa" w:w="2882"/>
            <w:tcW w:w="0" w:type="auto"/>
          </w:tcPr>
          <w:p>
            <w:pPr>
              <w:jc w:val="left"/>
            </w:pPr>
            <w:r>
              <w:rPr>
                <w:rFonts w:ascii="Times New Roman" w:hAnsi="Times New Roman" w:eastAsia="FangSong"/>
                <w:b w:val="0"/>
                <w:i w:val="0"/>
                <w:color w:val="000000"/>
                <w:sz w:val="24"/>
                <w:u w:val="none"/>
              </w:rPr>
              <w:t>分层培训：管理员进阶培训（含飞书集成运维）、核心PC用户专项培训、全量员工线上培训（含飞书安全操作），含教材、讲师、线上平台费用</w:t>
            </w:r>
          </w:p>
        </w:tc>
        <w:tc>
          <w:tcPr>
            <w:tcW w:type="dxa" w:w="2882"/>
            <w:tcW w:w="0" w:type="auto"/>
          </w:tcPr>
          <w:p>
            <w:pPr>
              <w:jc w:val="left"/>
            </w:pPr>
            <w:r>
              <w:rPr>
                <w:rFonts w:ascii="Times New Roman" w:hAnsi="Times New Roman" w:eastAsia="FangSong"/>
                <w:b w:val="0"/>
                <w:i w:val="0"/>
                <w:color w:val="000000"/>
                <w:sz w:val="24"/>
                <w:u w:val="none"/>
              </w:rPr>
              <w:t>5</w:t>
            </w:r>
          </w:p>
        </w:tc>
      </w:tr>
      <w:tr>
        <w:tc>
          <w:tcPr>
            <w:tcW w:type="dxa" w:w="2882"/>
            <w:vAlign w:val="center"/>
            <w:tcW w:w="0" w:type="auto"/>
          </w:tcPr>
          <w:p>
            <w:pPr>
              <w:jc w:val="center"/>
            </w:pPr>
            <w:r>
              <w:rPr>
                <w:rFonts w:ascii="Times New Roman" w:hAnsi="Times New Roman" w:eastAsia="FangSong"/>
                <w:b w:val="0"/>
                <w:i w:val="0"/>
                <w:color w:val="000000"/>
                <w:sz w:val="24"/>
                <w:u w:val="none"/>
              </w:rPr>
              <w:t>运维费用（首年）</w:t>
            </w:r>
          </w:p>
        </w:tc>
        <w:tc>
          <w:tcPr>
            <w:tcW w:type="dxa" w:w="2882"/>
            <w:tcW w:w="0" w:type="auto"/>
          </w:tcPr>
          <w:p>
            <w:pPr>
              <w:jc w:val="left"/>
            </w:pPr>
            <w:r>
              <w:rPr>
                <w:rFonts w:ascii="Times New Roman" w:hAnsi="Times New Roman" w:eastAsia="FangSong"/>
                <w:b w:val="0"/>
                <w:i w:val="0"/>
                <w:color w:val="000000"/>
                <w:sz w:val="24"/>
                <w:u w:val="none"/>
              </w:rPr>
              <w:t>软件版本升级、7×24小时技术支持、季度策略优化、飞书集成模块维护，</w:t>
            </w:r>
          </w:p>
        </w:tc>
        <w:tc>
          <w:tcPr>
            <w:tcW w:type="dxa" w:w="2882"/>
            <w:tcW w:w="0" w:type="auto"/>
          </w:tcPr>
          <w:p>
            <w:pPr>
              <w:jc w:val="left"/>
            </w:pPr>
            <w:r>
              <w:rPr>
                <w:rFonts w:ascii="Times New Roman" w:hAnsi="Times New Roman" w:eastAsia="FangSong"/>
                <w:b w:val="0"/>
                <w:i w:val="0"/>
                <w:color w:val="000000"/>
                <w:sz w:val="24"/>
                <w:u w:val="none"/>
              </w:rPr>
              <w:t>0</w:t>
            </w:r>
          </w:p>
        </w:tc>
      </w:tr>
      <w:tr>
        <w:tc>
          <w:tcPr>
            <w:tcW w:type="dxa" w:w="2882"/>
            <w:vAlign w:val="center"/>
            <w:tcW w:w="0" w:type="auto"/>
          </w:tcPr>
          <w:p>
            <w:pPr>
              <w:jc w:val="center"/>
            </w:pPr>
            <w:r>
              <w:rPr>
                <w:rFonts w:ascii="Times New Roman" w:hAnsi="Times New Roman" w:eastAsia="FangSong"/>
                <w:b w:val="0"/>
                <w:i w:val="0"/>
                <w:color w:val="000000"/>
                <w:sz w:val="24"/>
                <w:u w:val="none"/>
              </w:rPr>
              <w:t>合计</w:t>
            </w:r>
          </w:p>
        </w:tc>
        <w:tc>
          <w:tcPr>
            <w:tcW w:type="dxa" w:w="2882"/>
            <w:tcW w:w="0" w:type="auto"/>
          </w:tcPr>
          <w:p>
            <w:pPr>
              <w:jc w:val="left"/>
            </w:pPr>
            <w:r>
              <w:rPr>
                <w:rFonts w:ascii="Times New Roman" w:hAnsi="Times New Roman" w:eastAsia="FangSong"/>
                <w:b w:val="0"/>
                <w:i w:val="0"/>
                <w:color w:val="000000"/>
                <w:sz w:val="24"/>
                <w:u w:val="none"/>
              </w:rPr>
              <w:t>-</w:t>
            </w:r>
          </w:p>
        </w:tc>
        <w:tc>
          <w:tcPr>
            <w:tcW w:type="dxa" w:w="2882"/>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实施规划（总周期16周）</w:t>
      </w:r>
    </w:p>
    <w:p>
      <w:pPr>
        <w:pStyle w:val="Heading3"/>
        <w:jc w:val="left"/>
        <w:spacing w:before="0" w:after="0" w:line="360" w:lineRule="auto"/>
      </w:pPr>
      <w:r>
        <w:rPr>
          <w:rFonts w:ascii="Times New Roman" w:hAnsi="Times New Roman" w:eastAsia="宋体"/>
          <w:b/>
          <w:i w:val="0"/>
          <w:color w:val="000000"/>
          <w:sz w:val="28"/>
          <w:u w:val="none"/>
        </w:rPr>
        <w:t>阶段1：筹备与调研（第1-3周）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成立项目组：IT部门、安全部门、业务部门（采矿、财务、招投标）核心代表组成专项小组，明确500台核心PC清单。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需求细化：区分核心与普通PC的防护需求，梳理核心PC敏感文件类型、普通PC办公流程，制定分级加密与管控规则。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供应商选型：深信服（DLP+零信任，支持飞书集成）、ipguard（桌管+加密）、深信服（EDR）等厂商，</w:t>
      </w:r>
    </w:p>
    <w:p>
      <w:pPr>
        <w:ind w:firstLineChars="200"/>
        <w:spacing w:before="0" w:after="0" w:line="360" w:lineRule="auto"/>
      </w:pPr>
      <w:r>
        <w:rPr>
          <w:rFonts w:ascii="Times New Roman" w:hAnsi="Times New Roman" w:eastAsia="宋体"/>
          <w:b w:val="0"/>
          <w:i w:val="0"/>
          <w:color w:val="000000"/>
          <w:sz w:val="24"/>
          <w:u w:val="none"/>
        </w:rPr>
        <w:t>环境调研：采集5000台PC硬件配置、操作系统版本、安装软件清单，重点核查矿业专业软件及飞书客户端兼容性；梳理飞书现有组织架构、应用授权、使用场景，形成飞书集成需求清单。</w:t>
      </w:r>
    </w:p>
    <w:p>
      <w:pPr>
        <w:pStyle w:val="Heading4"/>
        <w:jc w:val="left"/>
        <w:spacing w:before="0" w:after="0" w:line="360" w:lineRule="auto"/>
      </w:pPr>
      <w:r>
        <w:rPr>
          <w:rFonts w:ascii="Times New Roman" w:hAnsi="Times New Roman" w:eastAsia="宋体"/>
          <w:b/>
          <w:i w:val="0"/>
          <w:color w:val="000000"/>
          <w:sz w:val="24"/>
          <w:u w:val="none"/>
        </w:rPr>
        <w:t>阶段2：部署与配置（第4-9周）</w:t>
      </w:r>
    </w:p>
    <w:p>
      <w:pPr>
        <w:ind w:firstLineChars="200"/>
        <w:spacing w:before="0" w:after="0" w:line="360" w:lineRule="auto"/>
      </w:pPr>
      <w:r>
        <w:rPr>
          <w:rFonts w:ascii="Times New Roman" w:hAnsi="Times New Roman" w:eastAsia="宋体"/>
          <w:b w:val="0"/>
          <w:i w:val="0"/>
          <w:color w:val="000000"/>
          <w:sz w:val="24"/>
          <w:u w:val="none"/>
        </w:rPr>
        <w:t>管理平台搭建：部署统一安全管理服务器集群（支撑5000台终端），完成系统初始化、数据库配置、多系统整合调试；重点完成零信任系统与飞书开放平台的接口对接，实现身份同步、权限联动、日志采集。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宋体"/>
          <w:b w:val="0"/>
          <w:i w:val="0"/>
          <w:color w:val="000000"/>
          <w:sz w:val="24"/>
          <w:u w:val="none"/>
        </w:rPr>
        <w:t>终端部署分批实施：第4-5周部署500台核心PC（加密+桌管+DLP+EDR+零信任）；第6-9周分4批部署4500台普通PC（桌管+DLP+EDR+零信任），每批1125台，避免网络拥堵。</w:t>
      </w:r>
    </w:p>
    <w:p>
      <w:pPr>
        <w:ind w:firstLineChars="200"/>
        <w:spacing w:before="0" w:after="0" w:line="360" w:lineRule="auto"/>
      </w:pPr>
      <w:r>
        <w:rPr>
          <w:rFonts w:ascii="Times New Roman" w:hAnsi="Times New Roman" w:eastAsia="宋体"/>
          <w:b w:val="0"/>
          <w:i w:val="0"/>
          <w:color w:val="000000"/>
          <w:sz w:val="24"/>
          <w:u w:val="none"/>
        </w:rPr>
        <w:t>分级策略配置：核心PC启用高强度加密+严格外发管控（含飞书）+EDR深度检测；普通PC启用基础加密（可选）+标准外发管控（含飞书）+EDR标准检测；基于飞书组织架构配置零信任权限策略，同步测试飞书审批流程与DLP联动效果。</w:t>
      </w:r>
    </w:p>
    <w:p>
      <w:pPr>
        <w:ind w:firstLineChars="200"/>
        <w:spacing w:before="0" w:after="0" w:line="360" w:lineRule="auto"/>
      </w:pPr>
      <w:r>
        <w:rPr>
          <w:rFonts w:ascii="Times New Roman" w:hAnsi="Times New Roman" w:eastAsia="宋体"/>
          <w:b w:val="0"/>
          <w:i w:val="0"/>
          <w:color w:val="000000"/>
          <w:sz w:val="24"/>
          <w:u w:val="none"/>
        </w:rPr>
        <w:t>兼容性测试：专项测试核心PC上矿业设计软件（如AutoCAD Mining）、财务软件与加密/EDR的兼容性；测试飞书客户端与零信任代理、DLP终端代理的兼容性，验证飞书登录认证、文件发送、应用访问等场景的防护效果，解决冲突问题。</w:t>
      </w:r>
    </w:p>
    <w:p>
      <w:pPr>
        <w:pStyle w:val="Heading4"/>
        <w:jc w:val="left"/>
        <w:spacing w:before="0" w:after="0" w:line="360" w:lineRule="auto"/>
      </w:pPr>
      <w:r>
        <w:rPr>
          <w:rFonts w:ascii="Times New Roman" w:hAnsi="Times New Roman" w:eastAsia="宋体"/>
          <w:b/>
          <w:i w:val="0"/>
          <w:color w:val="000000"/>
          <w:sz w:val="24"/>
          <w:u w:val="none"/>
        </w:rPr>
        <w:t>阶段3：测试与优化（第10-13周）</w:t>
      </w:r>
    </w:p>
    <w:p>
      <w:pPr>
        <w:ind w:firstLineChars="200"/>
        <w:spacing w:before="0" w:after="0" w:line="360" w:lineRule="auto"/>
      </w:pPr>
      <w:r>
        <w:rPr>
          <w:rFonts w:ascii="Times New Roman" w:hAnsi="Times New Roman" w:eastAsia="宋体"/>
          <w:b w:val="0"/>
          <w:i w:val="0"/>
          <w:color w:val="000000"/>
          <w:sz w:val="24"/>
          <w:u w:val="none"/>
        </w:rPr>
        <w:t>功能测试：分核心/普通PC测试加密/解密、DLP外发阻断（重点测试飞书渠道）、EDR威胁拦截（重点测试飞书接收文件场景）、零信任认证（重点测试飞书入口认证）等核心功能，覆盖率100%。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压力测试：模拟5000台终端同时在线、核心PC批量加密文件场景，验证平台稳定性，确保CPU占用率低于80%。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场景测试：模拟核心PC通过飞书发送敏感文件、普通PC通过飞书接收恶意文件、未授权终端通过飞书尝试访问核心资源等12类高风险场景，验证防护效果。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优化调整：收集各部门反馈，优化EDR检测规则（降低误报率）、调整核心PC加密白名单（适配专业软件），提升用户体验。</w:t>
      </w:r>
    </w:p>
    <w:p>
      <w:pPr>
        <w:pStyle w:val="Heading4"/>
        <w:jc w:val="left"/>
        <w:spacing w:before="0" w:after="0" w:line="360" w:lineRule="auto"/>
      </w:pPr>
      <w:r>
        <w:rPr>
          <w:rFonts w:ascii="Times New Roman" w:hAnsi="Times New Roman" w:eastAsia="宋体"/>
          <w:b/>
          <w:i w:val="0"/>
          <w:color w:val="000000"/>
          <w:sz w:val="24"/>
          <w:u w:val="none"/>
        </w:rPr>
        <w:t>阶段4：验收与培训（第14-16周）</w:t>
      </w:r>
    </w:p>
    <w:p>
      <w:pPr>
        <w:ind w:firstLineChars="200"/>
        <w:spacing w:before="0" w:after="0" w:line="360" w:lineRule="auto"/>
      </w:pPr>
      <w:r>
        <w:rPr>
          <w:rFonts w:ascii="Times New Roman" w:hAnsi="Times New Roman" w:eastAsia="宋体"/>
          <w:b w:val="0"/>
          <w:i w:val="0"/>
          <w:color w:val="000000"/>
          <w:sz w:val="24"/>
          <w:u w:val="none"/>
        </w:rPr>
        <w:t>分层培训：第14周开展管理员进阶培训（平台运维、策略优化、应急处置、飞书集成维护）；第15周开展核心PC用户专项培训（加密操作、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宋体"/>
          <w:b w:val="0"/>
          <w:i w:val="0"/>
          <w:color w:val="000000"/>
          <w:sz w:val="24"/>
          <w:u w:val="none"/>
        </w:rPr>
        <w:t>应急演练：模拟核心PC加密文件损坏、EDR拦截勒索软件等场景，测试管理员应急处置能力。</w:t>
      </w:r>
    </w:p>
    <w:p>
      <w:pPr>
        <w:ind w:firstLineChars="200"/>
        <w:spacing w:before="0" w:after="0" w:line="360" w:lineRule="auto"/>
      </w:pPr>
      <w:r>
        <w:rPr>
          <w:rFonts w:ascii="Times New Roman" w:hAnsi="Times New Roman" w:eastAsia="宋体"/>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宋体"/>
          <w:b/>
          <w:i w:val="0"/>
          <w:color w:val="000000"/>
          <w:sz w:val="30"/>
          <w:u w:val="none"/>
        </w:rPr>
        <w:t>项目风险防范</w:t>
      </w:r>
    </w:p>
    <w:p>
      <w:pPr>
        <w:ind w:firstLineChars="200"/>
        <w:spacing w:before="0" w:after="0" w:line="360" w:lineRule="auto"/>
      </w:pPr>
      <w:r>
        <w:rPr>
          <w:rFonts w:ascii="Times New Roman" w:hAnsi="Times New Roman" w:eastAsia="宋体"/>
          <w:b w:val="0"/>
          <w:i w:val="0"/>
          <w:color w:val="000000"/>
          <w:sz w:val="24"/>
          <w:u w:val="none"/>
        </w:rPr>
        <w:t>核心PC矿业专业软件与加密/EDR不兼容，影响生产设计；5000台终端同时在线导致平台卡顿；零信任与飞书集成出现接口异常，影响登录或文件传输。</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