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金诚信矿业股份有限公司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2026-04-02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金诚信矿业终端安全解决方案双版对比及核心能力介绍</w:t>
      </w:r>
    </w:p>
    <w:p>
      <w:pPr>
        <w:pStyle w:val="Heading1"/>
        <w:jc w:val="left"/>
      </w:pPr>
      <w:r>
        <w:t>一、两版方案核心差异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两款方案均围绕金诚信矿业 数据防泄密、终端访问安全 核心需求设计，适配矿业业务特点，核心差异体现在</w:t>
      </w:r>
    </w:p>
    <w:p>
      <w:pPr>
        <w:pStyle w:val="Heading2"/>
        <w:jc w:val="left"/>
      </w:pPr>
      <w:r>
        <w:t>防护范围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、预算与落地深度，满足不同阶段建设需求，具体对比如下：</w:t>
      </w:r>
    </w:p>
    <w:p>
      <w:pPr>
        <w:pStyle w:val="Heading2"/>
        <w:jc w:val="left"/>
      </w:pPr>
      <w:r>
        <w:t>对比维度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方案一（全面防护版） 方案二（轻量化防护版）</w:t>
      </w:r>
    </w:p>
    <w:p>
      <w:pPr>
        <w:pStyle w:val="Heading2"/>
        <w:jc w:val="left"/>
      </w:pPr>
      <w:r>
        <w:t>核心预算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约500万元 约100万元</w:t>
      </w:r>
    </w:p>
    <w:p>
      <w:pPr>
        <w:pStyle w:val="Heading2"/>
        <w:jc w:val="left"/>
      </w:pPr>
      <w:r>
        <w:t>防护理念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全链路闭环防护，覆盖终端安全全场景 聚焦核心风险，仅解决终端泄密、未授权访问问题</w:t>
      </w:r>
    </w:p>
    <w:p>
      <w:pPr>
        <w:pStyle w:val="Heading2"/>
        <w:jc w:val="left"/>
      </w:pPr>
      <w:r>
        <w:t>核心模块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透明加密、DLP、桌管、EDR、零信任、数据安全交换平台、统一管理平台 仅终端DLP+零信任（集成飞书）双核心模块</w:t>
      </w:r>
    </w:p>
    <w:p>
      <w:pPr>
        <w:pStyle w:val="Heading2"/>
        <w:jc w:val="left"/>
      </w:pPr>
      <w:r>
        <w:t>终端策略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500台核心PC全模块部署，5000台普通PC分级部署 全量终端统一部署DLP+零信任，无差异化配置 防护范围 数据安全、终端安全、访问安全、统一管理全覆盖 仅覆盖数据外发管控、访问身份认证，无独立终端防护与管理</w:t>
      </w:r>
    </w:p>
    <w:p>
      <w:pPr>
        <w:pStyle w:val="Heading2"/>
        <w:jc w:val="left"/>
      </w:pPr>
      <w:r>
        <w:t>飞书集成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深度联动认证、审批、日志、告警全流程 基础集成，仅实现飞书作为零信任入口+文件外发管控</w:t>
      </w:r>
    </w:p>
    <w:p>
      <w:pPr>
        <w:pStyle w:val="Heading2"/>
        <w:jc w:val="left"/>
      </w:pPr>
      <w:r>
        <w:t>落地周期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16周，四阶段标准化实施 8-10周，简化流程快速落地</w:t>
      </w:r>
    </w:p>
    <w:p>
      <w:pPr>
        <w:pStyle w:val="Heading2"/>
        <w:jc w:val="left"/>
      </w:pPr>
      <w:r>
        <w:t>建设目标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满足上市公司全维度合规，构建长期可扩展安全体系 低成本快速落地，满足企业基础合规与核心风险防护 两款方案均兼容矿业CAD、工程软件等专业格式及飞书办公场景，不影响核心业务开展。</w:t>
      </w:r>
    </w:p>
    <w:p>
      <w:pPr>
        <w:pStyle w:val="Heading1"/>
        <w:jc w:val="left"/>
      </w:pPr>
      <w:r>
        <w:t>二、零信任+DLP核心组合具体功能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零信任+DLP是两款方案的共性核心模块，协同实现 访问源头管控+数据流转防护 ，精准解决矿业终端核心安全风险，深度适配飞书办公场景：</w:t>
      </w:r>
    </w:p>
    <w:p>
      <w:pPr>
        <w:pStyle w:val="Heading2"/>
        <w:jc w:val="left"/>
      </w:pPr>
      <w:r>
        <w:t>（一）零信任访问控制（集成飞书）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飞书作为统一身份入口，登录后自动触发零信任认证，无需额外操作，贴合办公习惯； 采用 飞书原生认证+终端安全状态校验 双重机制，仅合规终端可访问内部资源，未授权终端禁止接入； 同步飞书组织架构，按岗位实现最小权限分配，核心资源专人专权，访问核心应用需飞书二次认证； 支持远程办公通过飞书零信任安全接入，替代传统VPN，终端出现风险时动态冻结访问权限。</w:t>
      </w:r>
    </w:p>
    <w:p>
      <w:pPr>
        <w:pStyle w:val="Heading2"/>
        <w:jc w:val="left"/>
      </w:pPr>
      <w:r>
        <w:t>（二）终端DLP防护系统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管控邮件、U盘、微信等全外发渠道， 重点聚焦飞书聊天、云文档、邮件 全场景文件外发，实现无死角监控； 支持关键词、正则表达式、文件指纹多维度识别矿业敏感数据（采矿方案、储量数据等），飞书内容实时扫描； 针对违规外发采取 阻断告警、加密外发、审批外发 三种差异化策略，审批流程与飞书联动，线上高效处理； 记录所有数据操作审计日志，支持多维度检索，兼容矿业所有专业文件格式，防护不影响文件正常编辑。</w:t>
      </w:r>
    </w:p>
    <w:p>
      <w:pPr>
        <w:pStyle w:val="Heading2"/>
        <w:jc w:val="left"/>
      </w:pPr>
      <w:r>
        <w:t>（三）二者协同联动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1"/>
        <w:jc w:val="left"/>
      </w:pPr>
      <w:r>
        <w:t>三、无感知安装部署，最小化影响终端用户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部署遵循 业务无感知、操作无影响、防护后台化 原则，针对矿业5000台终端、多岗位、依赖专业软件的特点，分三阶段实施，最大限度降低对用户的影响：</w:t>
      </w:r>
    </w:p>
    <w:p>
      <w:pPr>
        <w:pStyle w:val="Heading2"/>
        <w:jc w:val="left"/>
      </w:pPr>
      <w:r>
        <w:t>（一）部署前：充分调研，提前适配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全量采集终端硬件、系统、专业软件及飞书版本信息，定制化部署包；搭建测试环境，专项验证安全客户端与矿业专业软件、飞书的兼容性，提前解决冲突；按 非核心→一般→核心部门 规划分批次部署，降低核心业务风险。</w:t>
      </w:r>
    </w:p>
    <w:p>
      <w:pPr>
        <w:pStyle w:val="Heading2"/>
        <w:jc w:val="left"/>
      </w:pPr>
      <w:r>
        <w:t>（二）部署中：静默安装，错峰实施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2"/>
        <w:jc w:val="left"/>
      </w:pPr>
      <w:r>
        <w:t>（三）部署后：后台运行，轻量化运营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安全客户端后台静默运行，无桌面图标，防护策略自动执行，用户办公操作与部署前无差异；按核心/普通PC制定差异化防护策略，避免过度管控；采用 线上简易手册+短时长专项培训 ，降低用户学习成本，全量员工仅需了解基础安全规则。 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  <w:jc w:val="left"/>
      </w:pPr>
      <w:r>
        <w:t>四、方案选择建议</w:t>
      </w:r>
    </w:p>
    <w:p>
      <w:r>
        <w:rPr>
          <w:rFonts w:ascii="Times New Roman" w:hAnsi="Times New Roman"/>
          <w:b w:val="0"/>
          <w:i w:val="0"/>
          <w:color w:val="000000"/>
          <w:sz w:val="16"/>
          <w:u w:val="none"/>
        </w:rPr>
        <w:t>两款方案均贴合金诚信矿业核心安全需求，可根据企业实际灵活选择： 若需 一次性解决所有终端安全风险 ，满足上市公司全维度合规要求，构建长期可扩展、可统一管理的安全体系，选择 方案一（全面防护版） ； 若预算有限，需 低成本、短周期快速落地 ，仅解决终端泄密与未授权访问核心风险，满足基础合规要求，选择 方案二（轻量化防护版） 。 两款方案支持无缝升级扩展，若先部署方案二，后续可直接新增加密、EDR、统一管理等模块，无需重新部署，最大限度降低后期建设成本。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inline xmlns:a="http://schemas.openxmlformats.org/drawingml/2006/main" xmlns:pic="http://schemas.openxmlformats.org/drawingml/2006/picture">
          <wp:extent cx="485775" cy="38544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mbria" w:hAnsi="Cambria"/>
      </w:rPr>
      <w:t>北京昱华源码科技有限公司</w:t>
    </w:r>
  </w:p>
  <w:p>
    <w:pPr>
      <w:pBdr>
        <w:top w:val="thinThickSmallGap" w:color="622423" w:sz="24" w:space="1"/>
      </w:pBdr>
      <w:ind w:firstLine="1080" w:firstLineChars="600"/>
      <w:spacing w:before="0" w:after="0" w:line="240" w:lineRule="auto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312"/>
      </w:tabs>
    </w:pPr>
    <w:r>
      <w:t>金诚信矿业股份有限公司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