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Client: 金诚信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Project: 数据防泄密方案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Version: v1.0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Date: 2026-04-02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和豆包的对话_0331 金诚信矿业终端安全解决方案双版对比及核心能力介绍 一、两版方案核心差异 两款方案均围绕金诚信矿业 数据防泄密、终端访问安全 核心需求设计，适配矿业业务特点，核心差异体现在防护范围、预算与落地深度，满足不同阶段建设需求，具体对比如下： 对比维度 方案一（全面防护版） 方案二（轻量化防护版） 核心预算 约500万元 约100万元 防护理念 全链路闭环防护，覆盖终端安全全场景 聚焦核心风险，仅解决终端泄密、未授权访问问题 核心模块 透明加密、DLP、桌管、EDR、零信任、数据安全交换平台、统一管理平台 仅终端DLP+零信任（集成飞书）双核心模块 终端策略 500台核心PC全模块部署，5000台普通PC分级部署 全量终端统一部署DLP+零信任，无差异化配置 防护范围 数据安全、终端安全、访问安全、统一管理全覆盖 仅覆盖数据外发管控、访问身份认证，无独立终端防护与管理 飞书集成 深度联动认证、审批、日志、告警全流程 基础集成，仅实现飞书作为零信任入口+文件外发管控 落地周期 16周，四阶段标准化实施 8-10周，简化流程快速落地 建设目标 满足上市公司全维度合规，构建长期可扩展安全体系 低成本快速落地，满足企业基础合规与核心风险防护 两款方案均兼容矿业CAD、工程软件等专业格式及飞书办公场景，不影响核心业务开展。 二、零信任+DLP核心组合具体功能 零信任+DLP是两款方案的共性核心模块，协同实现 访问源头管控+数据流转防护 ，精准解决矿业终端核心安全风险，深度适配飞书办公场景： （一）零信任访问控制（集成飞书） 飞书作为统一身份入口，登录后自动触发零信任认证，无需额外操作，贴合办公习惯； 采用 飞书原生认证+终端安全状态校验 双重机制，仅合规终端可访问内部资源，未授权终端禁止接入； 同步飞书组织架构，按岗位实现最小权限分配，核心资源专人专权，访问核心应用需飞书二次认证； 支持远程办公通过飞书零信任安全接入，替代传统VPN，终端出现风险时动态冻结访问权限。 （二）终端DLP防护系统 管控邮件、U盘、微信等全外发渠道， 重点聚焦飞书聊天、云文档、邮件 全场景文件外发，实现无死角监控； 支持关键词、正则表达式、文件指纹多维度识别矿业敏感数据（采矿方案、储量数据等），飞书内容实时扫描； 针对违规外发采取 阻断告警、加密外发、审批外发 三种差异化策略，审批流程与飞书联动，线上高效处理； 记录所有数据操作审计日志，支持多维度检索，兼容矿业所有专业文件格式，防护不影响文件正常编辑。 （三）二者协同联动 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 三、无感知安装部署，最小化影响终端用户 部署遵循 业务无感知、操作无影响、防护后台化 原则，针对矿业5000台终端、多岗位、依赖专业软件的特点，分三阶段实施，最大限度降低对用户的影响： （一）部署前：充分调研，提前适配 全量采集终端硬件、系统、专业软件及飞书版本信息，定制化部署包；搭建测试环境，专项验证安全客户端与矿业专业软件、飞书的兼容性，提前解决冲突；按 非核心→一般→核心部门 规划分批次部署，降低核心业务风险。 （二）部署中：静默安装，错峰实施 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 （三）部署后：后台运行，轻量化运营 安全客户端后台静默运行，无桌面图标，防护策略自动执行，用户办公操作与部署前无差异；按核心/普通PC制定差异化防护策略，避免过度管控；采用 线上简易手册+短时长专项培训 ，降低用户学习成本，全量员工仅需了解基础安全规则。 同时建立7×24小时飞书答疑通道，30分钟内响应解决用户问题；后续系统升级、策略优化均后台远程完成，且搭建应急回滚机制，极端情况可远程卸载客户端，快速恢复终端状态，保障业务连续性。 四、方案选择建议 两款方案均贴合金诚信矿业核心安全需求，可根据企业实际灵活选择： 若需 一次性解决所有终端安全风险 ，满足上市公司全维度合规要求，构建长期可扩展、可统一管理的安全体系，选择 方案一（全面防护版） ； 若预算有限，需 低成本、短周期快速落地 ，仅解决终端泄密与未授权访问核心风险，满足基础合规要求，选择 方案二（轻量化防护版） 。 两款方案支持无缝升级扩展，若先部署方案二，后续可直接新增加密、EDR、统一管理等模块，无需重新部署，最大限度降低后期建设成本。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</w:pPr>
    <w:r>
      <w:t>金诚信</w:t>
    </w:r>
    <w:r>
      <w:tab/>
    </w:r>
    <w:r>
      <w:t>数据防泄密方案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