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金诚信矿业股份有限公司</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r>
        <w:t>请在 Word 中按 Ctrl+A 全选后按 F9 更新目录</w:t>
      </w:r>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一、项目概况</w:t>
      </w:r>
    </w:p>
    <w:p>
      <w:r>
        <w:br w:type="page"/>
      </w:r>
    </w:p>
    <w:p>
      <w:pPr>
        <w:pStyle w:val="Heading2"/>
        <w:jc w:val="left"/>
        <w:spacing w:before="0" w:after="0" w:line="360" w:lineRule="auto"/>
      </w:pPr>
      <w:r>
        <w:rPr>
          <w:rFonts w:ascii="Times New Roman" w:hAnsi="Times New Roman" w:eastAsia="宋体"/>
          <w:b/>
          <w:i w:val="0"/>
          <w:color w:val="000000"/>
          <w:sz w:val="30"/>
          <w:u w:val="none"/>
        </w:rPr>
        <w:t>1.1项目背景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机房环境改造：</w:t>
      </w:r>
    </w:p>
    <w:p>
      <w:pPr>
        <w:ind w:firstLineChars="200"/>
        <w:spacing w:before="0" w:after="0" w:line="360" w:lineRule="auto"/>
      </w:pP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pPr>
        <w:ind w:firstLineChars="200"/>
        <w:spacing w:before="0" w:after="0" w:line="360" w:lineRule="auto"/>
      </w:pPr>
      <w:r>
        <w:rPr>
          <w:rFonts w:ascii="Times New Roman" w:hAnsi="Times New Roman" w:eastAsia="宋体"/>
          <w:b w:val="0"/>
          <w:i w:val="0"/>
          <w:color w:val="000000"/>
          <w:sz w:val="24"/>
          <w:u w:val="none"/>
        </w:rPr>
        <w:t>机房装修</w:t>
      </w:r>
    </w:p>
    <w:p>
      <w:pPr>
        <w:ind w:firstLineChars="200"/>
        <w:spacing w:before="0" w:after="0" w:line="360" w:lineRule="auto"/>
      </w:pPr>
      <w:r>
        <w:rPr>
          <w:rFonts w:ascii="Times New Roman" w:hAnsi="Times New Roman" w:eastAsia="宋体"/>
          <w:b w:val="0"/>
          <w:i w:val="0"/>
          <w:color w:val="000000"/>
          <w:sz w:val="24"/>
          <w:u w:val="none"/>
        </w:rPr>
        <w:t>电气工程</w:t>
      </w:r>
    </w:p>
    <w:p>
      <w:pPr>
        <w:ind w:firstLineChars="200"/>
        <w:spacing w:before="0" w:after="0" w:line="360" w:lineRule="auto"/>
      </w:pPr>
      <w:r>
        <w:rPr>
          <w:rFonts w:ascii="Times New Roman" w:hAnsi="Times New Roman" w:eastAsia="宋体"/>
          <w:b w:val="0"/>
          <w:i w:val="0"/>
          <w:color w:val="000000"/>
          <w:sz w:val="24"/>
          <w:u w:val="none"/>
        </w:rPr>
        <w:t>防雷接地</w:t>
      </w:r>
    </w:p>
    <w:p>
      <w:pPr>
        <w:ind w:firstLineChars="200"/>
        <w:spacing w:before="0" w:after="0" w:line="360" w:lineRule="auto"/>
      </w:pPr>
      <w:r>
        <w:rPr>
          <w:rFonts w:ascii="Times New Roman" w:hAnsi="Times New Roman" w:eastAsia="宋体"/>
          <w:b w:val="0"/>
          <w:i w:val="0"/>
          <w:color w:val="000000"/>
          <w:sz w:val="24"/>
          <w:u w:val="none"/>
        </w:rPr>
        <w:t>窗户封堵</w:t>
      </w:r>
    </w:p>
    <w:p>
      <w:pPr>
        <w:ind w:firstLineChars="200"/>
        <w:spacing w:before="0" w:after="0" w:line="360" w:lineRule="auto"/>
      </w:pPr>
      <w:r>
        <w:rPr>
          <w:rFonts w:ascii="Times New Roman" w:hAnsi="Times New Roman" w:eastAsia="宋体"/>
          <w:b w:val="0"/>
          <w:i w:val="0"/>
          <w:color w:val="000000"/>
          <w:sz w:val="24"/>
          <w:u w:val="none"/>
        </w:rPr>
        <w:t>新风排风</w:t>
      </w:r>
    </w:p>
    <w:p>
      <w:pPr>
        <w:ind w:firstLineChars="200"/>
        <w:spacing w:before="0" w:after="0" w:line="360" w:lineRule="auto"/>
      </w:pPr>
      <w:r>
        <w:rPr>
          <w:rFonts w:ascii="Times New Roman" w:hAnsi="Times New Roman" w:eastAsia="宋体"/>
          <w:b w:val="0"/>
          <w:i w:val="0"/>
          <w:color w:val="000000"/>
          <w:sz w:val="24"/>
          <w:u w:val="none"/>
        </w:rPr>
        <w:t>精密空调</w:t>
      </w:r>
    </w:p>
    <w:p>
      <w:pPr>
        <w:ind w:firstLineChars="200"/>
        <w:spacing w:before="0" w:after="0" w:line="360" w:lineRule="auto"/>
      </w:pPr>
      <w:r>
        <w:rPr>
          <w:rFonts w:ascii="Times New Roman" w:hAnsi="Times New Roman" w:eastAsia="宋体"/>
          <w:b w:val="0"/>
          <w:i w:val="0"/>
          <w:color w:val="000000"/>
          <w:sz w:val="24"/>
          <w:u w:val="none"/>
        </w:rPr>
        <w:t>消防气灭</w:t>
      </w:r>
    </w:p>
    <w:p>
      <w:pPr>
        <w:ind w:firstLineChars="200"/>
        <w:spacing w:before="0" w:after="0" w:line="360" w:lineRule="auto"/>
      </w:pPr>
      <w:r>
        <w:rPr>
          <w:rFonts w:ascii="Times New Roman" w:hAnsi="Times New Roman" w:eastAsia="宋体"/>
          <w:b w:val="0"/>
          <w:i w:val="0"/>
          <w:color w:val="000000"/>
          <w:sz w:val="24"/>
          <w:u w:val="none"/>
        </w:rPr>
        <w:t>UPS电力</w:t>
      </w:r>
    </w:p>
    <w:p>
      <w:pPr>
        <w:ind w:firstLineChars="200"/>
        <w:spacing w:before="0" w:after="0" w:line="360" w:lineRule="auto"/>
      </w:pPr>
      <w:r>
        <w:rPr>
          <w:rFonts w:ascii="Times New Roman" w:hAnsi="Times New Roman" w:eastAsia="宋体"/>
          <w:b w:val="0"/>
          <w:i w:val="0"/>
          <w:color w:val="000000"/>
          <w:sz w:val="24"/>
          <w:u w:val="none"/>
        </w:rPr>
        <w:t>机柜、布线</w:t>
      </w:r>
    </w:p>
    <w:p>
      <w:r>
        <w:br w:type="page"/>
      </w:r>
    </w:p>
    <w:p>
      <w:pPr>
        <w:pStyle w:val="Heading2"/>
        <w:jc w:val="left"/>
        <w:spacing w:before="0" w:after="0" w:line="360" w:lineRule="auto"/>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ind w:firstLineChars="200"/>
        <w:spacing w:before="0" w:after="0" w:line="360" w:lineRule="auto"/>
      </w:pPr>
      <w:r>
        <w:rPr>
          <w:rFonts w:ascii="Times New Roman" w:hAnsi="Times New Roman" w:eastAsia="宋体"/>
          <w:b w:val="0"/>
          <w:i w:val="0"/>
          <w:color w:val="000000"/>
          <w:sz w:val="24"/>
          <w:u w:val="none"/>
        </w:rPr>
        <w:t>接入交换机和核心交换机更换（7台24口接入、1台万兆核心）；</w:t>
      </w:r>
    </w:p>
    <w:p>
      <w:pPr>
        <w:ind w:firstLineChars="200"/>
        <w:spacing w:before="0" w:after="0" w:line="360" w:lineRule="auto"/>
      </w:pPr>
      <w:r>
        <w:rPr>
          <w:rFonts w:ascii="Times New Roman" w:hAnsi="Times New Roman" w:eastAsia="宋体"/>
          <w:b w:val="0"/>
          <w:i w:val="0"/>
          <w:color w:val="000000"/>
          <w:sz w:val="24"/>
          <w:u w:val="none"/>
        </w:rPr>
        <w:t>网络地址段规划及划分；（办公区、服务器区、互联网出口区等）</w:t>
      </w:r>
    </w:p>
    <w:p>
      <w:pPr>
        <w:ind w:firstLineChars="200"/>
        <w:spacing w:before="0" w:after="0" w:line="360" w:lineRule="auto"/>
      </w:pPr>
      <w:r>
        <w:rPr>
          <w:rFonts w:ascii="Times New Roman" w:hAnsi="Times New Roman" w:eastAsia="宋体"/>
          <w:b w:val="0"/>
          <w:i w:val="0"/>
          <w:color w:val="000000"/>
          <w:sz w:val="24"/>
          <w:u w:val="none"/>
        </w:rPr>
        <w:t>基础网管功能启用，实现端口、链路状态可视，能快速定位风险及故障；</w:t>
      </w:r>
    </w:p>
    <w:p>
      <w:pPr>
        <w:ind w:firstLineChars="200"/>
        <w:spacing w:before="0" w:after="0" w:line="360" w:lineRule="auto"/>
      </w:pPr>
      <w:r>
        <w:rPr>
          <w:rFonts w:ascii="Times New Roman" w:hAnsi="Times New Roman" w:eastAsia="宋体"/>
          <w:b w:val="0"/>
          <w:i w:val="0"/>
          <w:color w:val="000000"/>
          <w:sz w:val="24"/>
          <w:u w:val="none"/>
        </w:rPr>
        <w:t>武汉分支机构安全、稳定接入北京办公区网络；</w:t>
      </w:r>
    </w:p>
    <w:p>
      <w:pPr>
        <w:ind w:firstLineChars="200"/>
        <w:spacing w:before="0" w:after="0" w:line="360" w:lineRule="auto"/>
      </w:pPr>
      <w:r>
        <w:rPr>
          <w:rFonts w:ascii="Times New Roman" w:hAnsi="Times New Roman" w:eastAsia="宋体"/>
          <w:b w:val="0"/>
          <w:i w:val="0"/>
          <w:color w:val="000000"/>
          <w:sz w:val="24"/>
          <w:u w:val="none"/>
        </w:rPr>
        <w:t>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r>
    </w:p>
    <w:p>
      <w:pPr>
        <w:jc w:val="center"/>
      </w:pPr>
      <w:r>
        <w:drawing>
          <wp:inline xmlns:a="http://schemas.openxmlformats.org/drawingml/2006/main" xmlns:pic="http://schemas.openxmlformats.org/drawingml/2006/picture">
            <wp:extent cx="5486400" cy="4111557"/>
            <wp:docPr id="1" name="Picture 1"/>
            <wp:cNvGraphicFramePr>
              <a:graphicFrameLocks noChangeAspect="1"/>
            </wp:cNvGraphicFramePr>
            <a:graphic>
              <a:graphicData uri="http://schemas.openxmlformats.org/drawingml/2006/picture">
                <pic:pic>
                  <pic:nvPicPr>
                    <pic:cNvPr id="0" name="601ad09d-386f-4d8f-985b-6e4340a2e203.jpg"/>
                    <pic:cNvPicPr/>
                  </pic:nvPicPr>
                  <pic:blipFill>
                    <a:blip r:embed="rId9"/>
                    <a:stretch>
                      <a:fillRect/>
                    </a:stretch>
                  </pic:blipFill>
                  <pic:spPr>
                    <a:xfrm>
                      <a:off x="0" y="0"/>
                      <a:ext cx="5486400" cy="4111557"/>
                    </a:xfrm>
                    <a:prstGeom prst="rect"/>
                  </pic:spPr>
                </pic:pic>
              </a:graphicData>
            </a:graphic>
          </wp:inline>
        </w:drawing>
      </w:r>
    </w:p>
    <w:p>
      <w:r>
        <w:br w:type="page"/>
      </w:r>
    </w:p>
    <w:p>
      <w:pPr>
        <w:pStyle w:val="Heading2"/>
        <w:jc w:val="left"/>
        <w:spacing w:before="0" w:after="0" w:line="360" w:lineRule="auto"/>
      </w:pPr>
      <w:r>
        <w:rPr>
          <w:rFonts w:ascii="Times New Roman" w:hAnsi="Times New Roman" w:eastAsia="宋体"/>
          <w:b/>
          <w:i w:val="0"/>
          <w:color w:val="000000"/>
          <w:sz w:val="30"/>
          <w:u w:val="none"/>
        </w:rPr>
        <w:t>私有云平台建设</w:t>
      </w:r>
    </w:p>
    <w:p>
      <w:r>
        <w:br w:type="page"/>
      </w:r>
    </w:p>
    <w:p>
      <w:pPr>
        <w:pStyle w:val="Heading1"/>
        <w:jc w:val="left"/>
        <w:spacing w:before="0" w:after="0" w:line="360" w:lineRule="auto"/>
      </w:pPr>
      <w:r>
        <w:rPr>
          <w:rFonts w:ascii="Times New Roman" w:hAnsi="Times New Roman" w:eastAsia="宋体"/>
          <w:b/>
          <w:i w:val="0"/>
          <w:color w:val="000000"/>
          <w:sz w:val="32"/>
          <w:u w:val="none"/>
        </w:rPr>
        <w:t>一、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二、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三、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ind w:firstLineChars="200"/>
        <w:spacing w:before="0" w:after="0" w:line="360" w:lineRule="auto"/>
      </w:pPr>
      <w:r>
        <w:rPr>
          <w:rFonts w:ascii="Times New Roman" w:hAnsi="Times New Roman" w:eastAsia="宋体"/>
          <w:b w:val="0"/>
          <w:i w:val="0"/>
          <w:color w:val="000000"/>
          <w:sz w:val="24"/>
          <w:u w:val="none"/>
        </w:rPr>
        <w:t>部署互联网出口防火墙</w:t>
      </w:r>
    </w:p>
    <w:p>
      <w:pPr>
        <w:ind w:firstLineChars="200"/>
        <w:spacing w:before="0" w:after="0" w:line="360" w:lineRule="auto"/>
      </w:pPr>
      <w:r>
        <w:rPr>
          <w:rFonts w:ascii="Times New Roman" w:hAnsi="Times New Roman" w:eastAsia="宋体"/>
          <w:b w:val="0"/>
          <w:i w:val="0"/>
          <w:color w:val="000000"/>
          <w:sz w:val="24"/>
          <w:u w:val="none"/>
        </w:rPr>
        <w:t>部署上网行为管理</w:t>
      </w:r>
    </w:p>
    <w:p>
      <w:pPr>
        <w:ind w:firstLineChars="200"/>
        <w:spacing w:before="0" w:after="0" w:line="360" w:lineRule="auto"/>
      </w:pPr>
      <w:r>
        <w:rPr>
          <w:rFonts w:ascii="Times New Roman" w:hAnsi="Times New Roman" w:eastAsia="宋体"/>
          <w:b w:val="0"/>
          <w:i w:val="0"/>
          <w:color w:val="000000"/>
          <w:sz w:val="24"/>
          <w:u w:val="none"/>
        </w:rPr>
        <w:t>在云平台中部署安全资源池，提供日志审计、堡垒机、零信任、区域防火墙、入侵检测等功能组件</w:t>
      </w:r>
    </w:p>
    <w:p>
      <w:pPr>
        <w:ind w:firstLineChars="200"/>
        <w:spacing w:before="0" w:after="0" w:line="360" w:lineRule="auto"/>
      </w:pPr>
      <w:r>
        <w:rPr>
          <w:rFonts w:ascii="Times New Roman" w:hAnsi="Times New Roman" w:eastAsia="宋体"/>
          <w:b w:val="0"/>
          <w:i w:val="0"/>
          <w:color w:val="000000"/>
          <w:sz w:val="24"/>
          <w:u w:val="none"/>
        </w:rPr>
        <w:t>综合分析管理平台（XDR）</w:t>
      </w:r>
    </w:p>
    <w:p>
      <w:pPr>
        <w:ind w:firstLineChars="200"/>
        <w:spacing w:before="0" w:after="0" w:line="360" w:lineRule="auto"/>
      </w:pPr>
      <w:r>
        <w:rPr>
          <w:rFonts w:ascii="Times New Roman" w:hAnsi="Times New Roman" w:eastAsia="宋体"/>
          <w:b w:val="0"/>
          <w:i w:val="0"/>
          <w:color w:val="000000"/>
          <w:sz w:val="24"/>
          <w:u w:val="none"/>
        </w:rPr>
        <w:t>部署EDR终端安全管理模块</w:t>
      </w:r>
    </w:p>
    <w:p>
      <w:pPr>
        <w:ind w:firstLineChars="200"/>
        <w:spacing w:before="0" w:after="0" w:line="360" w:lineRule="auto"/>
      </w:pPr>
      <w:r>
        <w:rPr>
          <w:rFonts w:ascii="Times New Roman" w:hAnsi="Times New Roman" w:eastAsia="宋体"/>
          <w:b w:val="0"/>
          <w:i w:val="0"/>
          <w:color w:val="000000"/>
          <w:sz w:val="24"/>
          <w:u w:val="none"/>
        </w:rPr>
        <w:t>部署备份平台，定期进行恢复测试</w:t>
      </w:r>
    </w:p>
    <w:p>
      <w:pPr>
        <w:ind w:firstLineChars="200"/>
        <w:spacing w:before="0" w:after="0" w:line="360" w:lineRule="auto"/>
      </w:pPr>
      <w:r>
        <w:rPr>
          <w:rFonts w:ascii="Times New Roman" w:hAnsi="Times New Roman" w:eastAsia="宋体"/>
          <w:b w:val="0"/>
          <w:i w:val="0"/>
          <w:color w:val="000000"/>
          <w:sz w:val="24"/>
          <w:u w:val="none"/>
        </w:rPr>
        <w:t>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r>
        <w:br w:type="page"/>
      </w:r>
    </w:p>
    <w:p>
      <w:pPr>
        <w:pStyle w:val="Heading2"/>
        <w:jc w:val="left"/>
        <w:spacing w:before="0" w:after="0" w:line="360" w:lineRule="auto"/>
      </w:pPr>
      <w:r>
        <w:rPr>
          <w:rFonts w:ascii="Times New Roman" w:hAnsi="Times New Roman" w:eastAsia="宋体"/>
          <w:b/>
          <w:i w:val="0"/>
          <w:color w:val="000000"/>
          <w:sz w:val="30"/>
          <w:u w:val="none"/>
        </w:rPr>
        <w:t>3.1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jc w:val="center"/>
      </w:pPr>
      <w:r>
        <w:drawing>
          <wp:inline xmlns:a="http://schemas.openxmlformats.org/drawingml/2006/main" xmlns:pic="http://schemas.openxmlformats.org/drawingml/2006/picture">
            <wp:extent cx="5486400" cy="3130145"/>
            <wp:docPr id="2" name="Picture 2"/>
            <wp:cNvGraphicFramePr>
              <a:graphicFrameLocks noChangeAspect="1"/>
            </wp:cNvGraphicFramePr>
            <a:graphic>
              <a:graphicData uri="http://schemas.openxmlformats.org/drawingml/2006/picture">
                <pic:pic>
                  <pic:nvPicPr>
                    <pic:cNvPr id="0" name="a12327f8-49ca-495f-8146-6087f71ac6b0.jpg"/>
                    <pic:cNvPicPr/>
                  </pic:nvPicPr>
                  <pic:blipFill>
                    <a:blip r:embed="rId10"/>
                    <a:stretch>
                      <a:fillRect/>
                    </a:stretch>
                  </pic:blipFill>
                  <pic:spPr>
                    <a:xfrm>
                      <a:off x="0" y="0"/>
                      <a:ext cx="5486400" cy="3130145"/>
                    </a:xfrm>
                    <a:prstGeom prst="rect"/>
                  </pic:spPr>
                </pic:pic>
              </a:graphicData>
            </a:graphic>
          </wp:inline>
        </w:drawing>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私有云平台</w:t>
      </w:r>
    </w:p>
    <w:p>
      <w:pPr>
        <w:ind w:firstLineChars="200"/>
        <w:spacing w:before="0" w:after="0" w:line="360" w:lineRule="auto"/>
      </w:pPr>
      <w:r>
        <w:rPr>
          <w:rFonts w:ascii="Times New Roman" w:hAnsi="Times New Roman" w:eastAsia="宋体"/>
          <w:b w:val="0"/>
          <w:i w:val="0"/>
          <w:color w:val="000000"/>
          <w:sz w:val="24"/>
          <w:u w:val="none"/>
        </w:rPr>
        <w:t>为保障平台上运行业务的安全防护和扩展性和兼容性，平台支持扩展同一品牌的虚拟应用防火墙、虚拟应用交付、SSL VPN软件、数据库审计软件等组件</w:t>
      </w:r>
    </w:p>
    <w:p>
      <w:pPr>
        <w:ind w:firstLineChars="200"/>
        <w:spacing w:before="0" w:after="0" w:line="360" w:lineRule="auto"/>
      </w:pPr>
      <w:r>
        <w:rPr>
          <w:rFonts w:ascii="Times New Roman" w:hAnsi="Times New Roman" w:eastAsia="宋体"/>
          <w:b w:val="0"/>
          <w:i w:val="0"/>
          <w:color w:val="000000"/>
          <w:sz w:val="24"/>
          <w:u w:val="none"/>
        </w:rPr>
        <w:t>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金诚信矿业股份有限公司</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