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3F260">
      <w:bookmarkStart w:id="0" w:name="_Hlk12523168"/>
      <w:bookmarkEnd w:id="0"/>
    </w:p>
    <w:p w14:paraId="4B23D41F"/>
    <w:p w14:paraId="2F3F948E"/>
    <w:p w14:paraId="552E1B60"/>
    <w:p w14:paraId="6422AA66"/>
    <w:p w14:paraId="30077D1F"/>
    <w:p w14:paraId="4FFE2EA2"/>
    <w:p w14:paraId="107988A6">
      <w:pPr>
        <w:pStyle w:val="73"/>
        <w:jc w:val="center"/>
        <w:rPr>
          <w:rFonts w:hint="default" w:eastAsia="黑体"/>
          <w:lang w:val="en-US" w:eastAsia="zh-CN"/>
        </w:rPr>
      </w:pPr>
      <w:r>
        <w:rPr>
          <w:rFonts w:hint="eastAsia"/>
          <w:lang w:val="en-US" w:eastAsia="zh-CN"/>
        </w:rPr>
        <w:t>金诚信矿业防泄密解决方案</w:t>
      </w:r>
    </w:p>
    <w:p w14:paraId="1901504F">
      <w:pPr>
        <w:pStyle w:val="73"/>
        <w:rPr>
          <w:b w:val="0"/>
          <w:bCs/>
        </w:rPr>
      </w:pPr>
    </w:p>
    <w:p w14:paraId="7086A9D8">
      <w:pPr>
        <w:pStyle w:val="73"/>
      </w:pPr>
    </w:p>
    <w:sdt>
      <w:sdtPr>
        <w:id w:val="1741753758"/>
        <w:placeholder>
          <w:docPart w:val="DefaultPlaceholder_-1854013440"/>
        </w:placeholder>
        <w15:appearance w15:val="hidden"/>
      </w:sdtPr>
      <w:sdtContent>
        <w:p w14:paraId="07511E35"/>
        <w:p w14:paraId="32304B3A"/>
        <w:p w14:paraId="5BEC338E"/>
        <w:p w14:paraId="37F7BBCA"/>
        <w:p w14:paraId="4195F457"/>
        <w:p w14:paraId="672981E8"/>
        <w:p w14:paraId="01D56A82"/>
        <w:p w14:paraId="3B419B2A"/>
        <w:p w14:paraId="13D665A4"/>
        <w:p w14:paraId="7B92C3D4"/>
        <w:p w14:paraId="0947D23F"/>
        <w:p w14:paraId="638EE8E0"/>
        <w:p w14:paraId="437F98A9"/>
      </w:sdtContent>
    </w:sdt>
    <w:p w14:paraId="50F7F733">
      <w:pPr>
        <w:pStyle w:val="74"/>
      </w:pPr>
      <w:r>
        <w:rPr>
          <w:rFonts w:hint="eastAsia"/>
          <w:lang w:val="en-US" w:eastAsia="zh-CN"/>
        </w:rPr>
        <w:t>北京昱华源码科技</w:t>
      </w:r>
      <w:r>
        <w:t>有限公司</w:t>
      </w:r>
    </w:p>
    <w:p w14:paraId="0A647372">
      <w:pPr>
        <w:pStyle w:val="74"/>
        <w:sectPr>
          <w:headerReference r:id="rId5" w:type="default"/>
          <w:footerReference r:id="rId6" w:type="default"/>
          <w:footnotePr>
            <w:numFmt w:val="decimalEnclosedCircleChinese"/>
            <w:numRestart w:val="eachPage"/>
          </w:footnotePr>
          <w:pgSz w:w="11906" w:h="16838"/>
          <w:pgMar w:top="2098" w:right="1701" w:bottom="1191" w:left="1701" w:header="1418" w:footer="851" w:gutter="0"/>
          <w:cols w:space="425" w:num="1"/>
          <w:titlePg/>
          <w:docGrid w:type="lines" w:linePitch="312" w:charSpace="0"/>
        </w:sectPr>
      </w:pPr>
      <w:r>
        <w:rPr>
          <w:rFonts w:hint="eastAsia"/>
          <w:lang w:val="en-US" w:eastAsia="zh-CN"/>
        </w:rPr>
        <w:t>2026</w:t>
      </w:r>
      <w:r>
        <w:t>年</w:t>
      </w:r>
      <w:r>
        <w:rPr>
          <w:rFonts w:hint="eastAsia"/>
          <w:lang w:val="en-US" w:eastAsia="zh-CN"/>
        </w:rPr>
        <w:t>3</w:t>
      </w:r>
      <w:r>
        <w:t>月</w:t>
      </w:r>
    </w:p>
    <w:sdt>
      <w:sdtPr>
        <w:rPr>
          <w:rFonts w:ascii="宋体" w:hAnsi="宋体" w:eastAsia="宋体" w:cstheme="minorBidi"/>
          <w:snapToGrid/>
          <w:kern w:val="2"/>
          <w:sz w:val="21"/>
          <w:szCs w:val="24"/>
          <w:lang w:val="en-US" w:eastAsia="zh-CN" w:bidi="ar-SA"/>
        </w:rPr>
        <w:id w:val="147463010"/>
        <w15:color w:val="DBDBDB"/>
        <w:docPartObj>
          <w:docPartGallery w:val="Table of Contents"/>
          <w:docPartUnique/>
        </w:docPartObj>
      </w:sdtPr>
      <w:sdtEndPr>
        <w:rPr>
          <w:rFonts w:hint="eastAsia" w:ascii="宋体" w:hAnsi="宋体" w:eastAsia="宋体" w:cs="宋体"/>
          <w:snapToGrid/>
          <w:kern w:val="2"/>
          <w:sz w:val="21"/>
          <w:szCs w:val="24"/>
          <w:lang w:val="en-US" w:eastAsia="zh-CN" w:bidi="ar-SA"/>
        </w:rPr>
      </w:sdtEndPr>
      <w:sdtContent>
        <w:p w14:paraId="1FFA185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FCBEE88">
          <w:pPr>
            <w:pStyle w:val="25"/>
            <w:tabs>
              <w:tab w:val="right" w:leader="dot" w:pos="8306"/>
              <w:tab w:val="clear" w:pos="400"/>
              <w:tab w:val="clear" w:pos="8494"/>
            </w:tabs>
          </w:pPr>
          <w:r>
            <w:rPr>
              <w:rFonts w:hint="eastAsia" w:ascii="宋体" w:hAnsi="宋体" w:eastAsia="宋体" w:cs="宋体"/>
              <w:snapToGrid/>
              <w:kern w:val="2"/>
              <w:sz w:val="21"/>
              <w:szCs w:val="24"/>
              <w:lang w:val="en-US" w:eastAsia="zh-CN" w:bidi="ar-SA"/>
            </w:rPr>
            <w:fldChar w:fldCharType="begin"/>
          </w:r>
          <w:r>
            <w:rPr>
              <w:rFonts w:hint="eastAsia" w:ascii="宋体" w:hAnsi="宋体" w:eastAsia="宋体" w:cs="宋体"/>
              <w:snapToGrid/>
              <w:kern w:val="2"/>
              <w:sz w:val="21"/>
              <w:szCs w:val="24"/>
              <w:lang w:val="en-US" w:eastAsia="zh-CN" w:bidi="ar-SA"/>
            </w:rPr>
            <w:instrText xml:space="preserve">TOC \o "1-3" \h \u </w:instrText>
          </w:r>
          <w:r>
            <w:rPr>
              <w:rFonts w:hint="eastAsia" w:ascii="宋体" w:hAnsi="宋体" w:eastAsia="宋体" w:cs="宋体"/>
              <w:snapToGrid/>
              <w:kern w:val="2"/>
              <w:sz w:val="21"/>
              <w:szCs w:val="24"/>
              <w:lang w:val="en-US" w:eastAsia="zh-CN" w:bidi="ar-SA"/>
            </w:rPr>
            <w:fldChar w:fldCharType="separate"/>
          </w: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_Toc32687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1. </w:t>
          </w:r>
          <w:r>
            <w:rPr>
              <w:rFonts w:ascii="Times New Roman" w:hAnsi="Times New Roman"/>
            </w:rPr>
            <w:t>项目建设背景</w:t>
          </w:r>
          <w:r>
            <w:tab/>
          </w:r>
          <w:r>
            <w:fldChar w:fldCharType="begin"/>
          </w:r>
          <w:r>
            <w:instrText xml:space="preserve"> PAGEREF _Toc32687 \h </w:instrText>
          </w:r>
          <w:r>
            <w:fldChar w:fldCharType="separate"/>
          </w:r>
          <w:r>
            <w:t>3</w:t>
          </w:r>
          <w:r>
            <w:fldChar w:fldCharType="end"/>
          </w:r>
          <w:r>
            <w:rPr>
              <w:rFonts w:hint="eastAsia" w:ascii="宋体" w:hAnsi="宋体" w:eastAsia="宋体" w:cs="宋体"/>
              <w:snapToGrid/>
              <w:kern w:val="2"/>
              <w:szCs w:val="24"/>
              <w:lang w:val="en-US" w:eastAsia="zh-CN" w:bidi="ar-SA"/>
            </w:rPr>
            <w:fldChar w:fldCharType="end"/>
          </w:r>
        </w:p>
        <w:p w14:paraId="0BD0CCD0">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_Toc28132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1.1. </w:t>
          </w:r>
          <w:r>
            <w:rPr>
              <w:rFonts w:ascii="Times New Roman" w:hAnsi="Times New Roman"/>
            </w:rPr>
            <w:t>项目背景</w:t>
          </w:r>
          <w:r>
            <w:tab/>
          </w:r>
          <w:r>
            <w:fldChar w:fldCharType="begin"/>
          </w:r>
          <w:r>
            <w:instrText xml:space="preserve"> PAGEREF _Toc28132 \h </w:instrText>
          </w:r>
          <w:r>
            <w:fldChar w:fldCharType="separate"/>
          </w:r>
          <w:r>
            <w:t>3</w:t>
          </w:r>
          <w:r>
            <w:fldChar w:fldCharType="end"/>
          </w:r>
          <w:r>
            <w:rPr>
              <w:rFonts w:hint="eastAsia" w:ascii="宋体" w:hAnsi="宋体" w:eastAsia="宋体" w:cs="宋体"/>
              <w:snapToGrid/>
              <w:kern w:val="2"/>
              <w:szCs w:val="24"/>
              <w:lang w:val="en-US" w:eastAsia="zh-CN" w:bidi="ar-SA"/>
            </w:rPr>
            <w:fldChar w:fldCharType="end"/>
          </w:r>
        </w:p>
        <w:p w14:paraId="1A4AC3B2">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_Toc29413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1.2. </w:t>
          </w:r>
          <w:r>
            <w:rPr>
              <w:rFonts w:ascii="Times New Roman" w:hAnsi="Times New Roman"/>
            </w:rPr>
            <w:t>建设目标</w:t>
          </w:r>
          <w:r>
            <w:tab/>
          </w:r>
          <w:r>
            <w:fldChar w:fldCharType="begin"/>
          </w:r>
          <w:r>
            <w:instrText xml:space="preserve"> PAGEREF _Toc29413 \h </w:instrText>
          </w:r>
          <w:r>
            <w:fldChar w:fldCharType="separate"/>
          </w:r>
          <w:r>
            <w:t>3</w:t>
          </w:r>
          <w:r>
            <w:fldChar w:fldCharType="end"/>
          </w:r>
          <w:r>
            <w:rPr>
              <w:rFonts w:hint="eastAsia" w:ascii="宋体" w:hAnsi="宋体" w:eastAsia="宋体" w:cs="宋体"/>
              <w:snapToGrid/>
              <w:kern w:val="2"/>
              <w:szCs w:val="24"/>
              <w:lang w:val="en-US" w:eastAsia="zh-CN" w:bidi="ar-SA"/>
            </w:rPr>
            <w:fldChar w:fldCharType="end"/>
          </w:r>
        </w:p>
        <w:p w14:paraId="26A1EFCF">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_Toc19896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1.3. </w:t>
          </w:r>
          <w:r>
            <w:rPr>
              <w:rFonts w:ascii="Times New Roman" w:hAnsi="Times New Roman"/>
            </w:rPr>
            <w:t>建设需求范围</w:t>
          </w:r>
          <w:r>
            <w:tab/>
          </w:r>
          <w:r>
            <w:fldChar w:fldCharType="begin"/>
          </w:r>
          <w:r>
            <w:instrText xml:space="preserve"> PAGEREF _Toc19896 \h </w:instrText>
          </w:r>
          <w:r>
            <w:fldChar w:fldCharType="separate"/>
          </w:r>
          <w:r>
            <w:t>3</w:t>
          </w:r>
          <w:r>
            <w:fldChar w:fldCharType="end"/>
          </w:r>
          <w:r>
            <w:rPr>
              <w:rFonts w:hint="eastAsia" w:ascii="宋体" w:hAnsi="宋体" w:eastAsia="宋体" w:cs="宋体"/>
              <w:snapToGrid/>
              <w:kern w:val="2"/>
              <w:szCs w:val="24"/>
              <w:lang w:val="en-US" w:eastAsia="zh-CN" w:bidi="ar-SA"/>
            </w:rPr>
            <w:fldChar w:fldCharType="end"/>
          </w:r>
        </w:p>
        <w:p w14:paraId="77945A8C">
          <w:pPr>
            <w:pStyle w:val="25"/>
            <w:tabs>
              <w:tab w:val="right" w:leader="dot" w:pos="8306"/>
              <w:tab w:val="clear" w:pos="400"/>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_Toc13744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2. </w:t>
          </w:r>
          <w:r>
            <w:rPr>
              <w:rFonts w:ascii="Times New Roman" w:hAnsi="Times New Roman"/>
            </w:rPr>
            <w:t>项目需求分析</w:t>
          </w:r>
          <w:r>
            <w:tab/>
          </w:r>
          <w:r>
            <w:fldChar w:fldCharType="begin"/>
          </w:r>
          <w:r>
            <w:instrText xml:space="preserve"> PAGEREF _Toc13744 \h </w:instrText>
          </w:r>
          <w:r>
            <w:fldChar w:fldCharType="separate"/>
          </w:r>
          <w:r>
            <w:t>4</w:t>
          </w:r>
          <w:r>
            <w:fldChar w:fldCharType="end"/>
          </w:r>
          <w:r>
            <w:rPr>
              <w:rFonts w:hint="eastAsia" w:ascii="宋体" w:hAnsi="宋体" w:eastAsia="宋体" w:cs="宋体"/>
              <w:snapToGrid/>
              <w:kern w:val="2"/>
              <w:szCs w:val="24"/>
              <w:lang w:val="en-US" w:eastAsia="zh-CN" w:bidi="ar-SA"/>
            </w:rPr>
            <w:fldChar w:fldCharType="end"/>
          </w:r>
        </w:p>
        <w:p w14:paraId="38EAE645">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_Toc12960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2.1. </w:t>
          </w:r>
          <w:r>
            <w:rPr>
              <w:rFonts w:ascii="Times New Roman" w:hAnsi="Times New Roman"/>
            </w:rPr>
            <w:t>组织合规性建设</w:t>
          </w:r>
          <w:r>
            <w:tab/>
          </w:r>
          <w:r>
            <w:fldChar w:fldCharType="begin"/>
          </w:r>
          <w:r>
            <w:instrText xml:space="preserve"> PAGEREF _Toc12960 \h </w:instrText>
          </w:r>
          <w:r>
            <w:fldChar w:fldCharType="separate"/>
          </w:r>
          <w:r>
            <w:t>4</w:t>
          </w:r>
          <w:r>
            <w:fldChar w:fldCharType="end"/>
          </w:r>
          <w:r>
            <w:rPr>
              <w:rFonts w:hint="eastAsia" w:ascii="宋体" w:hAnsi="宋体" w:eastAsia="宋体" w:cs="宋体"/>
              <w:snapToGrid/>
              <w:kern w:val="2"/>
              <w:szCs w:val="24"/>
              <w:lang w:val="en-US" w:eastAsia="zh-CN" w:bidi="ar-SA"/>
            </w:rPr>
            <w:fldChar w:fldCharType="end"/>
          </w:r>
        </w:p>
        <w:p w14:paraId="59749173">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_Toc689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2.2. </w:t>
          </w:r>
          <w:r>
            <w:rPr>
              <w:rFonts w:ascii="Times New Roman" w:hAnsi="Times New Roman"/>
            </w:rPr>
            <w:t>敏感数据资产识别</w:t>
          </w:r>
          <w:r>
            <w:tab/>
          </w:r>
          <w:r>
            <w:fldChar w:fldCharType="begin"/>
          </w:r>
          <w:r>
            <w:instrText xml:space="preserve"> PAGEREF _Toc689 \h </w:instrText>
          </w:r>
          <w:r>
            <w:fldChar w:fldCharType="separate"/>
          </w:r>
          <w:r>
            <w:t>4</w:t>
          </w:r>
          <w:r>
            <w:fldChar w:fldCharType="end"/>
          </w:r>
          <w:r>
            <w:rPr>
              <w:rFonts w:hint="eastAsia" w:ascii="宋体" w:hAnsi="宋体" w:eastAsia="宋体" w:cs="宋体"/>
              <w:snapToGrid/>
              <w:kern w:val="2"/>
              <w:szCs w:val="24"/>
              <w:lang w:val="en-US" w:eastAsia="zh-CN" w:bidi="ar-SA"/>
            </w:rPr>
            <w:fldChar w:fldCharType="end"/>
          </w:r>
        </w:p>
        <w:p w14:paraId="0050B610">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_Toc19856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2.3. </w:t>
          </w:r>
          <w:r>
            <w:rPr>
              <w:rFonts w:ascii="Times New Roman" w:hAnsi="Times New Roman"/>
            </w:rPr>
            <w:t>数据外发风险管控</w:t>
          </w:r>
          <w:r>
            <w:tab/>
          </w:r>
          <w:r>
            <w:fldChar w:fldCharType="begin"/>
          </w:r>
          <w:r>
            <w:instrText xml:space="preserve"> PAGEREF _Toc19856 \h </w:instrText>
          </w:r>
          <w:r>
            <w:fldChar w:fldCharType="separate"/>
          </w:r>
          <w:r>
            <w:t>4</w:t>
          </w:r>
          <w:r>
            <w:fldChar w:fldCharType="end"/>
          </w:r>
          <w:r>
            <w:rPr>
              <w:rFonts w:hint="eastAsia" w:ascii="宋体" w:hAnsi="宋体" w:eastAsia="宋体" w:cs="宋体"/>
              <w:snapToGrid/>
              <w:kern w:val="2"/>
              <w:szCs w:val="24"/>
              <w:lang w:val="en-US" w:eastAsia="zh-CN" w:bidi="ar-SA"/>
            </w:rPr>
            <w:fldChar w:fldCharType="end"/>
          </w:r>
        </w:p>
        <w:p w14:paraId="71DE418F">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_Toc19636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2.4. </w:t>
          </w:r>
          <w:r>
            <w:rPr>
              <w:rFonts w:ascii="Times New Roman" w:hAnsi="Times New Roman"/>
            </w:rPr>
            <w:t>终端泄密行为拦截</w:t>
          </w:r>
          <w:r>
            <w:tab/>
          </w:r>
          <w:r>
            <w:fldChar w:fldCharType="begin"/>
          </w:r>
          <w:r>
            <w:instrText xml:space="preserve"> PAGEREF _Toc19636 \h </w:instrText>
          </w:r>
          <w:r>
            <w:fldChar w:fldCharType="separate"/>
          </w:r>
          <w:r>
            <w:t>4</w:t>
          </w:r>
          <w:r>
            <w:fldChar w:fldCharType="end"/>
          </w:r>
          <w:r>
            <w:rPr>
              <w:rFonts w:hint="eastAsia" w:ascii="宋体" w:hAnsi="宋体" w:eastAsia="宋体" w:cs="宋体"/>
              <w:snapToGrid/>
              <w:kern w:val="2"/>
              <w:szCs w:val="24"/>
              <w:lang w:val="en-US" w:eastAsia="zh-CN" w:bidi="ar-SA"/>
            </w:rPr>
            <w:fldChar w:fldCharType="end"/>
          </w:r>
        </w:p>
        <w:p w14:paraId="08F90507">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_Toc15666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2.5. </w:t>
          </w:r>
          <w:r>
            <w:rPr>
              <w:rFonts w:ascii="Times New Roman" w:hAnsi="Times New Roman"/>
            </w:rPr>
            <w:t>异常访问行为追溯</w:t>
          </w:r>
          <w:r>
            <w:tab/>
          </w:r>
          <w:r>
            <w:fldChar w:fldCharType="begin"/>
          </w:r>
          <w:r>
            <w:instrText xml:space="preserve"> PAGEREF _Toc15666 \h </w:instrText>
          </w:r>
          <w:r>
            <w:fldChar w:fldCharType="separate"/>
          </w:r>
          <w:r>
            <w:t>5</w:t>
          </w:r>
          <w:r>
            <w:fldChar w:fldCharType="end"/>
          </w:r>
          <w:r>
            <w:rPr>
              <w:rFonts w:hint="eastAsia" w:ascii="宋体" w:hAnsi="宋体" w:eastAsia="宋体" w:cs="宋体"/>
              <w:snapToGrid/>
              <w:kern w:val="2"/>
              <w:szCs w:val="24"/>
              <w:lang w:val="en-US" w:eastAsia="zh-CN" w:bidi="ar-SA"/>
            </w:rPr>
            <w:fldChar w:fldCharType="end"/>
          </w:r>
        </w:p>
        <w:p w14:paraId="40EE665F">
          <w:pPr>
            <w:pStyle w:val="25"/>
            <w:tabs>
              <w:tab w:val="right" w:leader="dot" w:pos="8306"/>
              <w:tab w:val="clear" w:pos="400"/>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_Toc14950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3. </w:t>
          </w:r>
          <w:r>
            <w:rPr>
              <w:rFonts w:ascii="Times New Roman" w:hAnsi="Times New Roman"/>
            </w:rPr>
            <w:t>项目建设思路</w:t>
          </w:r>
          <w:r>
            <w:tab/>
          </w:r>
          <w:r>
            <w:fldChar w:fldCharType="begin"/>
          </w:r>
          <w:r>
            <w:instrText xml:space="preserve"> PAGEREF _Toc14950 \h </w:instrText>
          </w:r>
          <w:r>
            <w:fldChar w:fldCharType="separate"/>
          </w:r>
          <w:r>
            <w:t>5</w:t>
          </w:r>
          <w:r>
            <w:fldChar w:fldCharType="end"/>
          </w:r>
          <w:r>
            <w:rPr>
              <w:rFonts w:hint="eastAsia" w:ascii="宋体" w:hAnsi="宋体" w:eastAsia="宋体" w:cs="宋体"/>
              <w:snapToGrid/>
              <w:kern w:val="2"/>
              <w:szCs w:val="24"/>
              <w:lang w:val="en-US" w:eastAsia="zh-CN" w:bidi="ar-SA"/>
            </w:rPr>
            <w:fldChar w:fldCharType="end"/>
          </w:r>
        </w:p>
        <w:p w14:paraId="4C7C2A22">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_Toc19825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3.1. </w:t>
          </w:r>
          <w:r>
            <w:rPr>
              <w:rFonts w:ascii="Times New Roman" w:hAnsi="Times New Roman"/>
            </w:rPr>
            <w:t>常见数据安全方案适用性分析</w:t>
          </w:r>
          <w:r>
            <w:tab/>
          </w:r>
          <w:r>
            <w:fldChar w:fldCharType="begin"/>
          </w:r>
          <w:r>
            <w:instrText xml:space="preserve"> PAGEREF _Toc19825 \h </w:instrText>
          </w:r>
          <w:r>
            <w:fldChar w:fldCharType="separate"/>
          </w:r>
          <w:r>
            <w:t>5</w:t>
          </w:r>
          <w:r>
            <w:fldChar w:fldCharType="end"/>
          </w:r>
          <w:r>
            <w:rPr>
              <w:rFonts w:hint="eastAsia" w:ascii="宋体" w:hAnsi="宋体" w:eastAsia="宋体" w:cs="宋体"/>
              <w:snapToGrid/>
              <w:kern w:val="2"/>
              <w:szCs w:val="24"/>
              <w:lang w:val="en-US" w:eastAsia="zh-CN" w:bidi="ar-SA"/>
            </w:rPr>
            <w:fldChar w:fldCharType="end"/>
          </w:r>
        </w:p>
        <w:p w14:paraId="34202F3A">
          <w:pPr>
            <w:pStyle w:val="17"/>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_Toc20556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3.1.1. </w:t>
          </w:r>
          <w:r>
            <w:rPr>
              <w:rFonts w:ascii="Times New Roman" w:hAnsi="Times New Roman"/>
            </w:rPr>
            <w:t>DLP类方案</w:t>
          </w:r>
          <w:r>
            <w:tab/>
          </w:r>
          <w:r>
            <w:fldChar w:fldCharType="begin"/>
          </w:r>
          <w:r>
            <w:instrText xml:space="preserve"> PAGEREF _Toc20556 \h </w:instrText>
          </w:r>
          <w:r>
            <w:fldChar w:fldCharType="separate"/>
          </w:r>
          <w:r>
            <w:t>5</w:t>
          </w:r>
          <w:r>
            <w:fldChar w:fldCharType="end"/>
          </w:r>
          <w:r>
            <w:rPr>
              <w:rFonts w:hint="eastAsia" w:ascii="宋体" w:hAnsi="宋体" w:eastAsia="宋体" w:cs="宋体"/>
              <w:snapToGrid/>
              <w:kern w:val="2"/>
              <w:szCs w:val="24"/>
              <w:lang w:val="en-US" w:eastAsia="zh-CN" w:bidi="ar-SA"/>
            </w:rPr>
            <w:fldChar w:fldCharType="end"/>
          </w:r>
        </w:p>
        <w:p w14:paraId="5A41EB20">
          <w:pPr>
            <w:pStyle w:val="17"/>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_Toc16371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3.1.2. </w:t>
          </w:r>
          <w:r>
            <w:rPr>
              <w:rFonts w:ascii="Times New Roman" w:hAnsi="Times New Roman"/>
            </w:rPr>
            <w:t>零信任访问控制方案</w:t>
          </w:r>
          <w:r>
            <w:tab/>
          </w:r>
          <w:r>
            <w:fldChar w:fldCharType="begin"/>
          </w:r>
          <w:r>
            <w:instrText xml:space="preserve"> PAGEREF _Toc16371 \h </w:instrText>
          </w:r>
          <w:r>
            <w:fldChar w:fldCharType="separate"/>
          </w:r>
          <w:r>
            <w:t>5</w:t>
          </w:r>
          <w:r>
            <w:fldChar w:fldCharType="end"/>
          </w:r>
          <w:r>
            <w:rPr>
              <w:rFonts w:hint="eastAsia" w:ascii="宋体" w:hAnsi="宋体" w:eastAsia="宋体" w:cs="宋体"/>
              <w:snapToGrid/>
              <w:kern w:val="2"/>
              <w:szCs w:val="24"/>
              <w:lang w:val="en-US" w:eastAsia="zh-CN" w:bidi="ar-SA"/>
            </w:rPr>
            <w:fldChar w:fldCharType="end"/>
          </w:r>
        </w:p>
        <w:p w14:paraId="1E7049BB">
          <w:pPr>
            <w:pStyle w:val="17"/>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_Toc17350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3.1.3. </w:t>
          </w:r>
          <w:r>
            <w:rPr>
              <w:rFonts w:ascii="Times New Roman" w:hAnsi="Times New Roman"/>
            </w:rPr>
            <w:t>终端行为管控方案</w:t>
          </w:r>
          <w:r>
            <w:tab/>
          </w:r>
          <w:r>
            <w:fldChar w:fldCharType="begin"/>
          </w:r>
          <w:r>
            <w:instrText xml:space="preserve"> PAGEREF _Toc17350 \h </w:instrText>
          </w:r>
          <w:r>
            <w:fldChar w:fldCharType="separate"/>
          </w:r>
          <w:r>
            <w:t>6</w:t>
          </w:r>
          <w:r>
            <w:fldChar w:fldCharType="end"/>
          </w:r>
          <w:r>
            <w:rPr>
              <w:rFonts w:hint="eastAsia" w:ascii="宋体" w:hAnsi="宋体" w:eastAsia="宋体" w:cs="宋体"/>
              <w:snapToGrid/>
              <w:kern w:val="2"/>
              <w:szCs w:val="24"/>
              <w:lang w:val="en-US" w:eastAsia="zh-CN" w:bidi="ar-SA"/>
            </w:rPr>
            <w:fldChar w:fldCharType="end"/>
          </w:r>
        </w:p>
        <w:p w14:paraId="394B6C78">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_Toc19878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3.2. </w:t>
          </w:r>
          <w:r>
            <w:rPr>
              <w:rFonts w:ascii="Times New Roman" w:hAnsi="Times New Roman"/>
            </w:rPr>
            <w:t>总体思路设计</w:t>
          </w:r>
          <w:r>
            <w:tab/>
          </w:r>
          <w:r>
            <w:fldChar w:fldCharType="begin"/>
          </w:r>
          <w:r>
            <w:instrText xml:space="preserve"> PAGEREF _Toc19878 \h </w:instrText>
          </w:r>
          <w:r>
            <w:fldChar w:fldCharType="separate"/>
          </w:r>
          <w:r>
            <w:t>6</w:t>
          </w:r>
          <w:r>
            <w:fldChar w:fldCharType="end"/>
          </w:r>
          <w:r>
            <w:rPr>
              <w:rFonts w:hint="eastAsia" w:ascii="宋体" w:hAnsi="宋体" w:eastAsia="宋体" w:cs="宋体"/>
              <w:snapToGrid/>
              <w:kern w:val="2"/>
              <w:szCs w:val="24"/>
              <w:lang w:val="en-US" w:eastAsia="zh-CN" w:bidi="ar-SA"/>
            </w:rPr>
            <w:fldChar w:fldCharType="end"/>
          </w:r>
        </w:p>
        <w:p w14:paraId="171B410A">
          <w:pPr>
            <w:pStyle w:val="25"/>
            <w:tabs>
              <w:tab w:val="right" w:leader="dot" w:pos="8306"/>
              <w:tab w:val="clear" w:pos="400"/>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_Toc1772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 </w:t>
          </w:r>
          <w:r>
            <w:rPr>
              <w:rFonts w:ascii="Times New Roman" w:hAnsi="Times New Roman"/>
            </w:rPr>
            <w:t>数据安全解决方案设计</w:t>
          </w:r>
          <w:r>
            <w:tab/>
          </w:r>
          <w:r>
            <w:fldChar w:fldCharType="begin"/>
          </w:r>
          <w:r>
            <w:instrText xml:space="preserve"> PAGEREF _Toc1772 \h </w:instrText>
          </w:r>
          <w:r>
            <w:fldChar w:fldCharType="separate"/>
          </w:r>
          <w:r>
            <w:t>8</w:t>
          </w:r>
          <w:r>
            <w:fldChar w:fldCharType="end"/>
          </w:r>
          <w:r>
            <w:rPr>
              <w:rFonts w:hint="eastAsia" w:ascii="宋体" w:hAnsi="宋体" w:eastAsia="宋体" w:cs="宋体"/>
              <w:snapToGrid/>
              <w:kern w:val="2"/>
              <w:szCs w:val="24"/>
              <w:lang w:val="en-US" w:eastAsia="zh-CN" w:bidi="ar-SA"/>
            </w:rPr>
            <w:fldChar w:fldCharType="end"/>
          </w:r>
        </w:p>
        <w:p w14:paraId="39F99E9C">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_Toc20889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4.1. </w:t>
          </w:r>
          <w:r>
            <w:rPr>
              <w:rFonts w:ascii="Times New Roman" w:hAnsi="Times New Roman"/>
            </w:rPr>
            <w:t>数据安全整体方案逻辑拓扑图</w:t>
          </w:r>
          <w:r>
            <w:tab/>
          </w:r>
          <w:r>
            <w:fldChar w:fldCharType="begin"/>
          </w:r>
          <w:r>
            <w:instrText xml:space="preserve"> PAGEREF _Toc20889 \h </w:instrText>
          </w:r>
          <w:r>
            <w:fldChar w:fldCharType="separate"/>
          </w:r>
          <w:r>
            <w:t>8</w:t>
          </w:r>
          <w:r>
            <w:fldChar w:fldCharType="end"/>
          </w:r>
          <w:r>
            <w:rPr>
              <w:rFonts w:hint="eastAsia" w:ascii="宋体" w:hAnsi="宋体" w:eastAsia="宋体" w:cs="宋体"/>
              <w:snapToGrid/>
              <w:kern w:val="2"/>
              <w:szCs w:val="24"/>
              <w:lang w:val="en-US" w:eastAsia="zh-CN" w:bidi="ar-SA"/>
            </w:rPr>
            <w:fldChar w:fldCharType="end"/>
          </w:r>
        </w:p>
        <w:p w14:paraId="25EB0EA7">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_Toc23679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4.2. </w:t>
          </w:r>
          <w:r>
            <w:rPr>
              <w:rFonts w:ascii="Times New Roman" w:hAnsi="Times New Roman"/>
            </w:rPr>
            <w:t>方案功能设计</w:t>
          </w:r>
          <w:r>
            <w:tab/>
          </w:r>
          <w:r>
            <w:fldChar w:fldCharType="begin"/>
          </w:r>
          <w:r>
            <w:instrText xml:space="preserve"> PAGEREF _Toc23679 \h </w:instrText>
          </w:r>
          <w:r>
            <w:fldChar w:fldCharType="separate"/>
          </w:r>
          <w:r>
            <w:t>8</w:t>
          </w:r>
          <w:r>
            <w:fldChar w:fldCharType="end"/>
          </w:r>
          <w:r>
            <w:rPr>
              <w:rFonts w:hint="eastAsia" w:ascii="宋体" w:hAnsi="宋体" w:eastAsia="宋体" w:cs="宋体"/>
              <w:snapToGrid/>
              <w:kern w:val="2"/>
              <w:szCs w:val="24"/>
              <w:lang w:val="en-US" w:eastAsia="zh-CN" w:bidi="ar-SA"/>
            </w:rPr>
            <w:fldChar w:fldCharType="end"/>
          </w:r>
        </w:p>
        <w:p w14:paraId="584D858B">
          <w:pPr>
            <w:pStyle w:val="17"/>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_Toc20405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4.2.1. </w:t>
          </w:r>
          <w:r>
            <w:rPr>
              <w:rFonts w:ascii="Times New Roman" w:hAnsi="Times New Roman"/>
            </w:rPr>
            <w:t>敏感数据分类分级</w:t>
          </w:r>
          <w:r>
            <w:tab/>
          </w:r>
          <w:r>
            <w:fldChar w:fldCharType="begin"/>
          </w:r>
          <w:r>
            <w:instrText xml:space="preserve"> PAGEREF _Toc20405 \h </w:instrText>
          </w:r>
          <w:r>
            <w:fldChar w:fldCharType="separate"/>
          </w:r>
          <w:r>
            <w:t>8</w:t>
          </w:r>
          <w:r>
            <w:fldChar w:fldCharType="end"/>
          </w:r>
          <w:r>
            <w:rPr>
              <w:rFonts w:hint="eastAsia" w:ascii="宋体" w:hAnsi="宋体" w:eastAsia="宋体" w:cs="宋体"/>
              <w:snapToGrid/>
              <w:kern w:val="2"/>
              <w:szCs w:val="24"/>
              <w:lang w:val="en-US" w:eastAsia="zh-CN" w:bidi="ar-SA"/>
            </w:rPr>
            <w:fldChar w:fldCharType="end"/>
          </w:r>
        </w:p>
        <w:p w14:paraId="619929B4">
          <w:pPr>
            <w:pStyle w:val="17"/>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_Toc31821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4.2.2. </w:t>
          </w:r>
          <w:r>
            <w:rPr>
              <w:rFonts w:ascii="Times New Roman" w:hAnsi="Times New Roman"/>
            </w:rPr>
            <w:t>外发文件动态管控</w:t>
          </w:r>
          <w:r>
            <w:tab/>
          </w:r>
          <w:r>
            <w:fldChar w:fldCharType="begin"/>
          </w:r>
          <w:r>
            <w:instrText xml:space="preserve"> PAGEREF _Toc31821 \h </w:instrText>
          </w:r>
          <w:r>
            <w:fldChar w:fldCharType="separate"/>
          </w:r>
          <w:r>
            <w:t>8</w:t>
          </w:r>
          <w:r>
            <w:fldChar w:fldCharType="end"/>
          </w:r>
          <w:r>
            <w:rPr>
              <w:rFonts w:hint="eastAsia" w:ascii="宋体" w:hAnsi="宋体" w:eastAsia="宋体" w:cs="宋体"/>
              <w:snapToGrid/>
              <w:kern w:val="2"/>
              <w:szCs w:val="24"/>
              <w:lang w:val="en-US" w:eastAsia="zh-CN" w:bidi="ar-SA"/>
            </w:rPr>
            <w:fldChar w:fldCharType="end"/>
          </w:r>
        </w:p>
        <w:p w14:paraId="52265DA9">
          <w:pPr>
            <w:pStyle w:val="17"/>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_Toc24076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4.2.3. </w:t>
          </w:r>
          <w:r>
            <w:rPr>
              <w:rFonts w:ascii="Times New Roman" w:hAnsi="Times New Roman"/>
            </w:rPr>
            <w:t>异常行为实时告警</w:t>
          </w:r>
          <w:r>
            <w:tab/>
          </w:r>
          <w:r>
            <w:fldChar w:fldCharType="begin"/>
          </w:r>
          <w:r>
            <w:instrText xml:space="preserve"> PAGEREF _Toc24076 \h </w:instrText>
          </w:r>
          <w:r>
            <w:fldChar w:fldCharType="separate"/>
          </w:r>
          <w:r>
            <w:t>9</w:t>
          </w:r>
          <w:r>
            <w:fldChar w:fldCharType="end"/>
          </w:r>
          <w:r>
            <w:rPr>
              <w:rFonts w:hint="eastAsia" w:ascii="宋体" w:hAnsi="宋体" w:eastAsia="宋体" w:cs="宋体"/>
              <w:snapToGrid/>
              <w:kern w:val="2"/>
              <w:szCs w:val="24"/>
              <w:lang w:val="en-US" w:eastAsia="zh-CN" w:bidi="ar-SA"/>
            </w:rPr>
            <w:fldChar w:fldCharType="end"/>
          </w:r>
        </w:p>
        <w:p w14:paraId="3D2B9555">
          <w:pPr>
            <w:pStyle w:val="17"/>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_Toc21422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4.2.4. </w:t>
          </w:r>
          <w:r>
            <w:rPr>
              <w:rFonts w:ascii="Times New Roman" w:hAnsi="Times New Roman"/>
            </w:rPr>
            <w:t>终端泄密审计管控</w:t>
          </w:r>
          <w:r>
            <w:tab/>
          </w:r>
          <w:r>
            <w:fldChar w:fldCharType="begin"/>
          </w:r>
          <w:r>
            <w:instrText xml:space="preserve"> PAGEREF _Toc21422 \h </w:instrText>
          </w:r>
          <w:r>
            <w:fldChar w:fldCharType="separate"/>
          </w:r>
          <w:r>
            <w:t>9</w:t>
          </w:r>
          <w:r>
            <w:fldChar w:fldCharType="end"/>
          </w:r>
          <w:r>
            <w:rPr>
              <w:rFonts w:hint="eastAsia" w:ascii="宋体" w:hAnsi="宋体" w:eastAsia="宋体" w:cs="宋体"/>
              <w:snapToGrid/>
              <w:kern w:val="2"/>
              <w:szCs w:val="24"/>
              <w:lang w:val="en-US" w:eastAsia="zh-CN" w:bidi="ar-SA"/>
            </w:rPr>
            <w:fldChar w:fldCharType="end"/>
          </w:r>
        </w:p>
        <w:p w14:paraId="21760EA4">
          <w:pPr>
            <w:pStyle w:val="17"/>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_Toc28122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4.2.5. </w:t>
          </w:r>
          <w:r>
            <w:rPr>
              <w:rFonts w:ascii="Times New Roman" w:hAnsi="Times New Roman"/>
            </w:rPr>
            <w:t>零信任业务访问控制</w:t>
          </w:r>
          <w:r>
            <w:tab/>
          </w:r>
          <w:r>
            <w:fldChar w:fldCharType="begin"/>
          </w:r>
          <w:r>
            <w:instrText xml:space="preserve"> PAGEREF _Toc28122 \h </w:instrText>
          </w:r>
          <w:r>
            <w:fldChar w:fldCharType="separate"/>
          </w:r>
          <w:r>
            <w:t>9</w:t>
          </w:r>
          <w:r>
            <w:fldChar w:fldCharType="end"/>
          </w:r>
          <w:r>
            <w:rPr>
              <w:rFonts w:hint="eastAsia" w:ascii="宋体" w:hAnsi="宋体" w:eastAsia="宋体" w:cs="宋体"/>
              <w:snapToGrid/>
              <w:kern w:val="2"/>
              <w:szCs w:val="24"/>
              <w:lang w:val="en-US" w:eastAsia="zh-CN" w:bidi="ar-SA"/>
            </w:rPr>
            <w:fldChar w:fldCharType="end"/>
          </w:r>
        </w:p>
        <w:p w14:paraId="797C5072">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_Toc2831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4.3. </w:t>
          </w:r>
          <w:r>
            <w:rPr>
              <w:rFonts w:ascii="Times New Roman" w:hAnsi="Times New Roman"/>
            </w:rPr>
            <w:t>方案优势总结</w:t>
          </w:r>
          <w:r>
            <w:tab/>
          </w:r>
          <w:r>
            <w:fldChar w:fldCharType="begin"/>
          </w:r>
          <w:r>
            <w:instrText xml:space="preserve"> PAGEREF _Toc2831 \h </w:instrText>
          </w:r>
          <w:r>
            <w:fldChar w:fldCharType="separate"/>
          </w:r>
          <w:r>
            <w:t>9</w:t>
          </w:r>
          <w:r>
            <w:fldChar w:fldCharType="end"/>
          </w:r>
          <w:r>
            <w:rPr>
              <w:rFonts w:hint="eastAsia" w:ascii="宋体" w:hAnsi="宋体" w:eastAsia="宋体" w:cs="宋体"/>
              <w:snapToGrid/>
              <w:kern w:val="2"/>
              <w:szCs w:val="24"/>
              <w:lang w:val="en-US" w:eastAsia="zh-CN" w:bidi="ar-SA"/>
            </w:rPr>
            <w:fldChar w:fldCharType="end"/>
          </w:r>
        </w:p>
        <w:p w14:paraId="03AEEFE3">
          <w:pPr>
            <w:pStyle w:val="17"/>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_Toc6517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4.3.1. </w:t>
          </w:r>
          <w:r>
            <w:rPr>
              <w:rFonts w:ascii="Times New Roman" w:hAnsi="Times New Roman"/>
            </w:rPr>
            <w:t>防泄密策略统一</w:t>
          </w:r>
          <w:r>
            <w:tab/>
          </w:r>
          <w:r>
            <w:fldChar w:fldCharType="begin"/>
          </w:r>
          <w:r>
            <w:instrText xml:space="preserve"> PAGEREF _Toc6517 \h </w:instrText>
          </w:r>
          <w:r>
            <w:fldChar w:fldCharType="separate"/>
          </w:r>
          <w:r>
            <w:t>9</w:t>
          </w:r>
          <w:r>
            <w:fldChar w:fldCharType="end"/>
          </w:r>
          <w:r>
            <w:rPr>
              <w:rFonts w:hint="eastAsia" w:ascii="宋体" w:hAnsi="宋体" w:eastAsia="宋体" w:cs="宋体"/>
              <w:snapToGrid/>
              <w:kern w:val="2"/>
              <w:szCs w:val="24"/>
              <w:lang w:val="en-US" w:eastAsia="zh-CN" w:bidi="ar-SA"/>
            </w:rPr>
            <w:fldChar w:fldCharType="end"/>
          </w:r>
        </w:p>
        <w:p w14:paraId="7BFAB091">
          <w:pPr>
            <w:pStyle w:val="17"/>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_Toc162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4.3.2. </w:t>
          </w:r>
          <w:r>
            <w:rPr>
              <w:rFonts w:ascii="Times New Roman" w:hAnsi="Times New Roman"/>
            </w:rPr>
            <w:t>防泄密溯源高效</w:t>
          </w:r>
          <w:r>
            <w:tab/>
          </w:r>
          <w:r>
            <w:fldChar w:fldCharType="begin"/>
          </w:r>
          <w:r>
            <w:instrText xml:space="preserve"> PAGEREF _Toc162 \h </w:instrText>
          </w:r>
          <w:r>
            <w:fldChar w:fldCharType="separate"/>
          </w:r>
          <w:r>
            <w:t>9</w:t>
          </w:r>
          <w:r>
            <w:fldChar w:fldCharType="end"/>
          </w:r>
          <w:r>
            <w:rPr>
              <w:rFonts w:hint="eastAsia" w:ascii="宋体" w:hAnsi="宋体" w:eastAsia="宋体" w:cs="宋体"/>
              <w:snapToGrid/>
              <w:kern w:val="2"/>
              <w:szCs w:val="24"/>
              <w:lang w:val="en-US" w:eastAsia="zh-CN" w:bidi="ar-SA"/>
            </w:rPr>
            <w:fldChar w:fldCharType="end"/>
          </w:r>
        </w:p>
        <w:p w14:paraId="746CCC9B">
          <w:pPr>
            <w:pStyle w:val="17"/>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_Toc1715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4.3.3. </w:t>
          </w:r>
          <w:r>
            <w:rPr>
              <w:rFonts w:ascii="Times New Roman" w:hAnsi="Times New Roman"/>
            </w:rPr>
            <w:t>防泄密管控精准</w:t>
          </w:r>
          <w:r>
            <w:tab/>
          </w:r>
          <w:r>
            <w:fldChar w:fldCharType="begin"/>
          </w:r>
          <w:r>
            <w:instrText xml:space="preserve"> PAGEREF _Toc1715 \h </w:instrText>
          </w:r>
          <w:r>
            <w:fldChar w:fldCharType="separate"/>
          </w:r>
          <w:r>
            <w:t>10</w:t>
          </w:r>
          <w:r>
            <w:fldChar w:fldCharType="end"/>
          </w:r>
          <w:r>
            <w:rPr>
              <w:rFonts w:hint="eastAsia" w:ascii="宋体" w:hAnsi="宋体" w:eastAsia="宋体" w:cs="宋体"/>
              <w:snapToGrid/>
              <w:kern w:val="2"/>
              <w:szCs w:val="24"/>
              <w:lang w:val="en-US" w:eastAsia="zh-CN" w:bidi="ar-SA"/>
            </w:rPr>
            <w:fldChar w:fldCharType="end"/>
          </w:r>
        </w:p>
        <w:p w14:paraId="28D05954">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_Toc10659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4.4. </w:t>
          </w:r>
          <w:r>
            <w:rPr>
              <w:rFonts w:ascii="Times New Roman" w:hAnsi="Times New Roman" w:eastAsia="宋体" w:cstheme="minorBidi"/>
              <w:bCs/>
              <w:snapToGrid/>
              <w:kern w:val="2"/>
              <w:szCs w:val="32"/>
            </w:rPr>
            <w:t>项目部署设计</w:t>
          </w:r>
          <w:r>
            <w:tab/>
          </w:r>
          <w:r>
            <w:fldChar w:fldCharType="begin"/>
          </w:r>
          <w:r>
            <w:instrText xml:space="preserve"> PAGEREF _Toc10659 \h </w:instrText>
          </w:r>
          <w:r>
            <w:fldChar w:fldCharType="separate"/>
          </w:r>
          <w:r>
            <w:t>10</w:t>
          </w:r>
          <w:r>
            <w:fldChar w:fldCharType="end"/>
          </w:r>
          <w:r>
            <w:rPr>
              <w:rFonts w:hint="eastAsia" w:ascii="宋体" w:hAnsi="宋体" w:eastAsia="宋体" w:cs="宋体"/>
              <w:snapToGrid/>
              <w:kern w:val="2"/>
              <w:szCs w:val="24"/>
              <w:lang w:val="en-US" w:eastAsia="zh-CN" w:bidi="ar-SA"/>
            </w:rPr>
            <w:fldChar w:fldCharType="end"/>
          </w:r>
        </w:p>
        <w:p w14:paraId="5EC2BE27">
          <w:pPr>
            <w:pStyle w:val="17"/>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_Toc10647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4.4.1. </w:t>
          </w:r>
          <w:r>
            <w:rPr>
              <w:rFonts w:ascii="Times New Roman" w:hAnsi="Times New Roman" w:eastAsia="宋体"/>
            </w:rPr>
            <w:t>阶段1：筹备与调研（第1-3周）</w:t>
          </w:r>
          <w:r>
            <w:tab/>
          </w:r>
          <w:r>
            <w:fldChar w:fldCharType="begin"/>
          </w:r>
          <w:r>
            <w:instrText xml:space="preserve"> PAGEREF _Toc10647 \h </w:instrText>
          </w:r>
          <w:r>
            <w:fldChar w:fldCharType="separate"/>
          </w:r>
          <w:r>
            <w:t>10</w:t>
          </w:r>
          <w:r>
            <w:fldChar w:fldCharType="end"/>
          </w:r>
          <w:r>
            <w:rPr>
              <w:rFonts w:hint="eastAsia" w:ascii="宋体" w:hAnsi="宋体" w:eastAsia="宋体" w:cs="宋体"/>
              <w:snapToGrid/>
              <w:kern w:val="2"/>
              <w:szCs w:val="24"/>
              <w:lang w:val="en-US" w:eastAsia="zh-CN" w:bidi="ar-SA"/>
            </w:rPr>
            <w:fldChar w:fldCharType="end"/>
          </w:r>
        </w:p>
        <w:p w14:paraId="3D96BB3F">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_Toc5858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4.5. </w:t>
          </w:r>
          <w:r>
            <w:rPr>
              <w:rFonts w:ascii="Times New Roman" w:hAnsi="Times New Roman"/>
            </w:rPr>
            <w:t>项目建设范围</w:t>
          </w:r>
          <w:r>
            <w:tab/>
          </w:r>
          <w:r>
            <w:fldChar w:fldCharType="begin"/>
          </w:r>
          <w:r>
            <w:instrText xml:space="preserve"> PAGEREF _Toc5858 \h </w:instrText>
          </w:r>
          <w:r>
            <w:fldChar w:fldCharType="separate"/>
          </w:r>
          <w:r>
            <w:t>11</w:t>
          </w:r>
          <w:r>
            <w:fldChar w:fldCharType="end"/>
          </w:r>
          <w:r>
            <w:rPr>
              <w:rFonts w:hint="eastAsia" w:ascii="宋体" w:hAnsi="宋体" w:eastAsia="宋体" w:cs="宋体"/>
              <w:snapToGrid/>
              <w:kern w:val="2"/>
              <w:szCs w:val="24"/>
              <w:lang w:val="en-US" w:eastAsia="zh-CN" w:bidi="ar-SA"/>
            </w:rPr>
            <w:fldChar w:fldCharType="end"/>
          </w:r>
        </w:p>
        <w:p w14:paraId="113431AD">
          <w:pPr>
            <w:pStyle w:val="25"/>
            <w:tabs>
              <w:tab w:val="right" w:leader="dot" w:pos="8306"/>
              <w:tab w:val="clear" w:pos="400"/>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_Toc20797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5. </w:t>
          </w:r>
          <w:r>
            <w:rPr>
              <w:rFonts w:ascii="Times New Roman" w:hAnsi="Times New Roman"/>
            </w:rPr>
            <w:t>项目效益分析</w:t>
          </w:r>
          <w:r>
            <w:tab/>
          </w:r>
          <w:r>
            <w:fldChar w:fldCharType="begin"/>
          </w:r>
          <w:r>
            <w:instrText xml:space="preserve"> PAGEREF _Toc20797 \h </w:instrText>
          </w:r>
          <w:r>
            <w:fldChar w:fldCharType="separate"/>
          </w:r>
          <w:r>
            <w:t>12</w:t>
          </w:r>
          <w:r>
            <w:fldChar w:fldCharType="end"/>
          </w:r>
          <w:r>
            <w:rPr>
              <w:rFonts w:hint="eastAsia" w:ascii="宋体" w:hAnsi="宋体" w:eastAsia="宋体" w:cs="宋体"/>
              <w:snapToGrid/>
              <w:kern w:val="2"/>
              <w:szCs w:val="24"/>
              <w:lang w:val="en-US" w:eastAsia="zh-CN" w:bidi="ar-SA"/>
            </w:rPr>
            <w:fldChar w:fldCharType="end"/>
          </w:r>
        </w:p>
        <w:p w14:paraId="1D8CE4BD">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_Toc32360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5.1. </w:t>
          </w:r>
          <w:r>
            <w:rPr>
              <w:rFonts w:ascii="Times New Roman" w:hAnsi="Times New Roman"/>
            </w:rPr>
            <w:t>社会效益</w:t>
          </w:r>
          <w:r>
            <w:tab/>
          </w:r>
          <w:r>
            <w:fldChar w:fldCharType="begin"/>
          </w:r>
          <w:r>
            <w:instrText xml:space="preserve"> PAGEREF _Toc32360 \h </w:instrText>
          </w:r>
          <w:r>
            <w:fldChar w:fldCharType="separate"/>
          </w:r>
          <w:r>
            <w:t>12</w:t>
          </w:r>
          <w:r>
            <w:fldChar w:fldCharType="end"/>
          </w:r>
          <w:r>
            <w:rPr>
              <w:rFonts w:hint="eastAsia" w:ascii="宋体" w:hAnsi="宋体" w:eastAsia="宋体" w:cs="宋体"/>
              <w:snapToGrid/>
              <w:kern w:val="2"/>
              <w:szCs w:val="24"/>
              <w:lang w:val="en-US" w:eastAsia="zh-CN" w:bidi="ar-SA"/>
            </w:rPr>
            <w:fldChar w:fldCharType="end"/>
          </w:r>
        </w:p>
        <w:p w14:paraId="64535372">
          <w:pPr>
            <w:pStyle w:val="30"/>
            <w:tabs>
              <w:tab w:val="right" w:leader="dot" w:pos="8306"/>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_Toc31074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5.2. </w:t>
          </w:r>
          <w:r>
            <w:rPr>
              <w:rFonts w:ascii="Times New Roman" w:hAnsi="Times New Roman"/>
            </w:rPr>
            <w:t>经济效益</w:t>
          </w:r>
          <w:r>
            <w:tab/>
          </w:r>
          <w:r>
            <w:fldChar w:fldCharType="begin"/>
          </w:r>
          <w:r>
            <w:instrText xml:space="preserve"> PAGEREF _Toc31074 \h </w:instrText>
          </w:r>
          <w:r>
            <w:fldChar w:fldCharType="separate"/>
          </w:r>
          <w:r>
            <w:t>12</w:t>
          </w:r>
          <w:r>
            <w:fldChar w:fldCharType="end"/>
          </w:r>
          <w:r>
            <w:rPr>
              <w:rFonts w:hint="eastAsia" w:ascii="宋体" w:hAnsi="宋体" w:eastAsia="宋体" w:cs="宋体"/>
              <w:snapToGrid/>
              <w:kern w:val="2"/>
              <w:szCs w:val="24"/>
              <w:lang w:val="en-US" w:eastAsia="zh-CN" w:bidi="ar-SA"/>
            </w:rPr>
            <w:fldChar w:fldCharType="end"/>
          </w:r>
        </w:p>
        <w:p w14:paraId="1D9DCBB0">
          <w:pPr>
            <w:pStyle w:val="25"/>
            <w:tabs>
              <w:tab w:val="right" w:leader="dot" w:pos="8306"/>
              <w:tab w:val="clear" w:pos="400"/>
              <w:tab w:val="clear" w:pos="8494"/>
            </w:tabs>
          </w:pPr>
          <w:r>
            <w:rPr>
              <w:rFonts w:hint="eastAsia" w:ascii="宋体" w:hAnsi="宋体" w:eastAsia="宋体" w:cs="宋体"/>
              <w:snapToGrid/>
              <w:kern w:val="2"/>
              <w:szCs w:val="24"/>
              <w:lang w:val="en-US" w:eastAsia="zh-CN" w:bidi="ar-SA"/>
            </w:rPr>
            <w:fldChar w:fldCharType="begin"/>
          </w:r>
          <w:r>
            <w:rPr>
              <w:rFonts w:hint="eastAsia" w:ascii="宋体" w:hAnsi="宋体" w:eastAsia="宋体" w:cs="宋体"/>
              <w:snapToGrid/>
              <w:kern w:val="2"/>
              <w:szCs w:val="24"/>
              <w:lang w:val="en-US" w:eastAsia="zh-CN" w:bidi="ar-SA"/>
            </w:rPr>
            <w:instrText xml:space="preserve"> HYPERLINK \l _Toc31601 </w:instrText>
          </w:r>
          <w:r>
            <w:rPr>
              <w:rFonts w:hint="eastAsia" w:ascii="宋体" w:hAnsi="宋体" w:eastAsia="宋体" w:cs="宋体"/>
              <w:snapToGrid/>
              <w:kern w:val="2"/>
              <w:szCs w:val="24"/>
              <w:lang w:val="en-US" w:eastAsia="zh-CN" w:bidi="ar-SA"/>
            </w:rPr>
            <w:fldChar w:fldCharType="separate"/>
          </w:r>
          <w:r>
            <w:rPr>
              <w:rFonts w:hint="default" w:ascii="微软雅黑" w:hAnsi="微软雅黑" w:eastAsia="微软雅黑"/>
            </w:rPr>
            <w:t xml:space="preserve">6. </w:t>
          </w:r>
          <w:r>
            <w:rPr>
              <w:rFonts w:ascii="Times New Roman" w:hAnsi="Times New Roman"/>
            </w:rPr>
            <w:t>项目经费估算</w:t>
          </w:r>
          <w:r>
            <w:tab/>
          </w:r>
          <w:r>
            <w:fldChar w:fldCharType="begin"/>
          </w:r>
          <w:r>
            <w:instrText xml:space="preserve"> PAGEREF _Toc31601 \h </w:instrText>
          </w:r>
          <w:r>
            <w:fldChar w:fldCharType="separate"/>
          </w:r>
          <w:r>
            <w:t>13</w:t>
          </w:r>
          <w:r>
            <w:fldChar w:fldCharType="end"/>
          </w:r>
          <w:r>
            <w:rPr>
              <w:rFonts w:hint="eastAsia" w:ascii="宋体" w:hAnsi="宋体" w:eastAsia="宋体" w:cs="宋体"/>
              <w:snapToGrid/>
              <w:kern w:val="2"/>
              <w:szCs w:val="24"/>
              <w:lang w:val="en-US" w:eastAsia="zh-CN" w:bidi="ar-SA"/>
            </w:rPr>
            <w:fldChar w:fldCharType="end"/>
          </w:r>
        </w:p>
        <w:p w14:paraId="1B59DEAB">
          <w:pPr>
            <w:tabs>
              <w:tab w:val="left" w:pos="1126"/>
            </w:tabs>
            <w:bidi w:val="0"/>
            <w:jc w:val="left"/>
            <w:rPr>
              <w:rFonts w:hint="eastAsia" w:ascii="宋体" w:hAnsi="宋体" w:eastAsia="宋体" w:cs="宋体"/>
              <w:snapToGrid/>
              <w:kern w:val="2"/>
              <w:sz w:val="21"/>
              <w:szCs w:val="24"/>
              <w:lang w:val="en-US" w:eastAsia="zh-CN" w:bidi="ar-SA"/>
            </w:rPr>
          </w:pPr>
          <w:r>
            <w:rPr>
              <w:rFonts w:hint="eastAsia" w:ascii="宋体" w:hAnsi="宋体" w:eastAsia="宋体" w:cs="宋体"/>
              <w:snapToGrid/>
              <w:kern w:val="2"/>
              <w:szCs w:val="24"/>
              <w:lang w:val="en-US" w:eastAsia="zh-CN" w:bidi="ar-SA"/>
            </w:rPr>
            <w:fldChar w:fldCharType="end"/>
          </w:r>
        </w:p>
      </w:sdtContent>
    </w:sdt>
    <w:p w14:paraId="64341524">
      <w:pPr>
        <w:tabs>
          <w:tab w:val="left" w:pos="1126"/>
        </w:tabs>
        <w:bidi w:val="0"/>
        <w:jc w:val="left"/>
        <w:rPr>
          <w:rFonts w:hint="eastAsia" w:ascii="宋体" w:hAnsi="宋体" w:eastAsia="宋体" w:cs="宋体"/>
          <w:snapToGrid/>
          <w:kern w:val="2"/>
          <w:sz w:val="21"/>
          <w:szCs w:val="24"/>
          <w:lang w:val="en-US" w:eastAsia="zh-CN" w:bidi="ar-SA"/>
        </w:rPr>
      </w:pPr>
      <w:bookmarkStart w:id="44" w:name="_GoBack"/>
      <w:bookmarkEnd w:id="44"/>
    </w:p>
    <w:p w14:paraId="0FF05BBF">
      <w:r>
        <w:fldChar w:fldCharType="begin"/>
      </w:r>
      <w:r>
        <w:instrText xml:space="preserve">TOC \o "1-3" \h \z \u</w:instrText>
      </w:r>
      <w:r>
        <w:fldChar w:fldCharType="separate"/>
      </w:r>
      <w:r>
        <w:fldChar w:fldCharType="end"/>
      </w:r>
    </w:p>
    <w:p w14:paraId="5ECD9460">
      <w:pPr>
        <w:pStyle w:val="2"/>
        <w:spacing w:before="0" w:after="0"/>
        <w:ind w:left="120"/>
        <w:jc w:val="left"/>
      </w:pPr>
      <w:bookmarkStart w:id="1" w:name="_Toc32687"/>
      <w:r>
        <w:rPr>
          <w:rFonts w:ascii="Times New Roman" w:hAnsi="Times New Roman"/>
          <w:color w:val="000000"/>
        </w:rPr>
        <w:t>项目建设背景</w:t>
      </w:r>
      <w:bookmarkEnd w:id="1"/>
    </w:p>
    <w:p w14:paraId="53D7FE9E">
      <w:pPr>
        <w:pStyle w:val="3"/>
        <w:spacing w:before="0" w:after="0"/>
        <w:ind w:left="120"/>
        <w:jc w:val="left"/>
      </w:pPr>
      <w:bookmarkStart w:id="2" w:name="_Toc28132"/>
      <w:r>
        <w:rPr>
          <w:rFonts w:ascii="Times New Roman" w:hAnsi="Times New Roman"/>
          <w:color w:val="000000"/>
        </w:rPr>
        <w:t>项目背景</w:t>
      </w:r>
      <w:bookmarkEnd w:id="2"/>
    </w:p>
    <w:p w14:paraId="50A9CFCC">
      <w:pPr>
        <w:spacing w:before="0" w:after="0" w:line="360" w:lineRule="auto"/>
        <w:ind w:left="120"/>
        <w:jc w:val="left"/>
      </w:pPr>
      <w:r>
        <w:rPr>
          <w:rFonts w:ascii="Times New Roman" w:hAnsi="Times New Roman"/>
          <w:b w:val="0"/>
          <w:i w:val="0"/>
          <w:color w:val="000000"/>
          <w:sz w:val="20"/>
        </w:rPr>
        <w:t>金诚信矿业管理股份有限公司作为集矿山工程建设、采矿运营管理、矿山设计与技术研发、矿山机械设备制造和矿山资源开发于一体的国际化矿业综合服务企业，在数字化转型过程中，数据已成为支撑企业核心竞争力的关键资产，涵盖矿产资料、财务数据、方案设计材料等敏感信息。随着业务规模的扩大和全球化布局，企业数据呈现分布式存储、多渠道流转的特点，内部员工操作行为与外部网络环境的复杂性显著提升。</w:t>
      </w:r>
    </w:p>
    <w:p w14:paraId="46DB2190">
      <w:pPr>
        <w:spacing w:before="0" w:after="0" w:line="360" w:lineRule="auto"/>
        <w:ind w:left="120"/>
        <w:jc w:val="left"/>
      </w:pPr>
      <w:r>
        <w:rPr>
          <w:rFonts w:ascii="Times New Roman" w:hAnsi="Times New Roman"/>
          <w:b w:val="0"/>
          <w:i w:val="0"/>
          <w:color w:val="000000"/>
          <w:sz w:val="20"/>
        </w:rPr>
        <w:t>当前，矿业行业数据安全风险呈现常态化趋势，内部人员违规操作（如离职拷贝、违规外发）与外部网络攻击（如病毒入侵、定向渗透）等威胁交织，已导致金诚信矿业出现部分数据安全事件，对企业商业机密保护和业务连续性造成潜在影响。数据安全作为企业数字化转型的基础保障，其防护能力建设已成为制约企业高质量发展的关键环节。</w:t>
      </w:r>
    </w:p>
    <w:p w14:paraId="28DAD83A">
      <w:pPr>
        <w:spacing w:before="0" w:after="0" w:line="360" w:lineRule="auto"/>
        <w:ind w:left="120"/>
        <w:jc w:val="left"/>
      </w:pPr>
      <w:r>
        <w:rPr>
          <w:rFonts w:ascii="Times New Roman" w:hAnsi="Times New Roman"/>
          <w:b w:val="0"/>
          <w:i w:val="0"/>
          <w:color w:val="000000"/>
          <w:sz w:val="20"/>
        </w:rPr>
        <w:t>从行业发展趋势看，全球矿业正加速向智能化、数字化转型，矿山服务业务的全球化竞争加剧，核心数据资产（如地质报告、采矿计划、技术方案）的安全防护直接关系企业市场竞争力。同时，数据要素市场化配置政策推动下，矿业企业需通过构建系统化的数据安全体系，实现数据资产的合规管理与安全利用，为业务持续发展奠定基础。</w:t>
      </w:r>
    </w:p>
    <w:p w14:paraId="0BABEA8C">
      <w:pPr>
        <w:pStyle w:val="3"/>
        <w:spacing w:before="0" w:after="0"/>
        <w:ind w:left="120"/>
        <w:jc w:val="left"/>
      </w:pPr>
      <w:bookmarkStart w:id="3" w:name="_Toc29413"/>
      <w:r>
        <w:rPr>
          <w:rFonts w:ascii="Times New Roman" w:hAnsi="Times New Roman"/>
          <w:color w:val="000000"/>
        </w:rPr>
        <w:t>建设目标</w:t>
      </w:r>
      <w:bookmarkEnd w:id="3"/>
    </w:p>
    <w:p w14:paraId="35DC4A5A">
      <w:pPr>
        <w:spacing w:before="0" w:after="0" w:line="360" w:lineRule="auto"/>
        <w:ind w:left="120"/>
        <w:jc w:val="left"/>
      </w:pPr>
      <w:r>
        <w:rPr>
          <w:rFonts w:ascii="Times New Roman" w:hAnsi="Times New Roman"/>
          <w:b w:val="0"/>
          <w:i w:val="0"/>
          <w:color w:val="000000"/>
          <w:sz w:val="20"/>
        </w:rPr>
        <w:t>基于金诚信矿业数据安全现状及业务发展需求，本项目旨在通过构建覆盖数据全生命周期的安全防护体系，实现以下目标：</w:t>
      </w:r>
    </w:p>
    <w:p w14:paraId="4AF66592">
      <w:pPr>
        <w:numPr>
          <w:ilvl w:val="0"/>
          <w:numId w:val="10"/>
        </w:numPr>
        <w:spacing w:before="0" w:after="0" w:line="360" w:lineRule="auto"/>
        <w:ind w:leftChars="1" w:firstLineChars="0"/>
        <w:jc w:val="left"/>
      </w:pPr>
      <w:r>
        <w:rPr>
          <w:rFonts w:ascii="Times New Roman" w:hAnsi="Times New Roman"/>
          <w:b/>
          <w:i w:val="0"/>
          <w:color w:val="000000"/>
          <w:sz w:val="20"/>
        </w:rPr>
        <w:t>提升数据防泄密能力</w:t>
      </w:r>
      <w:r>
        <w:rPr>
          <w:rFonts w:ascii="Times New Roman" w:hAnsi="Times New Roman"/>
          <w:b w:val="0"/>
          <w:i w:val="0"/>
          <w:color w:val="000000"/>
          <w:sz w:val="20"/>
        </w:rPr>
        <w:t xml:space="preserve"> ：部署</w:t>
      </w:r>
      <w:r>
        <w:rPr>
          <w:rFonts w:hint="eastAsia" w:ascii="Times New Roman" w:hAnsi="Times New Roman"/>
          <w:b w:val="0"/>
          <w:i w:val="0"/>
          <w:color w:val="000000"/>
          <w:sz w:val="20"/>
          <w:lang w:eastAsia="zh-CN"/>
        </w:rPr>
        <w:t>防泄密分析中心</w:t>
      </w:r>
      <w:r>
        <w:rPr>
          <w:rFonts w:ascii="Times New Roman" w:hAnsi="Times New Roman"/>
          <w:b w:val="0"/>
          <w:i w:val="0"/>
          <w:color w:val="000000"/>
          <w:sz w:val="20"/>
        </w:rPr>
        <w:t>，实现对矿产资料、财务数据等核心敏感数据的全链路防护，阻断未授权的数据泄露渠道。</w:t>
      </w:r>
    </w:p>
    <w:p w14:paraId="22B607C9">
      <w:pPr>
        <w:numPr>
          <w:ilvl w:val="0"/>
          <w:numId w:val="10"/>
        </w:numPr>
        <w:spacing w:before="0" w:after="0" w:line="360" w:lineRule="auto"/>
        <w:ind w:leftChars="1" w:firstLineChars="0"/>
        <w:jc w:val="left"/>
      </w:pPr>
      <w:r>
        <w:rPr>
          <w:rFonts w:ascii="Times New Roman" w:hAnsi="Times New Roman"/>
          <w:b/>
          <w:i w:val="0"/>
          <w:color w:val="000000"/>
          <w:sz w:val="20"/>
        </w:rPr>
        <w:t>强化文件外发管控</w:t>
      </w:r>
      <w:r>
        <w:rPr>
          <w:rFonts w:ascii="Times New Roman" w:hAnsi="Times New Roman"/>
          <w:b w:val="0"/>
          <w:i w:val="0"/>
          <w:color w:val="000000"/>
          <w:sz w:val="20"/>
        </w:rPr>
        <w:t xml:space="preserve"> ：通过XDLP技术实现对外发文件的动态权限管理与加密保护，确保敏感文件在授权范围内可控流转。</w:t>
      </w:r>
    </w:p>
    <w:p w14:paraId="364621C8">
      <w:pPr>
        <w:numPr>
          <w:ilvl w:val="0"/>
          <w:numId w:val="10"/>
        </w:numPr>
        <w:spacing w:before="0" w:after="0" w:line="360" w:lineRule="auto"/>
        <w:ind w:leftChars="1" w:firstLineChars="0"/>
        <w:jc w:val="left"/>
      </w:pPr>
      <w:r>
        <w:rPr>
          <w:rFonts w:ascii="Times New Roman" w:hAnsi="Times New Roman"/>
          <w:b/>
          <w:i w:val="0"/>
          <w:color w:val="000000"/>
          <w:sz w:val="20"/>
        </w:rPr>
        <w:t>建立零信任访问机制</w:t>
      </w:r>
      <w:r>
        <w:rPr>
          <w:rFonts w:ascii="Times New Roman" w:hAnsi="Times New Roman"/>
          <w:b w:val="0"/>
          <w:i w:val="0"/>
          <w:color w:val="000000"/>
          <w:sz w:val="20"/>
        </w:rPr>
        <w:t xml:space="preserve"> ：依托零信任(aTrust)技术构建"身份-设备-数据"的动态访问控制体系，实现核心数据的最小权限访问。</w:t>
      </w:r>
    </w:p>
    <w:p w14:paraId="16006244">
      <w:pPr>
        <w:numPr>
          <w:ilvl w:val="0"/>
          <w:numId w:val="10"/>
        </w:numPr>
        <w:spacing w:before="0" w:after="0" w:line="360" w:lineRule="auto"/>
        <w:ind w:leftChars="1" w:firstLineChars="0"/>
        <w:jc w:val="left"/>
      </w:pPr>
      <w:r>
        <w:rPr>
          <w:rFonts w:ascii="Times New Roman" w:hAnsi="Times New Roman"/>
          <w:b/>
          <w:i w:val="0"/>
          <w:color w:val="000000"/>
          <w:sz w:val="20"/>
        </w:rPr>
        <w:t>完善安全审计追溯</w:t>
      </w:r>
      <w:r>
        <w:rPr>
          <w:rFonts w:ascii="Times New Roman" w:hAnsi="Times New Roman"/>
          <w:b w:val="0"/>
          <w:i w:val="0"/>
          <w:color w:val="000000"/>
          <w:sz w:val="20"/>
        </w:rPr>
        <w:t xml:space="preserve"> ：构建数据操作行为审计平台，实现敏感数据访问、流转的全流程日志记录与追溯分析，为安全事件处置提供依据。</w:t>
      </w:r>
    </w:p>
    <w:p w14:paraId="004E9EDF">
      <w:pPr>
        <w:pStyle w:val="3"/>
        <w:spacing w:before="0" w:after="0"/>
        <w:ind w:left="120"/>
        <w:jc w:val="left"/>
      </w:pPr>
      <w:bookmarkStart w:id="4" w:name="_Toc19896"/>
      <w:r>
        <w:rPr>
          <w:rFonts w:ascii="Times New Roman" w:hAnsi="Times New Roman"/>
          <w:color w:val="000000"/>
        </w:rPr>
        <w:t>建设需求范围</w:t>
      </w:r>
      <w:bookmarkEnd w:id="4"/>
    </w:p>
    <w:p w14:paraId="34F42162">
      <w:pPr>
        <w:spacing w:before="0" w:after="0" w:line="360" w:lineRule="auto"/>
        <w:ind w:left="120"/>
        <w:jc w:val="left"/>
      </w:pPr>
      <w:r>
        <w:rPr>
          <w:rFonts w:ascii="Times New Roman" w:hAnsi="Times New Roman"/>
          <w:b w:val="0"/>
          <w:i w:val="0"/>
          <w:color w:val="000000"/>
          <w:sz w:val="20"/>
        </w:rPr>
        <w:t>本项目覆盖金诚信矿业总部及下属业务部门，具体包括：</w:t>
      </w:r>
    </w:p>
    <w:p w14:paraId="57787552">
      <w:pPr>
        <w:numPr>
          <w:ilvl w:val="0"/>
          <w:numId w:val="11"/>
        </w:numPr>
        <w:spacing w:before="0" w:after="0" w:line="360" w:lineRule="auto"/>
        <w:ind w:leftChars="1" w:firstLineChars="0"/>
        <w:jc w:val="left"/>
      </w:pPr>
      <w:r>
        <w:rPr>
          <w:rFonts w:ascii="Times New Roman" w:hAnsi="Times New Roman"/>
          <w:b/>
          <w:i w:val="0"/>
          <w:color w:val="000000"/>
          <w:sz w:val="20"/>
        </w:rPr>
        <w:t>终端范围</w:t>
      </w:r>
      <w:r>
        <w:rPr>
          <w:rFonts w:ascii="Times New Roman" w:hAnsi="Times New Roman"/>
          <w:b w:val="0"/>
          <w:i w:val="0"/>
          <w:color w:val="000000"/>
          <w:sz w:val="20"/>
        </w:rPr>
        <w:t xml:space="preserve"> ：总部及各分支机构办公终端、研发设计终端、生产管理终端</w:t>
      </w:r>
    </w:p>
    <w:p w14:paraId="6BB0B7A0">
      <w:pPr>
        <w:numPr>
          <w:ilvl w:val="0"/>
          <w:numId w:val="11"/>
        </w:numPr>
        <w:spacing w:before="0" w:after="0" w:line="360" w:lineRule="auto"/>
        <w:ind w:leftChars="1" w:firstLineChars="0"/>
        <w:jc w:val="left"/>
      </w:pPr>
      <w:r>
        <w:rPr>
          <w:rFonts w:ascii="Times New Roman" w:hAnsi="Times New Roman"/>
          <w:b/>
          <w:i w:val="0"/>
          <w:color w:val="000000"/>
          <w:sz w:val="20"/>
        </w:rPr>
        <w:t>数据范围</w:t>
      </w:r>
      <w:r>
        <w:rPr>
          <w:rFonts w:ascii="Times New Roman" w:hAnsi="Times New Roman"/>
          <w:b w:val="0"/>
          <w:i w:val="0"/>
          <w:color w:val="000000"/>
          <w:sz w:val="20"/>
        </w:rPr>
        <w:t xml:space="preserve"> ：矿产资源地质数据、采矿工程方案、财务报表、核心技术文档等敏感数据</w:t>
      </w:r>
    </w:p>
    <w:p w14:paraId="5D8C74B3">
      <w:pPr>
        <w:numPr>
          <w:ilvl w:val="0"/>
          <w:numId w:val="11"/>
        </w:numPr>
        <w:spacing w:before="0" w:after="0" w:line="360" w:lineRule="auto"/>
        <w:ind w:leftChars="1" w:firstLineChars="0"/>
        <w:jc w:val="left"/>
      </w:pPr>
      <w:r>
        <w:rPr>
          <w:rFonts w:ascii="Times New Roman" w:hAnsi="Times New Roman"/>
          <w:b/>
          <w:i w:val="0"/>
          <w:color w:val="000000"/>
          <w:sz w:val="20"/>
        </w:rPr>
        <w:t>业务系统</w:t>
      </w:r>
      <w:r>
        <w:rPr>
          <w:rFonts w:ascii="Times New Roman" w:hAnsi="Times New Roman"/>
          <w:b w:val="0"/>
          <w:i w:val="0"/>
          <w:color w:val="000000"/>
          <w:sz w:val="20"/>
        </w:rPr>
        <w:t xml:space="preserve"> ：矿山工程管理系统、采矿运营调度系统、财务ERP系统、技术研发平台</w:t>
      </w:r>
    </w:p>
    <w:p w14:paraId="34B53063">
      <w:pPr>
        <w:numPr>
          <w:ilvl w:val="0"/>
          <w:numId w:val="11"/>
        </w:numPr>
        <w:spacing w:before="0" w:after="0" w:line="360" w:lineRule="auto"/>
        <w:ind w:leftChars="1" w:firstLineChars="0"/>
        <w:jc w:val="left"/>
      </w:pPr>
      <w:r>
        <w:rPr>
          <w:rFonts w:ascii="Times New Roman" w:hAnsi="Times New Roman"/>
          <w:b/>
          <w:i w:val="0"/>
          <w:color w:val="000000"/>
          <w:sz w:val="20"/>
        </w:rPr>
        <w:t>网络边界</w:t>
      </w:r>
      <w:r>
        <w:rPr>
          <w:rFonts w:ascii="Times New Roman" w:hAnsi="Times New Roman"/>
          <w:b w:val="0"/>
          <w:i w:val="0"/>
          <w:color w:val="000000"/>
          <w:sz w:val="20"/>
        </w:rPr>
        <w:t xml:space="preserve"> ：互联网出口、分支机构接入链路、远程办公接入通道</w:t>
      </w:r>
    </w:p>
    <w:p w14:paraId="7AEE975D">
      <w:pPr>
        <w:pStyle w:val="2"/>
        <w:spacing w:before="0" w:after="0"/>
        <w:ind w:left="120"/>
        <w:jc w:val="left"/>
      </w:pPr>
      <w:bookmarkStart w:id="5" w:name="_Toc13744"/>
      <w:r>
        <w:rPr>
          <w:rFonts w:ascii="Times New Roman" w:hAnsi="Times New Roman"/>
          <w:color w:val="000000"/>
        </w:rPr>
        <w:t>项目需求分析</w:t>
      </w:r>
      <w:bookmarkEnd w:id="5"/>
    </w:p>
    <w:p w14:paraId="44705BE6">
      <w:pPr>
        <w:pStyle w:val="3"/>
        <w:spacing w:before="0" w:after="0"/>
        <w:ind w:left="120"/>
        <w:jc w:val="left"/>
      </w:pPr>
      <w:bookmarkStart w:id="6" w:name="_Toc12960"/>
      <w:r>
        <w:rPr>
          <w:rFonts w:ascii="Times New Roman" w:hAnsi="Times New Roman"/>
          <w:color w:val="000000"/>
        </w:rPr>
        <w:t>组织合规性建设</w:t>
      </w:r>
      <w:bookmarkEnd w:id="6"/>
    </w:p>
    <w:p w14:paraId="25488DE0">
      <w:pPr>
        <w:spacing w:before="0" w:after="0" w:line="360" w:lineRule="auto"/>
        <w:ind w:left="120"/>
        <w:jc w:val="left"/>
      </w:pPr>
      <w:r>
        <w:rPr>
          <w:rFonts w:ascii="Times New Roman" w:hAnsi="Times New Roman"/>
          <w:b w:val="0"/>
          <w:i w:val="0"/>
          <w:color w:val="000000"/>
          <w:sz w:val="20"/>
        </w:rPr>
        <w:t>金诚信矿业管理股份有限公司作为国际化矿业综合服务企业，在数据安全合规方面需应对多维度监管要求。当前矿业行业数据安全相关法规体系不断完善，《网络安全法》《数据安全法》《个人信息保护法》等法律法规对企业数据处理活动提出明确合规要求。同时，GB/T 37988-2019《数据安全能力成熟度模型》、GB/T 38667-2020《数据分类指南》等国家标准进一步细化了数据安全管理规范。由于外部法规与行业标准种类繁多，需将其系统梳理转化为企业内部可执行的合规基线，确保矿产资料、财务数据等核心数据处理活动符合法律法规要求，避免因合规缺失导致的经营风险。</w:t>
      </w:r>
    </w:p>
    <w:p w14:paraId="01D68F23">
      <w:pPr>
        <w:pStyle w:val="3"/>
        <w:spacing w:before="0" w:after="0"/>
        <w:ind w:left="120"/>
        <w:jc w:val="left"/>
      </w:pPr>
      <w:bookmarkStart w:id="7" w:name="_Toc689"/>
      <w:r>
        <w:rPr>
          <w:rFonts w:ascii="Times New Roman" w:hAnsi="Times New Roman"/>
          <w:color w:val="000000"/>
        </w:rPr>
        <w:t>敏感数据资产识别</w:t>
      </w:r>
      <w:bookmarkEnd w:id="7"/>
    </w:p>
    <w:p w14:paraId="0A114F8F">
      <w:pPr>
        <w:spacing w:before="0" w:after="0" w:line="360" w:lineRule="auto"/>
        <w:ind w:left="120"/>
        <w:jc w:val="left"/>
      </w:pPr>
      <w:r>
        <w:rPr>
          <w:rFonts w:ascii="Times New Roman" w:hAnsi="Times New Roman"/>
          <w:b w:val="0"/>
          <w:i w:val="0"/>
          <w:color w:val="000000"/>
          <w:sz w:val="20"/>
        </w:rPr>
        <w:t>随着金诚信矿业数字化转型深入，企业数据资产规模持续扩大，涵盖矿产资源地质数据、采矿工程方案、财务报表、核心技术文档等多类型敏感数据。当前企业面临数据资产构成不明晰、关键数据识别困难等问题，导致数据安全防护缺乏精准目标。需通过技术手段实现敏感数据的自动化识别与分级分类，例如采用正则表达式匹配识别结构化数据（如财务数据中的银行卡号）、关键字匹配标记非结构化文档（如采矿方案中的技术参数），同时结合业务场景建立数据血缘关系图谱，追溯敏感数据从生成到存储的完整流转路径，为后续防护策略制定提供精准依据。</w:t>
      </w:r>
    </w:p>
    <w:p w14:paraId="216975B8">
      <w:pPr>
        <w:pStyle w:val="3"/>
        <w:spacing w:before="0" w:after="0"/>
        <w:ind w:left="120"/>
        <w:jc w:val="left"/>
      </w:pPr>
      <w:bookmarkStart w:id="8" w:name="_Toc19856"/>
      <w:r>
        <w:rPr>
          <w:rFonts w:ascii="Times New Roman" w:hAnsi="Times New Roman"/>
          <w:color w:val="000000"/>
        </w:rPr>
        <w:t>数据外发风险管控</w:t>
      </w:r>
      <w:bookmarkEnd w:id="8"/>
    </w:p>
    <w:p w14:paraId="3AD70761">
      <w:pPr>
        <w:spacing w:before="0" w:after="0" w:line="360" w:lineRule="auto"/>
        <w:ind w:left="120"/>
        <w:jc w:val="left"/>
      </w:pPr>
      <w:r>
        <w:rPr>
          <w:rFonts w:ascii="Times New Roman" w:hAnsi="Times New Roman"/>
          <w:b w:val="0"/>
          <w:i w:val="0"/>
          <w:color w:val="000000"/>
          <w:sz w:val="20"/>
        </w:rPr>
        <w:t>金诚信矿业在业务开展过程中存在大量文件外发场景，如与合作伙伴共享项目资料、向监管机构提交报告等。当前内部员工违规外发敏感资料问题频发，传统文件外发管理方式难以实现全流程可控。需建立数据外发动态管控机制，对不同密级文件设置差异化外发策略：核心机密文件禁止外发，重要数据外发需审批并记录轨迹，普通数据限制外发范围。同时通过透明加密技术对敏感文件进行处理，确保文件脱离企业环境后无法打开，有效阻断非授权外发渠道导致的数据泄露风险。</w:t>
      </w:r>
    </w:p>
    <w:p w14:paraId="77057EEF">
      <w:pPr>
        <w:pStyle w:val="3"/>
        <w:spacing w:before="0" w:after="0"/>
        <w:ind w:left="120"/>
        <w:jc w:val="left"/>
      </w:pPr>
      <w:bookmarkStart w:id="9" w:name="_Toc19636"/>
      <w:r>
        <w:rPr>
          <w:rFonts w:ascii="Times New Roman" w:hAnsi="Times New Roman"/>
          <w:color w:val="000000"/>
        </w:rPr>
        <w:t>终端泄密行为拦截</w:t>
      </w:r>
      <w:bookmarkEnd w:id="9"/>
    </w:p>
    <w:p w14:paraId="3A694887">
      <w:pPr>
        <w:spacing w:before="0" w:after="0" w:line="360" w:lineRule="auto"/>
        <w:ind w:left="120"/>
        <w:jc w:val="left"/>
      </w:pPr>
      <w:r>
        <w:rPr>
          <w:rFonts w:ascii="Times New Roman" w:hAnsi="Times New Roman"/>
          <w:b w:val="0"/>
          <w:i w:val="0"/>
          <w:color w:val="000000"/>
          <w:sz w:val="20"/>
        </w:rPr>
        <w:t>终端作为数据交互的重要节点，是数据泄露的主要源头之一。金诚信矿业员工人数众多，终端设备分布广泛，存在内部人员通过终端进行离职批量拷贝、违规操作等泄密行为。需从多维度实施终端泄密行为管控：在文件操作层面，基于文件内容、路径等信息限制打开、复制、删除等操作；在网络传输层面，监控邮件、即时通讯、云存储等渠道的文件传输行为；在外设管理层面，限制U盘、移动硬盘等外部存储设备的使用权限。通过构建终端全方位防护体系，实现对泄密行为的实时拦截与处置。</w:t>
      </w:r>
    </w:p>
    <w:p w14:paraId="49FD3797">
      <w:pPr>
        <w:pStyle w:val="3"/>
        <w:spacing w:before="0" w:after="0"/>
        <w:ind w:left="120"/>
        <w:jc w:val="left"/>
      </w:pPr>
      <w:bookmarkStart w:id="10" w:name="_Toc15666"/>
      <w:r>
        <w:rPr>
          <w:rFonts w:ascii="Times New Roman" w:hAnsi="Times New Roman"/>
          <w:color w:val="000000"/>
        </w:rPr>
        <w:t>异常访问行为追溯</w:t>
      </w:r>
      <w:bookmarkEnd w:id="10"/>
    </w:p>
    <w:p w14:paraId="38F1E27C">
      <w:pPr>
        <w:spacing w:before="0" w:after="0" w:line="360" w:lineRule="auto"/>
        <w:ind w:left="120"/>
        <w:jc w:val="left"/>
      </w:pPr>
      <w:r>
        <w:rPr>
          <w:rFonts w:ascii="Times New Roman" w:hAnsi="Times New Roman"/>
          <w:b w:val="0"/>
          <w:i w:val="0"/>
          <w:color w:val="000000"/>
          <w:sz w:val="20"/>
        </w:rPr>
        <w:t>金诚信矿业核心业务系统与敏感数据面临未授权访问风险，传统访问控制方式难以应对复杂的内部威胁。需建立异常访问行为监测与追溯机制，通过采集终端操作日志、网络访问记录等数据，运用行为分析技术识别可疑操作模式。例如，当用户出现非工作时间大量下载敏感数据、异常IP地址登录核心系统等行为时，系统可自动触发告警。同时，需确保所有访问行为形成不可篡改的审计日志，详细记录操作人、时间、设备等信息，为泄密事件发生后的快速溯源提供完整依据，实现“行为可审计、事件可追溯”的安全管理目标。</w:t>
      </w:r>
    </w:p>
    <w:p w14:paraId="4524D08A">
      <w:pPr>
        <w:pStyle w:val="2"/>
        <w:spacing w:before="0" w:after="0"/>
        <w:ind w:left="120"/>
        <w:jc w:val="left"/>
      </w:pPr>
      <w:bookmarkStart w:id="11" w:name="_Toc14950"/>
      <w:r>
        <w:rPr>
          <w:rFonts w:ascii="Times New Roman" w:hAnsi="Times New Roman"/>
          <w:color w:val="000000"/>
        </w:rPr>
        <w:t>项目建设思路</w:t>
      </w:r>
      <w:bookmarkEnd w:id="11"/>
    </w:p>
    <w:p w14:paraId="65495264">
      <w:pPr>
        <w:pStyle w:val="3"/>
        <w:spacing w:before="0" w:after="0"/>
        <w:ind w:left="120"/>
        <w:jc w:val="left"/>
      </w:pPr>
      <w:bookmarkStart w:id="12" w:name="_Toc19825"/>
      <w:r>
        <w:rPr>
          <w:rFonts w:ascii="Times New Roman" w:hAnsi="Times New Roman"/>
          <w:color w:val="000000"/>
        </w:rPr>
        <w:t>常见数据安全方案适用性分析</w:t>
      </w:r>
      <w:bookmarkEnd w:id="12"/>
    </w:p>
    <w:p w14:paraId="734B1E77">
      <w:pPr>
        <w:pStyle w:val="4"/>
        <w:spacing w:before="0" w:after="0"/>
        <w:ind w:left="120"/>
        <w:jc w:val="left"/>
      </w:pPr>
      <w:bookmarkStart w:id="13" w:name="_Toc20556"/>
      <w:r>
        <w:rPr>
          <w:rFonts w:ascii="Times New Roman" w:hAnsi="Times New Roman"/>
          <w:color w:val="000000"/>
        </w:rPr>
        <w:t>DLP类方案</w:t>
      </w:r>
      <w:bookmarkEnd w:id="13"/>
    </w:p>
    <w:p w14:paraId="6CCCF60D">
      <w:pPr>
        <w:spacing w:before="0" w:after="0" w:line="360" w:lineRule="auto"/>
        <w:ind w:left="120"/>
        <w:jc w:val="left"/>
      </w:pPr>
      <w:r>
        <w:rPr>
          <w:rFonts w:ascii="Times New Roman" w:hAnsi="Times New Roman"/>
          <w:b w:val="0"/>
          <w:i w:val="0"/>
          <w:color w:val="000000"/>
          <w:sz w:val="20"/>
        </w:rPr>
        <w:t>传统数据泄露防护（DLP）方案通过终端客户端捕获数据流转或网络网关控制传输流量，结合敏感数据规则定义，实现对数据泄露行为的阻断与审计，主要分为终端DLP和网络DLP两类。此类方案适用于一般办公场景的全员数据安全保护，部署维护流程相对简单，对用户日常办公习惯影响较小。</w:t>
      </w:r>
    </w:p>
    <w:p w14:paraId="75C7BB5F">
      <w:pPr>
        <w:spacing w:before="0" w:after="0" w:line="360" w:lineRule="auto"/>
        <w:ind w:left="120"/>
        <w:jc w:val="left"/>
      </w:pPr>
      <w:r>
        <w:rPr>
          <w:rFonts w:ascii="Times New Roman" w:hAnsi="Times New Roman"/>
          <w:b w:val="0"/>
          <w:i w:val="0"/>
          <w:color w:val="000000"/>
          <w:sz w:val="20"/>
        </w:rPr>
        <w:t>但传统DLP方案面临规则配置复杂、持续运营成本高的挑战，敏感数据分级定义需专业人员持续投入，且告警信息量大，关键信息提取困难，影响落地效果。针对这些问题，创新的XDLP方案引入基于文件来源的敏感分级分类标识机制，结合文件追踪技术，在终端侧对敏感文件后续操作进行实时监控记录，提升防泄密策略的统一性与管控精准度。</w:t>
      </w:r>
    </w:p>
    <w:p w14:paraId="148E8FD2">
      <w:pPr>
        <w:spacing w:before="0" w:after="0" w:line="360" w:lineRule="auto"/>
        <w:ind w:left="120"/>
        <w:jc w:val="left"/>
      </w:pPr>
      <w:r>
        <w:rPr>
          <w:rFonts w:ascii="Times New Roman" w:hAnsi="Times New Roman"/>
          <w:b w:val="0"/>
          <w:i w:val="0"/>
          <w:color w:val="000000"/>
          <w:sz w:val="20"/>
        </w:rPr>
        <w:t>对于金诚信矿业管理股份有限公司而言，DLP类方案可覆盖员工日常办公中的数据外发场景，但其规则复杂性需结合企业实际数据类型（如矿产资料、技术文档）进行针对性优化，以适应核心数据的高敏感性需求。</w:t>
      </w:r>
    </w:p>
    <w:p w14:paraId="10FC6410">
      <w:pPr>
        <w:pStyle w:val="4"/>
        <w:spacing w:before="0" w:after="0"/>
        <w:ind w:left="120"/>
        <w:jc w:val="left"/>
      </w:pPr>
      <w:bookmarkStart w:id="14" w:name="_Toc16371"/>
      <w:r>
        <w:rPr>
          <w:rFonts w:ascii="Times New Roman" w:hAnsi="Times New Roman"/>
          <w:color w:val="000000"/>
        </w:rPr>
        <w:t>零信任访问控制方案</w:t>
      </w:r>
      <w:bookmarkEnd w:id="14"/>
    </w:p>
    <w:p w14:paraId="38FC3DB2">
      <w:pPr>
        <w:spacing w:before="0" w:after="0" w:line="360" w:lineRule="auto"/>
        <w:ind w:left="120"/>
        <w:jc w:val="left"/>
      </w:pPr>
      <w:r>
        <w:rPr>
          <w:rFonts w:ascii="Times New Roman" w:hAnsi="Times New Roman"/>
          <w:b w:val="0"/>
          <w:i w:val="0"/>
          <w:color w:val="000000"/>
          <w:sz w:val="20"/>
        </w:rPr>
        <w:t>零信任访问控制方案以“永不信任，始终验证”为核心，通过身份认证、设备健康检查、最小权限原则等手段，对用户访问业务系统的权限进行动态管控。其核心思路是收缩用户获取数据及外发数据的通路权限，降低数据泄露风险，例如通过身份验证和授权限制未经授权用户访问核心业务系统。</w:t>
      </w:r>
    </w:p>
    <w:p w14:paraId="2A3AF6C4">
      <w:pPr>
        <w:spacing w:before="0" w:after="0" w:line="360" w:lineRule="auto"/>
        <w:ind w:left="120"/>
        <w:jc w:val="left"/>
      </w:pPr>
      <w:r>
        <w:rPr>
          <w:rFonts w:ascii="Times New Roman" w:hAnsi="Times New Roman"/>
          <w:b w:val="0"/>
          <w:i w:val="0"/>
          <w:color w:val="000000"/>
          <w:sz w:val="20"/>
        </w:rPr>
        <w:t>该方案部署维护简单，对终端用户体验影响较小，适用于控制数据访问源头风险。但传统零信任方案主要关注访问权限管控，难以对数据获取后的进一步操作（如复制、下载、外发）进行精细化管控，需结合其他技术手段弥补数据操作层面的防护短板。</w:t>
      </w:r>
    </w:p>
    <w:p w14:paraId="780181F6">
      <w:pPr>
        <w:spacing w:before="0" w:after="0" w:line="360" w:lineRule="auto"/>
        <w:ind w:left="120"/>
        <w:jc w:val="left"/>
      </w:pPr>
      <w:r>
        <w:rPr>
          <w:rFonts w:ascii="Times New Roman" w:hAnsi="Times New Roman"/>
          <w:b w:val="0"/>
          <w:i w:val="0"/>
          <w:color w:val="000000"/>
          <w:sz w:val="20"/>
        </w:rPr>
        <w:t>结合金诚信矿业管理股份有限公司员工人数众多、终端分布广泛的特点，零信任访问控制方案可有效解决远程办公、多场景接入下的身份认证与权限收缩问题，为核心业务系统访问提供基础安全保障。</w:t>
      </w:r>
    </w:p>
    <w:p w14:paraId="4548E127">
      <w:pPr>
        <w:pStyle w:val="4"/>
        <w:spacing w:before="0" w:after="0"/>
        <w:ind w:left="120"/>
        <w:jc w:val="left"/>
      </w:pPr>
      <w:bookmarkStart w:id="15" w:name="_Toc17350"/>
      <w:r>
        <w:rPr>
          <w:rFonts w:ascii="Times New Roman" w:hAnsi="Times New Roman"/>
          <w:color w:val="000000"/>
        </w:rPr>
        <w:t>终端行为管控方案</w:t>
      </w:r>
      <w:bookmarkEnd w:id="15"/>
    </w:p>
    <w:p w14:paraId="63CC72CD">
      <w:pPr>
        <w:spacing w:before="0" w:after="0" w:line="360" w:lineRule="auto"/>
        <w:ind w:left="120"/>
        <w:jc w:val="left"/>
      </w:pPr>
      <w:r>
        <w:rPr>
          <w:rFonts w:ascii="Times New Roman" w:hAnsi="Times New Roman"/>
          <w:b w:val="0"/>
          <w:i w:val="0"/>
          <w:color w:val="000000"/>
          <w:sz w:val="20"/>
        </w:rPr>
        <w:t>终端行为管控方案通过技术手段对终端设备的操作行为进行监控与限制，涵盖文件操作管控（如复制、重命名、压缩）、外设使用管控（如U盘、蓝牙）、网络传输管控（如邮件、即时通讯工具外发）等维度，旨在从终端源头阻断数据泄露渠道。</w:t>
      </w:r>
    </w:p>
    <w:p w14:paraId="6B40592F">
      <w:pPr>
        <w:spacing w:before="0" w:after="0" w:line="360" w:lineRule="auto"/>
        <w:ind w:left="120"/>
        <w:jc w:val="left"/>
      </w:pPr>
      <w:r>
        <w:rPr>
          <w:rFonts w:ascii="Times New Roman" w:hAnsi="Times New Roman"/>
          <w:b w:val="0"/>
          <w:i w:val="0"/>
          <w:color w:val="000000"/>
          <w:sz w:val="20"/>
        </w:rPr>
        <w:t>此类方案可实时监控用户对敏感数据的操作轨迹，及时发现违规行为并干预，适用于防范内部人员恶意操作或误操作导致的数据泄露。但方案部署需对终端进行改造，可能对员工办公效率产生一定影响，且需平衡管控强度与业务灵活性，避免过度限制影响正常工作。</w:t>
      </w:r>
    </w:p>
    <w:p w14:paraId="3D687AFF">
      <w:pPr>
        <w:spacing w:before="0" w:after="0" w:line="360" w:lineRule="auto"/>
        <w:ind w:left="120"/>
        <w:jc w:val="left"/>
      </w:pPr>
      <w:r>
        <w:rPr>
          <w:rFonts w:ascii="Times New Roman" w:hAnsi="Times New Roman"/>
          <w:b w:val="0"/>
          <w:i w:val="0"/>
          <w:color w:val="000000"/>
          <w:sz w:val="20"/>
        </w:rPr>
        <w:t>对于金诚信矿业管理股份有限公司面临的内部员工离职拷贝、违规外发等问题，终端行为管控方案可作为终端侧的关键防护手段，与其他方案协同构建全方位防护体系。</w:t>
      </w:r>
    </w:p>
    <w:p w14:paraId="3D032E6C">
      <w:pPr>
        <w:pStyle w:val="3"/>
        <w:spacing w:before="0" w:after="0"/>
        <w:ind w:left="120"/>
        <w:jc w:val="left"/>
      </w:pPr>
      <w:bookmarkStart w:id="16" w:name="_Toc19878"/>
      <w:r>
        <w:rPr>
          <w:rFonts w:ascii="Times New Roman" w:hAnsi="Times New Roman"/>
          <w:color w:val="000000"/>
        </w:rPr>
        <w:t>总体思路设计</w:t>
      </w:r>
      <w:bookmarkEnd w:id="16"/>
    </w:p>
    <w:p w14:paraId="7AD86550">
      <w:pPr>
        <w:spacing w:before="0" w:after="0" w:line="360" w:lineRule="auto"/>
        <w:ind w:left="120"/>
        <w:jc w:val="left"/>
      </w:pPr>
      <w:r>
        <w:rPr>
          <w:rFonts w:ascii="Times New Roman" w:hAnsi="Times New Roman"/>
          <w:b w:val="0"/>
          <w:i w:val="0"/>
          <w:color w:val="000000"/>
          <w:sz w:val="20"/>
        </w:rPr>
        <w:t>结合金诚信矿业管理股份有限公司数据安全需求及上述方案适用性分析，依据先进数据安全模型，落实“同步设计、同步建设、同步运行”原则，建设“可视、可控、可管、可追溯”的数据安全治理体系。方案以保护矿产资料、财务数据、技术文档等核心敏感数据为目标，采用访问控制与创新防泄密技术结合的思路，收缩员工互联网与业务访问权限，控制数据外泄风险，同时基于数据来源实现敏感数据全链路可视、可控、可溯源，全面覆盖固定场所与移动办公场景。</w:t>
      </w:r>
    </w:p>
    <w:p w14:paraId="19D68002">
      <w:pPr>
        <w:spacing w:before="0" w:after="0" w:line="360" w:lineRule="auto"/>
        <w:ind w:left="120"/>
        <w:jc w:val="left"/>
      </w:pPr>
      <w:r>
        <w:rPr>
          <w:rFonts w:ascii="Times New Roman" w:hAnsi="Times New Roman"/>
          <w:b w:val="0"/>
          <w:i w:val="0"/>
          <w:color w:val="000000"/>
          <w:sz w:val="20"/>
        </w:rPr>
        <w:t>方案总体建设思路如下图所示：</w:t>
      </w:r>
      <w:r>
        <w:br w:type="textWrapping"/>
      </w:r>
    </w:p>
    <w:p w14:paraId="241EFD28">
      <w:pPr>
        <w:spacing w:before="0" w:after="0" w:line="360" w:lineRule="auto"/>
        <w:ind w:left="-360" w:right="0" w:firstLine="0"/>
        <w:jc w:val="left"/>
      </w:pPr>
      <w:r>
        <w:drawing>
          <wp:inline distT="0" distB="0" distL="0" distR="0">
            <wp:extent cx="5274310" cy="27101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4310" cy="2710498"/>
                    </a:xfrm>
                    <a:prstGeom prst="rect">
                      <a:avLst/>
                    </a:prstGeom>
                  </pic:spPr>
                </pic:pic>
              </a:graphicData>
            </a:graphic>
          </wp:inline>
        </w:drawing>
      </w:r>
    </w:p>
    <w:p w14:paraId="102672AC">
      <w:pPr>
        <w:spacing w:before="0" w:after="0" w:line="360" w:lineRule="auto"/>
        <w:ind w:left="120"/>
        <w:jc w:val="left"/>
      </w:pPr>
      <w:r>
        <w:rPr>
          <w:rFonts w:ascii="Times New Roman" w:hAnsi="Times New Roman"/>
          <w:b w:val="0"/>
          <w:i w:val="0"/>
          <w:color w:val="000000"/>
          <w:sz w:val="20"/>
        </w:rPr>
        <w:t>具体实施路径包括：首先，基于文件来源、类型、内容等因素对终端数据文件进行敏感分类定义，结合身份认证实现终端与用户身份对应，根据用户身份、终端环境、网络位置等动态收缩业务系统访问及互联网通讯权限；其次，在用户获取敏感数据后，跟踪记录其全流程操作事件，同时管控终端外发通路（如外设、互联网上传、应用程序外发等），基于多维度判定阻断敏感文件外泄；最后，通过防泄密分析中心汇总数据全流程信息，生成泄密事件预警、风险用户分析、敏感数据地图等运营结果，支撑数据安全事件的快速处置与持续优化。</w:t>
      </w:r>
    </w:p>
    <w:p w14:paraId="2FEEDD23">
      <w:r>
        <w:rPr>
          <w:rFonts w:ascii="Times New Roman" w:hAnsi="Times New Roman"/>
          <w:color w:val="000000"/>
        </w:rPr>
        <w:br w:type="page"/>
      </w:r>
    </w:p>
    <w:p w14:paraId="609028BD">
      <w:pPr>
        <w:pStyle w:val="2"/>
        <w:spacing w:before="0" w:after="0"/>
        <w:ind w:left="120"/>
        <w:jc w:val="left"/>
      </w:pPr>
      <w:bookmarkStart w:id="17" w:name="_Toc1772"/>
      <w:r>
        <w:rPr>
          <w:rFonts w:ascii="Times New Roman" w:hAnsi="Times New Roman"/>
          <w:color w:val="000000"/>
        </w:rPr>
        <w:t>数据安全解决方案设计</w:t>
      </w:r>
      <w:bookmarkEnd w:id="17"/>
    </w:p>
    <w:p w14:paraId="138943CB">
      <w:pPr>
        <w:pStyle w:val="3"/>
        <w:spacing w:before="0" w:after="0"/>
        <w:ind w:left="120"/>
        <w:jc w:val="left"/>
      </w:pPr>
      <w:bookmarkStart w:id="18" w:name="_Toc20889"/>
      <w:r>
        <w:rPr>
          <w:rFonts w:ascii="Times New Roman" w:hAnsi="Times New Roman"/>
          <w:color w:val="000000"/>
        </w:rPr>
        <w:t>数据安全整体方案逻辑拓扑图</w:t>
      </w:r>
      <w:bookmarkEnd w:id="18"/>
    </w:p>
    <w:p w14:paraId="015904A4">
      <w:pPr>
        <w:spacing w:before="0" w:after="0" w:line="360" w:lineRule="auto"/>
        <w:ind w:left="120"/>
        <w:jc w:val="center"/>
      </w:pPr>
      <w:r>
        <w:rPr>
          <w:rFonts w:ascii="Times New Roman" w:hAnsi="Times New Roman"/>
          <w:b w:val="0"/>
          <w:i w:val="0"/>
          <w:color w:val="000000"/>
          <w:sz w:val="20"/>
        </w:rPr>
        <w:t>为实现对金诚信矿业管理股份有限公司核心数据资产的全链路防护，方案从网络架构层面构建多区域协同的安全防护体系，覆盖业务区、企业内网、研发设计网及移动办公接入网等关键场景。通过全网行为管理对办公区互联网访问权限进行统一管控，依托零信任(aTrust)网关收缩业务区网络访问权限，结合防泄密客户端对终端数据行为进行全流程跟踪，并通过数据安全平台的XDLP服务开展防泄密分析，同时将审计原始附件留存于本地数据中心以便追溯。</w:t>
      </w:r>
      <w:r>
        <w:br w:type="textWrapping"/>
      </w:r>
      <w:r>
        <w:drawing>
          <wp:inline distT="0" distB="0" distL="114300" distR="114300">
            <wp:extent cx="5562600" cy="3539490"/>
            <wp:effectExtent l="0" t="0" r="0" b="16510"/>
            <wp:docPr id="5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
                    <pic:cNvPicPr>
                      <a:picLocks noChangeAspect="1"/>
                    </pic:cNvPicPr>
                  </pic:nvPicPr>
                  <pic:blipFill>
                    <a:blip r:embed="rId10"/>
                    <a:stretch>
                      <a:fillRect/>
                    </a:stretch>
                  </pic:blipFill>
                  <pic:spPr>
                    <a:xfrm>
                      <a:off x="0" y="0"/>
                      <a:ext cx="5562600" cy="3539490"/>
                    </a:xfrm>
                    <a:prstGeom prst="rect">
                      <a:avLst/>
                    </a:prstGeom>
                  </pic:spPr>
                </pic:pic>
              </a:graphicData>
            </a:graphic>
          </wp:inline>
        </w:drawing>
      </w:r>
    </w:p>
    <w:p w14:paraId="3723F275">
      <w:pPr>
        <w:pStyle w:val="3"/>
        <w:spacing w:before="0" w:after="0"/>
        <w:ind w:left="120"/>
        <w:jc w:val="left"/>
      </w:pPr>
      <w:bookmarkStart w:id="19" w:name="_Toc23679"/>
      <w:r>
        <w:rPr>
          <w:rFonts w:ascii="Times New Roman" w:hAnsi="Times New Roman"/>
          <w:color w:val="000000"/>
        </w:rPr>
        <w:t>方案功能设计</w:t>
      </w:r>
      <w:bookmarkEnd w:id="19"/>
    </w:p>
    <w:p w14:paraId="22DD1DFE">
      <w:pPr>
        <w:pStyle w:val="4"/>
        <w:spacing w:before="0" w:after="0"/>
        <w:ind w:left="120"/>
        <w:jc w:val="left"/>
      </w:pPr>
      <w:bookmarkStart w:id="20" w:name="_Toc20405"/>
      <w:r>
        <w:rPr>
          <w:rFonts w:ascii="Times New Roman" w:hAnsi="Times New Roman"/>
          <w:color w:val="000000"/>
        </w:rPr>
        <w:t>敏感数据分类分级</w:t>
      </w:r>
      <w:bookmarkEnd w:id="20"/>
    </w:p>
    <w:p w14:paraId="3D732BCB">
      <w:pPr>
        <w:spacing w:before="0" w:after="0" w:line="360" w:lineRule="auto"/>
        <w:ind w:left="120"/>
        <w:jc w:val="left"/>
      </w:pPr>
      <w:r>
        <w:rPr>
          <w:rFonts w:ascii="Times New Roman" w:hAnsi="Times New Roman"/>
          <w:b w:val="0"/>
          <w:i w:val="0"/>
          <w:color w:val="000000"/>
          <w:sz w:val="20"/>
        </w:rPr>
        <w:t>针对金诚信矿业管理股份有限公司涉及的矿产资料、财务数据、方案设计材料等核心敏感数据，方案通过</w:t>
      </w:r>
      <w:r>
        <w:rPr>
          <w:rFonts w:hint="eastAsia" w:ascii="Times New Roman" w:hAnsi="Times New Roman"/>
          <w:b w:val="0"/>
          <w:i w:val="0"/>
          <w:color w:val="000000"/>
          <w:sz w:val="20"/>
          <w:lang w:eastAsia="zh-CN"/>
        </w:rPr>
        <w:t>防泄密分析中心</w:t>
      </w:r>
      <w:r>
        <w:rPr>
          <w:rFonts w:ascii="Times New Roman" w:hAnsi="Times New Roman"/>
          <w:b w:val="0"/>
          <w:i w:val="0"/>
          <w:color w:val="000000"/>
          <w:sz w:val="20"/>
        </w:rPr>
        <w:t>实现自动化分类分级管理。系统内置超过100种敏感数据项，涵盖研发设计、个人信息、财务等领域，并支持基于关键字或正则表达式自定义敏感内容，适配矿业行业数据特性。敏感文件定义支持文件来源、内容、名称、类型等多维度，可精准识别地质报告、采矿计划等核心文档，为后续防护策略制定提供精准目标。</w:t>
      </w:r>
    </w:p>
    <w:p w14:paraId="03C8ED2A">
      <w:pPr>
        <w:pStyle w:val="4"/>
        <w:spacing w:before="0" w:after="0"/>
        <w:ind w:left="120"/>
        <w:jc w:val="left"/>
      </w:pPr>
      <w:bookmarkStart w:id="21" w:name="_Toc31821"/>
      <w:r>
        <w:rPr>
          <w:rFonts w:ascii="Times New Roman" w:hAnsi="Times New Roman"/>
          <w:color w:val="000000"/>
        </w:rPr>
        <w:t>外发文件动态管控</w:t>
      </w:r>
      <w:bookmarkEnd w:id="21"/>
    </w:p>
    <w:p w14:paraId="10A28B29">
      <w:pPr>
        <w:spacing w:before="0" w:after="0" w:line="360" w:lineRule="auto"/>
        <w:ind w:left="120"/>
        <w:jc w:val="left"/>
      </w:pPr>
      <w:r>
        <w:rPr>
          <w:rFonts w:ascii="Times New Roman" w:hAnsi="Times New Roman"/>
          <w:b w:val="0"/>
          <w:i w:val="0"/>
          <w:color w:val="000000"/>
          <w:sz w:val="20"/>
        </w:rPr>
        <w:t>结合金诚信矿业文件外发场景需求，方案通过XDLP技术实现外发文件动态权限管理与加密保护。系统支持基于文件密级、外发通路、接收对象等多维度制定管控策略，例如核心矿产资料禁止外发，重要财务数据外发需审批并留存轨迹，普通办公文件限制外发范围。同时，通过透明加密技术对敏感文件进行处理，确保文件脱离企业环境后无法打开，有效阻断非授权外发渠道导致的数据泄露风险。</w:t>
      </w:r>
    </w:p>
    <w:p w14:paraId="1939626B">
      <w:pPr>
        <w:pStyle w:val="4"/>
        <w:spacing w:before="0" w:after="0"/>
        <w:ind w:left="120"/>
        <w:jc w:val="left"/>
      </w:pPr>
      <w:bookmarkStart w:id="22" w:name="_Toc24076"/>
      <w:r>
        <w:rPr>
          <w:rFonts w:ascii="Times New Roman" w:hAnsi="Times New Roman"/>
          <w:color w:val="000000"/>
        </w:rPr>
        <w:t>异常行为实时告警</w:t>
      </w:r>
      <w:bookmarkEnd w:id="22"/>
    </w:p>
    <w:p w14:paraId="3A7BE91A">
      <w:pPr>
        <w:spacing w:before="0" w:after="0" w:line="360" w:lineRule="auto"/>
        <w:ind w:left="120"/>
        <w:jc w:val="left"/>
      </w:pPr>
      <w:r>
        <w:rPr>
          <w:rFonts w:ascii="Times New Roman" w:hAnsi="Times New Roman"/>
          <w:b w:val="0"/>
          <w:i w:val="0"/>
          <w:color w:val="000000"/>
          <w:sz w:val="20"/>
        </w:rPr>
        <w:t>方案构建风险预警中心，实时监测并分析敏感数据操作行为。系统可展示风险分布概况，统计Top10风险规则及命中次数，详细记录事件信息（如规则名称、用户名、事件等级、发生时间等）。针对金诚信矿业可能出现的非工作时间大量下载敏感数据、异常IP登录核心系统等行为，系统可自动触发告警，并支持查看事件详情（如外发方式、内容类型、文件流转图等），助力管理员快速响应潜在风险。</w:t>
      </w:r>
    </w:p>
    <w:p w14:paraId="20315C89">
      <w:pPr>
        <w:pStyle w:val="4"/>
        <w:spacing w:before="0" w:after="0"/>
        <w:ind w:left="120"/>
        <w:jc w:val="left"/>
      </w:pPr>
      <w:bookmarkStart w:id="23" w:name="_Toc21422"/>
      <w:r>
        <w:rPr>
          <w:rFonts w:ascii="Times New Roman" w:hAnsi="Times New Roman"/>
          <w:color w:val="000000"/>
        </w:rPr>
        <w:t>终端泄密审计管控</w:t>
      </w:r>
      <w:bookmarkEnd w:id="23"/>
    </w:p>
    <w:p w14:paraId="4ECABF5C">
      <w:pPr>
        <w:spacing w:before="0" w:after="0" w:line="360" w:lineRule="auto"/>
        <w:ind w:left="120"/>
        <w:jc w:val="left"/>
      </w:pPr>
      <w:r>
        <w:rPr>
          <w:rFonts w:ascii="Times New Roman" w:hAnsi="Times New Roman"/>
          <w:b w:val="0"/>
          <w:i w:val="0"/>
          <w:color w:val="000000"/>
          <w:sz w:val="20"/>
        </w:rPr>
        <w:t>通过</w:t>
      </w:r>
      <w:r>
        <w:rPr>
          <w:rFonts w:hint="eastAsia" w:ascii="Times New Roman" w:hAnsi="Times New Roman"/>
          <w:b w:val="0"/>
          <w:i w:val="0"/>
          <w:color w:val="000000"/>
          <w:sz w:val="20"/>
          <w:lang w:eastAsia="zh-CN"/>
        </w:rPr>
        <w:t>防泄密分析中心</w:t>
      </w:r>
      <w:r>
        <w:rPr>
          <w:rFonts w:ascii="Times New Roman" w:hAnsi="Times New Roman"/>
          <w:b w:val="0"/>
          <w:i w:val="0"/>
          <w:color w:val="000000"/>
          <w:sz w:val="20"/>
        </w:rPr>
        <w:t>客户端对终端泄密行为进行全面审计与管控。审计范围覆盖即时通讯软件（微信、QQ等）、邮件客户端（Outlook、Foxmail等）、网盘服务（百度网盘、阿里云盘等）及远程协助工具（ToDesk、向日葵等）。审计日志详细记录用户名、时间、文件路径、类型等信息，并以附件形式保存；管控策略支持基于时间、用户对象、文件特征等多维度自定义，在不影响正常办公的前提下，精准阻断终端泄密行为。</w:t>
      </w:r>
    </w:p>
    <w:p w14:paraId="2A049112">
      <w:pPr>
        <w:pStyle w:val="4"/>
        <w:spacing w:before="0" w:after="0"/>
        <w:ind w:left="120"/>
        <w:jc w:val="left"/>
      </w:pPr>
      <w:bookmarkStart w:id="24" w:name="_Toc28122"/>
      <w:r>
        <w:rPr>
          <w:rFonts w:ascii="Times New Roman" w:hAnsi="Times New Roman"/>
          <w:color w:val="000000"/>
        </w:rPr>
        <w:t>零信任业务访问控制</w:t>
      </w:r>
      <w:bookmarkEnd w:id="24"/>
    </w:p>
    <w:p w14:paraId="31F29520">
      <w:pPr>
        <w:spacing w:before="0" w:after="0" w:line="360" w:lineRule="auto"/>
        <w:ind w:left="120"/>
        <w:jc w:val="left"/>
      </w:pPr>
      <w:r>
        <w:rPr>
          <w:rFonts w:ascii="Times New Roman" w:hAnsi="Times New Roman"/>
          <w:b w:val="0"/>
          <w:i w:val="0"/>
          <w:color w:val="000000"/>
          <w:sz w:val="20"/>
        </w:rPr>
        <w:t>依托零信任(aTrust)技术构建动态访问控制体系，核心能力包括网络隐身、动态自适应认证及终端环境检测。网络隐身技术隐藏企业网络架构与关键资产，降低被攻击风险；动态自适应认证结合用户身份、行为及设备环境多因素进行身份核验；终端环境检测实时评估终端安全状态（如操作系统版本、补丁更新、病毒防护等），确保只有合规终端才能访问核心业务系统，从源头控制数据访问风险。</w:t>
      </w:r>
    </w:p>
    <w:p w14:paraId="738445F7">
      <w:pPr>
        <w:pStyle w:val="3"/>
        <w:spacing w:before="0" w:after="0"/>
        <w:ind w:left="120"/>
        <w:jc w:val="left"/>
      </w:pPr>
      <w:bookmarkStart w:id="25" w:name="_Toc2831"/>
      <w:r>
        <w:rPr>
          <w:rFonts w:ascii="Times New Roman" w:hAnsi="Times New Roman"/>
          <w:color w:val="000000"/>
        </w:rPr>
        <w:t>方案优势总结</w:t>
      </w:r>
      <w:bookmarkEnd w:id="25"/>
    </w:p>
    <w:p w14:paraId="2B410C2F">
      <w:pPr>
        <w:pStyle w:val="4"/>
        <w:spacing w:before="0" w:after="0"/>
        <w:ind w:left="120"/>
        <w:jc w:val="left"/>
      </w:pPr>
      <w:bookmarkStart w:id="26" w:name="_Toc6517"/>
      <w:r>
        <w:rPr>
          <w:rFonts w:ascii="Times New Roman" w:hAnsi="Times New Roman"/>
          <w:color w:val="000000"/>
        </w:rPr>
        <w:t>防泄密策略统一</w:t>
      </w:r>
      <w:bookmarkEnd w:id="26"/>
    </w:p>
    <w:p w14:paraId="10BDC616">
      <w:pPr>
        <w:spacing w:before="0" w:after="0" w:line="360" w:lineRule="auto"/>
        <w:ind w:left="120"/>
        <w:jc w:val="left"/>
      </w:pPr>
      <w:r>
        <w:rPr>
          <w:rFonts w:ascii="Times New Roman" w:hAnsi="Times New Roman"/>
          <w:b w:val="0"/>
          <w:i w:val="0"/>
          <w:color w:val="000000"/>
          <w:sz w:val="20"/>
        </w:rPr>
        <w:t>通过</w:t>
      </w:r>
      <w:r>
        <w:rPr>
          <w:rFonts w:hint="eastAsia" w:ascii="Times New Roman" w:hAnsi="Times New Roman"/>
          <w:b w:val="0"/>
          <w:i w:val="0"/>
          <w:color w:val="000000"/>
          <w:sz w:val="20"/>
          <w:lang w:eastAsia="zh-CN"/>
        </w:rPr>
        <w:t>防泄密分析中心</w:t>
      </w:r>
      <w:r>
        <w:rPr>
          <w:rFonts w:ascii="Times New Roman" w:hAnsi="Times New Roman"/>
          <w:b w:val="0"/>
          <w:i w:val="0"/>
          <w:color w:val="000000"/>
          <w:sz w:val="20"/>
        </w:rPr>
        <w:t>与零信任(aTrust)的协同，建立统一的防泄密策略管理平台，实现各场景配置同步下发；采用统一客户端实现身份认证与策略执行，降低运维压力，确保策略在终端、网络、数据层的一致性。</w:t>
      </w:r>
    </w:p>
    <w:p w14:paraId="158542F3">
      <w:pPr>
        <w:pStyle w:val="4"/>
        <w:spacing w:before="0" w:after="0"/>
        <w:ind w:left="120"/>
        <w:jc w:val="left"/>
      </w:pPr>
      <w:bookmarkStart w:id="27" w:name="_Toc162"/>
      <w:r>
        <w:rPr>
          <w:rFonts w:ascii="Times New Roman" w:hAnsi="Times New Roman"/>
          <w:color w:val="000000"/>
        </w:rPr>
        <w:t>防泄密溯源高效</w:t>
      </w:r>
      <w:bookmarkEnd w:id="27"/>
    </w:p>
    <w:p w14:paraId="138444E2">
      <w:pPr>
        <w:spacing w:before="0" w:after="0" w:line="360" w:lineRule="auto"/>
        <w:ind w:left="120"/>
        <w:jc w:val="left"/>
      </w:pPr>
      <w:r>
        <w:rPr>
          <w:rFonts w:ascii="Times New Roman" w:hAnsi="Times New Roman"/>
          <w:b w:val="0"/>
          <w:i w:val="0"/>
          <w:color w:val="000000"/>
          <w:sz w:val="20"/>
        </w:rPr>
        <w:t>方案提供可视化看板与文件流转图，快速掌握敏感数据使用概况及全链路流转路径（来源、操作、接收对象）。通过自动化采集与分析数据操作行为，缩短泄密事件溯源时间，为金诚信矿业核心数据泄露事件处置提供精准依据。</w:t>
      </w:r>
    </w:p>
    <w:p w14:paraId="1697579C">
      <w:pPr>
        <w:pStyle w:val="4"/>
        <w:spacing w:before="0" w:after="0"/>
        <w:ind w:left="120"/>
        <w:jc w:val="left"/>
      </w:pPr>
      <w:bookmarkStart w:id="28" w:name="_Toc1715"/>
      <w:r>
        <w:rPr>
          <w:rFonts w:ascii="Times New Roman" w:hAnsi="Times New Roman"/>
          <w:color w:val="000000"/>
        </w:rPr>
        <w:t>防泄密管控精准</w:t>
      </w:r>
      <w:bookmarkEnd w:id="28"/>
    </w:p>
    <w:p w14:paraId="56BB3AD2">
      <w:pPr>
        <w:spacing w:before="0" w:after="0" w:line="360" w:lineRule="auto"/>
        <w:ind w:left="120"/>
        <w:jc w:val="left"/>
      </w:pPr>
      <w:r>
        <w:rPr>
          <w:rFonts w:ascii="Times New Roman" w:hAnsi="Times New Roman"/>
          <w:b w:val="0"/>
          <w:i w:val="0"/>
          <w:color w:val="000000"/>
          <w:sz w:val="20"/>
        </w:rPr>
        <w:t>基于敏感数据来源、内容、操作等多维度分析，结合机器学习技术优化策略，降低误报漏报率。针对风险用户（如离职员工、异常操作用户），通过零信任(aTrust)动态收缩其访问权限，从源头掐断泄密风险，实现对矿产资料、财务数据等核心资产的精准防护。</w:t>
      </w:r>
    </w:p>
    <w:p w14:paraId="7D6AD4D4">
      <w:pPr>
        <w:pStyle w:val="3"/>
        <w:spacing w:before="0" w:after="0"/>
        <w:ind w:left="120"/>
        <w:jc w:val="left"/>
      </w:pPr>
      <w:bookmarkStart w:id="29" w:name="_Toc10659"/>
      <w:r>
        <w:rPr>
          <w:rFonts w:ascii="Times New Roman" w:hAnsi="Times New Roman" w:eastAsia="宋体" w:cstheme="minorBidi"/>
          <w:b/>
          <w:bCs/>
          <w:snapToGrid/>
          <w:color w:val="000000"/>
          <w:kern w:val="2"/>
          <w:sz w:val="30"/>
          <w:szCs w:val="32"/>
        </w:rPr>
        <w:t>项目部署设计</w:t>
      </w:r>
      <w:bookmarkEnd w:id="29"/>
    </w:p>
    <w:p w14:paraId="4BE17C77">
      <w:pPr>
        <w:pStyle w:val="4"/>
        <w:spacing w:before="0" w:after="0"/>
        <w:ind w:left="120"/>
        <w:jc w:val="left"/>
      </w:pPr>
      <w:r>
        <w:rPr>
          <w:rFonts w:ascii="Times New Roman" w:hAnsi="Times New Roman" w:eastAsia="宋体"/>
          <w:color w:val="000000"/>
        </w:rPr>
        <w:t xml:space="preserve"> </w:t>
      </w:r>
      <w:bookmarkStart w:id="30" w:name="_Toc650815540"/>
      <w:bookmarkStart w:id="31" w:name="heading_20"/>
      <w:bookmarkStart w:id="32" w:name="_Toc10647"/>
      <w:r>
        <w:rPr>
          <w:rFonts w:ascii="Times New Roman" w:hAnsi="Times New Roman" w:eastAsia="宋体"/>
          <w:color w:val="000000"/>
        </w:rPr>
        <w:t>阶段1：筹备与调研（第1-3周）</w:t>
      </w:r>
      <w:bookmarkEnd w:id="30"/>
      <w:bookmarkEnd w:id="31"/>
      <w:bookmarkEnd w:id="32"/>
    </w:p>
    <w:p w14:paraId="32E68133">
      <w:pPr>
        <w:spacing w:before="120" w:after="120" w:line="288" w:lineRule="auto"/>
        <w:ind w:left="0"/>
        <w:jc w:val="left"/>
      </w:pPr>
    </w:p>
    <w:p w14:paraId="0D70DB40">
      <w:pPr>
        <w:numPr>
          <w:ilvl w:val="0"/>
          <w:numId w:val="12"/>
        </w:numPr>
        <w:spacing w:before="120" w:after="120" w:line="288" w:lineRule="auto"/>
        <w:ind w:left="0"/>
        <w:jc w:val="left"/>
      </w:pPr>
      <w:r>
        <w:rPr>
          <w:rFonts w:ascii="Arial" w:hAnsi="Arial" w:eastAsia="等线" w:cs="Arial"/>
          <w:sz w:val="22"/>
        </w:rPr>
        <w:t>成立项目组：IT部门、安全部门、业务部门（采矿、财务、招投标）核心代表组成专项小组，明确</w:t>
      </w:r>
      <w:r>
        <w:rPr>
          <w:rFonts w:hint="eastAsia" w:ascii="Arial" w:hAnsi="Arial" w:eastAsia="等线" w:cs="Arial"/>
          <w:sz w:val="22"/>
          <w:lang w:val="en-US" w:eastAsia="zh-CN"/>
        </w:rPr>
        <w:t>3500</w:t>
      </w:r>
      <w:r>
        <w:rPr>
          <w:rFonts w:ascii="Arial" w:hAnsi="Arial" w:eastAsia="等线" w:cs="Arial"/>
          <w:sz w:val="22"/>
        </w:rPr>
        <w:t>台PC清单。</w:t>
      </w:r>
    </w:p>
    <w:p w14:paraId="736FC645">
      <w:pPr>
        <w:numPr>
          <w:ilvl w:val="0"/>
          <w:numId w:val="13"/>
        </w:numPr>
        <w:spacing w:before="120" w:after="120" w:line="288" w:lineRule="auto"/>
        <w:ind w:left="0"/>
        <w:jc w:val="left"/>
      </w:pPr>
      <w:r>
        <w:rPr>
          <w:rFonts w:ascii="Arial" w:hAnsi="Arial" w:eastAsia="等线" w:cs="Arial"/>
          <w:sz w:val="22"/>
        </w:rPr>
        <w:t>需求细化：区分核心与普通PC的防护需求，梳理核心PC敏感文件类型、普通PC办公流程，制定管控规则。</w:t>
      </w:r>
    </w:p>
    <w:p w14:paraId="06540184">
      <w:pPr>
        <w:numPr>
          <w:ilvl w:val="0"/>
          <w:numId w:val="14"/>
        </w:numPr>
        <w:spacing w:before="120" w:after="120" w:line="288" w:lineRule="auto"/>
        <w:ind w:left="0"/>
        <w:jc w:val="left"/>
      </w:pPr>
      <w:r>
        <w:rPr>
          <w:rFonts w:ascii="Arial" w:hAnsi="Arial" w:eastAsia="等线" w:cs="Arial"/>
          <w:sz w:val="22"/>
        </w:rPr>
        <w:t>供应商选型：深信服（DLP+零信任，支持飞书集成），</w:t>
      </w:r>
    </w:p>
    <w:p w14:paraId="27DB6C61">
      <w:pPr>
        <w:numPr>
          <w:ilvl w:val="0"/>
          <w:numId w:val="15"/>
        </w:numPr>
        <w:spacing w:before="120" w:after="120" w:line="288" w:lineRule="auto"/>
        <w:ind w:left="0"/>
        <w:jc w:val="left"/>
      </w:pPr>
      <w:r>
        <w:rPr>
          <w:rFonts w:ascii="Arial" w:hAnsi="Arial" w:eastAsia="等线" w:cs="Arial"/>
          <w:sz w:val="22"/>
        </w:rPr>
        <w:t>环境</w:t>
      </w:r>
      <w:r>
        <w:rPr>
          <w:rFonts w:hint="eastAsia" w:ascii="Arial" w:hAnsi="Arial" w:eastAsia="等线" w:cs="Arial"/>
          <w:sz w:val="22"/>
          <w:lang w:val="en-US" w:eastAsia="zh-CN"/>
        </w:rPr>
        <w:t>终端环境</w:t>
      </w:r>
      <w:r>
        <w:rPr>
          <w:rFonts w:ascii="Arial" w:hAnsi="Arial" w:eastAsia="等线" w:cs="Arial"/>
          <w:sz w:val="22"/>
        </w:rPr>
        <w:t>调研：采集</w:t>
      </w:r>
      <w:r>
        <w:rPr>
          <w:rFonts w:hint="eastAsia" w:ascii="Arial" w:hAnsi="Arial" w:eastAsia="等线" w:cs="Arial"/>
          <w:sz w:val="22"/>
          <w:lang w:val="en-US" w:eastAsia="zh-CN"/>
        </w:rPr>
        <w:t>3500</w:t>
      </w:r>
      <w:r>
        <w:rPr>
          <w:rFonts w:ascii="Arial" w:hAnsi="Arial" w:eastAsia="等线" w:cs="Arial"/>
          <w:sz w:val="22"/>
        </w:rPr>
        <w:t>台PC硬件配置、操作系统版本、安装软件清单，重点核查矿业专业软件及飞书客户端兼容性；梳理飞书现有组织架构、应用授权、使用场景，形成飞书集成需求清单。</w:t>
      </w:r>
    </w:p>
    <w:p w14:paraId="0A8CF42E">
      <w:pPr>
        <w:numPr>
          <w:ilvl w:val="0"/>
          <w:numId w:val="15"/>
        </w:numPr>
        <w:spacing w:before="120" w:after="120" w:line="288" w:lineRule="auto"/>
        <w:ind w:left="0"/>
        <w:jc w:val="left"/>
      </w:pPr>
      <w:r>
        <w:rPr>
          <w:rFonts w:hint="eastAsia" w:ascii="Arial" w:hAnsi="Arial" w:eastAsia="等线" w:cs="Arial"/>
          <w:sz w:val="22"/>
          <w:lang w:val="en-US" w:eastAsia="zh-CN"/>
        </w:rPr>
        <w:t>现有网络环境调研：现有防火墙（调整策略）、和主要网络侧设备部署位置、机房位置和网络拓扑分析，沟通上架时间和调试注意事项。</w:t>
      </w:r>
    </w:p>
    <w:p w14:paraId="0A6A62BE">
      <w:pPr>
        <w:spacing w:before="120" w:after="120" w:line="288" w:lineRule="auto"/>
        <w:ind w:left="0"/>
        <w:jc w:val="left"/>
      </w:pPr>
    </w:p>
    <w:p w14:paraId="3ECF8055">
      <w:pPr>
        <w:spacing w:before="260" w:after="120" w:line="288" w:lineRule="auto"/>
        <w:ind w:left="0"/>
        <w:jc w:val="left"/>
        <w:outlineLvl w:val="3"/>
      </w:pPr>
      <w:bookmarkStart w:id="33" w:name="heading_21"/>
      <w:bookmarkStart w:id="34" w:name="_Toc1122566609"/>
      <w:r>
        <w:rPr>
          <w:rFonts w:ascii="Arial" w:hAnsi="Arial" w:eastAsia="等线" w:cs="Arial"/>
          <w:b/>
          <w:sz w:val="28"/>
        </w:rPr>
        <w:t>阶段2：部署与配置（第4-9周）</w:t>
      </w:r>
      <w:bookmarkEnd w:id="33"/>
      <w:bookmarkEnd w:id="34"/>
    </w:p>
    <w:p w14:paraId="0953FD6B">
      <w:pPr>
        <w:spacing w:before="120" w:after="120" w:line="288" w:lineRule="auto"/>
        <w:ind w:left="0"/>
        <w:jc w:val="left"/>
      </w:pPr>
    </w:p>
    <w:p w14:paraId="5A0080DC">
      <w:pPr>
        <w:numPr>
          <w:ilvl w:val="0"/>
          <w:numId w:val="16"/>
        </w:numPr>
        <w:spacing w:before="120" w:after="120" w:line="288" w:lineRule="auto"/>
        <w:ind w:left="0"/>
        <w:jc w:val="left"/>
      </w:pPr>
      <w:r>
        <w:rPr>
          <w:rFonts w:hint="eastAsia" w:ascii="Arial" w:hAnsi="Arial" w:eastAsia="等线" w:cs="Arial"/>
          <w:sz w:val="22"/>
          <w:lang w:val="en-US" w:eastAsia="zh-CN"/>
        </w:rPr>
        <w:t>零信任平台</w:t>
      </w:r>
      <w:r>
        <w:rPr>
          <w:rFonts w:ascii="Arial" w:hAnsi="Arial" w:eastAsia="等线" w:cs="Arial"/>
          <w:sz w:val="22"/>
        </w:rPr>
        <w:t>搭建：部署统一</w:t>
      </w:r>
      <w:r>
        <w:rPr>
          <w:rFonts w:hint="eastAsia" w:ascii="Arial" w:hAnsi="Arial" w:eastAsia="等线" w:cs="Arial"/>
          <w:sz w:val="22"/>
          <w:lang w:val="en-US" w:eastAsia="zh-CN"/>
        </w:rPr>
        <w:t>零信任系统</w:t>
      </w:r>
      <w:r>
        <w:rPr>
          <w:rFonts w:ascii="Arial" w:hAnsi="Arial" w:eastAsia="等线" w:cs="Arial"/>
          <w:sz w:val="22"/>
        </w:rPr>
        <w:t>（支撑</w:t>
      </w:r>
      <w:r>
        <w:rPr>
          <w:rFonts w:hint="eastAsia" w:ascii="Arial" w:hAnsi="Arial" w:eastAsia="等线" w:cs="Arial"/>
          <w:sz w:val="22"/>
          <w:lang w:val="en-US" w:eastAsia="zh-CN"/>
        </w:rPr>
        <w:t>3500</w:t>
      </w:r>
      <w:r>
        <w:rPr>
          <w:rFonts w:ascii="Arial" w:hAnsi="Arial" w:eastAsia="等线" w:cs="Arial"/>
          <w:sz w:val="22"/>
        </w:rPr>
        <w:t>台终端），完成多系统整合调试；重点完成零信任系统与飞书开放平台的接口对接，实现身份同步、权限联动、日志采集。</w:t>
      </w:r>
    </w:p>
    <w:p w14:paraId="78E2649D">
      <w:pPr>
        <w:numPr>
          <w:ilvl w:val="0"/>
          <w:numId w:val="17"/>
        </w:numPr>
        <w:spacing w:before="120" w:after="120" w:line="288" w:lineRule="auto"/>
        <w:ind w:left="0"/>
        <w:jc w:val="left"/>
      </w:pPr>
      <w:r>
        <w:rPr>
          <w:rFonts w:ascii="Arial" w:hAnsi="Arial" w:eastAsia="等线" w:cs="Arial"/>
          <w:sz w:val="22"/>
        </w:rPr>
        <w:t>终端部署分批实施：第4-5周部署500台核心PC（DLP+零信任）；第6-9周分4批部署</w:t>
      </w:r>
      <w:r>
        <w:rPr>
          <w:rFonts w:hint="eastAsia" w:ascii="Arial" w:hAnsi="Arial" w:eastAsia="等线" w:cs="Arial"/>
          <w:sz w:val="22"/>
          <w:lang w:val="en-US" w:eastAsia="zh-CN"/>
        </w:rPr>
        <w:t>3500</w:t>
      </w:r>
      <w:r>
        <w:rPr>
          <w:rFonts w:ascii="Arial" w:hAnsi="Arial" w:eastAsia="等线" w:cs="Arial"/>
          <w:sz w:val="22"/>
        </w:rPr>
        <w:t>台普通PC（DLP+零信任）。</w:t>
      </w:r>
    </w:p>
    <w:p w14:paraId="03AD021A">
      <w:pPr>
        <w:numPr>
          <w:ilvl w:val="0"/>
          <w:numId w:val="18"/>
        </w:numPr>
        <w:spacing w:before="120" w:after="120" w:line="288" w:lineRule="auto"/>
        <w:ind w:left="0"/>
        <w:jc w:val="left"/>
      </w:pPr>
      <w:r>
        <w:rPr>
          <w:rFonts w:ascii="Arial" w:hAnsi="Arial" w:eastAsia="等线" w:cs="Arial"/>
          <w:sz w:val="22"/>
        </w:rPr>
        <w:t>兼容性测试：专项测试核心PC上矿业设计软件（如AutoCAD Mining）、财务软件与</w:t>
      </w:r>
      <w:r>
        <w:rPr>
          <w:rFonts w:hint="eastAsia" w:ascii="Arial" w:hAnsi="Arial" w:eastAsia="等线" w:cs="Arial"/>
          <w:sz w:val="22"/>
          <w:lang w:val="en-US" w:eastAsia="zh-CN"/>
        </w:rPr>
        <w:t>零信任客户端</w:t>
      </w:r>
      <w:r>
        <w:rPr>
          <w:rFonts w:ascii="Arial" w:hAnsi="Arial" w:eastAsia="等线" w:cs="Arial"/>
          <w:sz w:val="22"/>
        </w:rPr>
        <w:t>的兼容性；测试飞书客户端与零信任代理、DLP终端代理的兼容性，验证飞书登录认证、文件发送、应用访问等场景的防护效果，解决冲突问题。</w:t>
      </w:r>
    </w:p>
    <w:p w14:paraId="4383309D">
      <w:pPr>
        <w:spacing w:before="260" w:after="120" w:line="288" w:lineRule="auto"/>
        <w:ind w:left="0"/>
        <w:jc w:val="left"/>
        <w:outlineLvl w:val="3"/>
      </w:pPr>
      <w:bookmarkStart w:id="35" w:name="_Toc1333158568"/>
      <w:bookmarkStart w:id="36" w:name="heading_22"/>
      <w:r>
        <w:rPr>
          <w:rFonts w:ascii="Arial" w:hAnsi="Arial" w:eastAsia="等线" w:cs="Arial"/>
          <w:b/>
          <w:sz w:val="28"/>
        </w:rPr>
        <w:t>阶段3：测试与优化（第10-13周）</w:t>
      </w:r>
      <w:bookmarkEnd w:id="35"/>
      <w:bookmarkEnd w:id="36"/>
    </w:p>
    <w:p w14:paraId="16CB93A6">
      <w:pPr>
        <w:spacing w:before="120" w:after="120" w:line="288" w:lineRule="auto"/>
        <w:ind w:left="0"/>
        <w:jc w:val="left"/>
      </w:pPr>
    </w:p>
    <w:p w14:paraId="583D63B3">
      <w:pPr>
        <w:numPr>
          <w:ilvl w:val="0"/>
          <w:numId w:val="19"/>
        </w:numPr>
        <w:spacing w:before="120" w:after="120" w:line="288" w:lineRule="auto"/>
        <w:ind w:left="0"/>
        <w:jc w:val="left"/>
      </w:pPr>
      <w:r>
        <w:rPr>
          <w:rFonts w:ascii="Arial" w:hAnsi="Arial" w:eastAsia="等线" w:cs="Arial"/>
          <w:sz w:val="22"/>
        </w:rPr>
        <w:t>功能测试：PC测试DLP外发阻断（重点测试飞书渠道）、零信任认证（重点测试飞书入口认证）等核心功能，覆盖率100%。</w:t>
      </w:r>
    </w:p>
    <w:p w14:paraId="295F2F45">
      <w:pPr>
        <w:numPr>
          <w:ilvl w:val="0"/>
          <w:numId w:val="20"/>
        </w:numPr>
        <w:spacing w:before="120" w:after="120" w:line="288" w:lineRule="auto"/>
        <w:ind w:left="0"/>
        <w:jc w:val="left"/>
      </w:pPr>
      <w:r>
        <w:rPr>
          <w:rFonts w:ascii="Arial" w:hAnsi="Arial" w:eastAsia="等线" w:cs="Arial"/>
          <w:sz w:val="22"/>
        </w:rPr>
        <w:t>场景测试：模拟核心PC通过飞书发送敏感文件、普通PC通过飞书接收恶意文件、未授权终端通过飞书尝试访问核心资源等</w:t>
      </w:r>
      <w:r>
        <w:rPr>
          <w:rFonts w:hint="eastAsia" w:ascii="Arial" w:hAnsi="Arial" w:eastAsia="等线" w:cs="Arial"/>
          <w:sz w:val="22"/>
          <w:lang w:val="en-US" w:eastAsia="zh-CN"/>
        </w:rPr>
        <w:t>多</w:t>
      </w:r>
      <w:r>
        <w:rPr>
          <w:rFonts w:ascii="Arial" w:hAnsi="Arial" w:eastAsia="等线" w:cs="Arial"/>
          <w:sz w:val="22"/>
        </w:rPr>
        <w:t>类高风险场景，验证防护效果。</w:t>
      </w:r>
    </w:p>
    <w:p w14:paraId="0ED64B11">
      <w:pPr>
        <w:numPr>
          <w:ilvl w:val="0"/>
          <w:numId w:val="21"/>
        </w:numPr>
        <w:spacing w:before="120" w:after="120" w:line="288" w:lineRule="auto"/>
        <w:ind w:left="0"/>
        <w:jc w:val="left"/>
      </w:pPr>
      <w:r>
        <w:rPr>
          <w:rFonts w:ascii="Arial" w:hAnsi="Arial" w:eastAsia="等线" w:cs="Arial"/>
          <w:sz w:val="22"/>
        </w:rPr>
        <w:t>优化调整：收集各部门反馈，优化</w:t>
      </w:r>
      <w:r>
        <w:rPr>
          <w:rFonts w:hint="eastAsia" w:ascii="Arial" w:hAnsi="Arial" w:eastAsia="等线" w:cs="Arial"/>
          <w:sz w:val="22"/>
          <w:lang w:val="en-US" w:eastAsia="zh-CN"/>
        </w:rPr>
        <w:t>零信任的权限配置和</w:t>
      </w:r>
      <w:r>
        <w:rPr>
          <w:rFonts w:hint="default" w:ascii="Arial" w:hAnsi="Arial" w:eastAsia="等线" w:cs="Arial"/>
          <w:sz w:val="22"/>
          <w:lang w:val="en-US" w:eastAsia="zh-CN"/>
        </w:rPr>
        <w:t>DLP</w:t>
      </w:r>
      <w:r>
        <w:rPr>
          <w:rFonts w:hint="eastAsia" w:ascii="Arial" w:hAnsi="Arial" w:eastAsia="等线" w:cs="Arial"/>
          <w:sz w:val="22"/>
          <w:lang w:val="en-US" w:eastAsia="zh-CN"/>
        </w:rPr>
        <w:t>的关键敏感数据定义</w:t>
      </w:r>
      <w:r>
        <w:rPr>
          <w:rFonts w:ascii="Arial" w:hAnsi="Arial" w:eastAsia="等线" w:cs="Arial"/>
          <w:sz w:val="22"/>
        </w:rPr>
        <w:t>、提升用户体验。</w:t>
      </w:r>
    </w:p>
    <w:p w14:paraId="026B93A7">
      <w:pPr>
        <w:spacing w:before="120" w:after="120" w:line="288" w:lineRule="auto"/>
        <w:ind w:left="0"/>
        <w:jc w:val="left"/>
      </w:pPr>
    </w:p>
    <w:p w14:paraId="1BADB431">
      <w:pPr>
        <w:spacing w:before="260" w:after="120" w:line="288" w:lineRule="auto"/>
        <w:ind w:left="0"/>
        <w:jc w:val="left"/>
        <w:outlineLvl w:val="3"/>
      </w:pPr>
      <w:bookmarkStart w:id="37" w:name="_Toc1699163225"/>
      <w:bookmarkStart w:id="38" w:name="heading_23"/>
      <w:r>
        <w:rPr>
          <w:rFonts w:ascii="Arial" w:hAnsi="Arial" w:eastAsia="等线" w:cs="Arial"/>
          <w:b/>
          <w:sz w:val="28"/>
        </w:rPr>
        <w:t>阶段4：验收与培训（第14-16周）</w:t>
      </w:r>
      <w:bookmarkEnd w:id="37"/>
      <w:bookmarkEnd w:id="38"/>
    </w:p>
    <w:p w14:paraId="3C27E877">
      <w:pPr>
        <w:spacing w:before="120" w:after="120" w:line="288" w:lineRule="auto"/>
        <w:ind w:left="0"/>
        <w:jc w:val="left"/>
      </w:pPr>
    </w:p>
    <w:p w14:paraId="585CDDE8">
      <w:pPr>
        <w:numPr>
          <w:ilvl w:val="0"/>
          <w:numId w:val="22"/>
        </w:numPr>
        <w:spacing w:before="120" w:after="120" w:line="288" w:lineRule="auto"/>
        <w:ind w:left="0"/>
        <w:jc w:val="left"/>
      </w:pPr>
      <w:r>
        <w:rPr>
          <w:rFonts w:ascii="Arial" w:hAnsi="Arial" w:eastAsia="等线" w:cs="Arial"/>
          <w:sz w:val="22"/>
        </w:rPr>
        <w:t>分层培训：第14周开展管理员进阶培训（平台运维、策略优化、应急处置、飞书集成维护）；第15周开展PC用户专项培训（专业软件适配、飞书敏感文件发送规范）；第16周开展全量员工线上培训（基础操作、违规后果、飞书安全使用指南）。</w:t>
      </w:r>
    </w:p>
    <w:p w14:paraId="7A613327">
      <w:pPr>
        <w:numPr>
          <w:ilvl w:val="0"/>
          <w:numId w:val="23"/>
        </w:numPr>
        <w:spacing w:before="120" w:after="120" w:line="288" w:lineRule="auto"/>
        <w:ind w:left="0"/>
        <w:jc w:val="left"/>
      </w:pPr>
      <w:r>
        <w:rPr>
          <w:rFonts w:ascii="Arial" w:hAnsi="Arial" w:eastAsia="等线" w:cs="Arial"/>
          <w:sz w:val="22"/>
        </w:rPr>
        <w:t>验收交付：提交分级实施方案、配置文档、测试报告、培训材料，组织IT、安全、业务部门联合验收，签署验收报告。</w:t>
      </w:r>
    </w:p>
    <w:p w14:paraId="0F388257">
      <w:pPr>
        <w:pStyle w:val="3"/>
        <w:spacing w:before="0" w:after="0"/>
        <w:ind w:left="120"/>
        <w:jc w:val="left"/>
      </w:pPr>
      <w:bookmarkStart w:id="39" w:name="_Toc5858"/>
      <w:r>
        <w:rPr>
          <w:rFonts w:ascii="Times New Roman" w:hAnsi="Times New Roman"/>
          <w:color w:val="000000"/>
        </w:rPr>
        <w:t>项目建设范围</w:t>
      </w:r>
      <w:bookmarkEnd w:id="39"/>
    </w:p>
    <w:p w14:paraId="26DBC639">
      <w:pPr>
        <w:spacing w:before="0" w:after="0" w:line="360" w:lineRule="auto"/>
        <w:ind w:left="120"/>
        <w:jc w:val="left"/>
      </w:pPr>
      <w:r>
        <w:rPr>
          <w:rFonts w:ascii="Times New Roman" w:hAnsi="Times New Roman"/>
          <w:b w:val="0"/>
          <w:i w:val="0"/>
          <w:color w:val="000000"/>
          <w:sz w:val="20"/>
        </w:rPr>
        <w:t>本次项目建设范围主要为金诚信矿业管理股份有限公司集团本部，不包含下级单位的安全能力建设。集团本部涵盖办公区、信息中心、灾备中心及机房等关键区域，涉及核心业务系统及敏感数据的安全防护。建设区域及资产情况如下表所示：</w:t>
      </w:r>
    </w:p>
    <w:tbl>
      <w:tblPr>
        <w:tblStyle w:val="35"/>
        <w:tblW w:w="0" w:type="auto"/>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28"/>
        <w:gridCol w:w="2544"/>
        <w:gridCol w:w="2341"/>
        <w:gridCol w:w="2373"/>
      </w:tblGrid>
      <w:tr w14:paraId="140A4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blCellSpacing w:w="0" w:type="dxa"/>
        </w:trPr>
        <w:tc>
          <w:tcPr>
            <w:tcW w:w="1843" w:type="dxa"/>
            <w:tcBorders>
              <w:top w:val="single" w:color="DDDDDD" w:sz="8" w:space="0"/>
              <w:left w:val="single" w:color="DDDDDD" w:sz="8" w:space="0"/>
              <w:bottom w:val="single" w:color="DDDDDD" w:sz="8" w:space="0"/>
              <w:right w:val="single" w:color="DDDDDD" w:sz="8" w:space="0"/>
            </w:tcBorders>
            <w:shd w:val="clear" w:color="auto" w:fill="F5F5F5"/>
            <w:tcMar>
              <w:top w:w="120" w:type="dxa"/>
              <w:left w:w="120" w:type="dxa"/>
              <w:bottom w:w="120" w:type="dxa"/>
              <w:right w:w="120" w:type="dxa"/>
            </w:tcMar>
            <w:vAlign w:val="center"/>
          </w:tcPr>
          <w:p w14:paraId="12F6A072">
            <w:pPr>
              <w:spacing w:before="0" w:after="0"/>
              <w:ind w:left="0"/>
              <w:jc w:val="left"/>
            </w:pPr>
            <w:r>
              <w:rPr>
                <w:rFonts w:ascii="Times New Roman" w:hAnsi="Times New Roman"/>
                <w:b/>
                <w:i w:val="0"/>
                <w:color w:val="000000"/>
                <w:sz w:val="20"/>
              </w:rPr>
              <w:t>序号</w:t>
            </w:r>
          </w:p>
        </w:tc>
        <w:tc>
          <w:tcPr>
            <w:tcW w:w="4526" w:type="dxa"/>
            <w:tcBorders>
              <w:top w:val="single" w:color="DDDDDD" w:sz="8" w:space="0"/>
              <w:left w:val="single" w:color="DDDDDD" w:sz="8" w:space="0"/>
              <w:bottom w:val="single" w:color="DDDDDD" w:sz="8" w:space="0"/>
              <w:right w:val="single" w:color="DDDDDD" w:sz="8" w:space="0"/>
            </w:tcBorders>
            <w:shd w:val="clear" w:color="auto" w:fill="F5F5F5"/>
            <w:tcMar>
              <w:top w:w="120" w:type="dxa"/>
              <w:left w:w="120" w:type="dxa"/>
              <w:bottom w:w="120" w:type="dxa"/>
              <w:right w:w="120" w:type="dxa"/>
            </w:tcMar>
            <w:vAlign w:val="center"/>
          </w:tcPr>
          <w:p w14:paraId="74E61803">
            <w:pPr>
              <w:spacing w:before="0" w:after="0"/>
              <w:ind w:left="0"/>
              <w:jc w:val="left"/>
            </w:pPr>
            <w:r>
              <w:rPr>
                <w:rFonts w:ascii="Times New Roman" w:hAnsi="Times New Roman"/>
                <w:b/>
                <w:i w:val="0"/>
                <w:color w:val="000000"/>
                <w:sz w:val="20"/>
              </w:rPr>
              <w:t>信息系统</w:t>
            </w:r>
          </w:p>
        </w:tc>
        <w:tc>
          <w:tcPr>
            <w:tcW w:w="4079" w:type="dxa"/>
            <w:tcBorders>
              <w:top w:val="single" w:color="DDDDDD" w:sz="8" w:space="0"/>
              <w:left w:val="single" w:color="DDDDDD" w:sz="8" w:space="0"/>
              <w:bottom w:val="single" w:color="DDDDDD" w:sz="8" w:space="0"/>
              <w:right w:val="single" w:color="DDDDDD" w:sz="8" w:space="0"/>
            </w:tcBorders>
            <w:shd w:val="clear" w:color="auto" w:fill="F5F5F5"/>
            <w:tcMar>
              <w:top w:w="120" w:type="dxa"/>
              <w:left w:w="120" w:type="dxa"/>
              <w:bottom w:w="120" w:type="dxa"/>
              <w:right w:w="120" w:type="dxa"/>
            </w:tcMar>
            <w:vAlign w:val="center"/>
          </w:tcPr>
          <w:p w14:paraId="761D3D65">
            <w:pPr>
              <w:spacing w:before="0" w:after="0"/>
              <w:ind w:left="0"/>
              <w:jc w:val="left"/>
            </w:pPr>
            <w:r>
              <w:rPr>
                <w:rFonts w:ascii="Times New Roman" w:hAnsi="Times New Roman"/>
                <w:b/>
                <w:i w:val="0"/>
                <w:color w:val="000000"/>
                <w:sz w:val="20"/>
              </w:rPr>
              <w:t>所在位置</w:t>
            </w:r>
          </w:p>
        </w:tc>
        <w:tc>
          <w:tcPr>
            <w:tcW w:w="3186" w:type="dxa"/>
            <w:tcBorders>
              <w:top w:val="single" w:color="DDDDDD" w:sz="8" w:space="0"/>
              <w:left w:val="single" w:color="DDDDDD" w:sz="8" w:space="0"/>
              <w:bottom w:val="single" w:color="DDDDDD" w:sz="8" w:space="0"/>
              <w:right w:val="single" w:color="DDDDDD" w:sz="8" w:space="0"/>
            </w:tcBorders>
            <w:shd w:val="clear" w:color="auto" w:fill="F5F5F5"/>
            <w:tcMar>
              <w:top w:w="120" w:type="dxa"/>
              <w:left w:w="120" w:type="dxa"/>
              <w:bottom w:w="120" w:type="dxa"/>
              <w:right w:w="120" w:type="dxa"/>
            </w:tcMar>
            <w:vAlign w:val="center"/>
          </w:tcPr>
          <w:p w14:paraId="18CD2C89">
            <w:pPr>
              <w:spacing w:before="0" w:after="0"/>
              <w:ind w:left="0"/>
              <w:jc w:val="left"/>
            </w:pPr>
            <w:r>
              <w:rPr>
                <w:rFonts w:ascii="Times New Roman" w:hAnsi="Times New Roman"/>
                <w:b/>
                <w:i w:val="0"/>
                <w:color w:val="000000"/>
                <w:sz w:val="20"/>
              </w:rPr>
              <w:t>重要程度</w:t>
            </w:r>
          </w:p>
        </w:tc>
      </w:tr>
      <w:tr w14:paraId="21066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blCellSpacing w:w="0" w:type="dxa"/>
        </w:trPr>
        <w:tc>
          <w:tcPr>
            <w:tcW w:w="1843"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02C7167A">
            <w:pPr>
              <w:spacing w:before="0" w:after="0"/>
              <w:ind w:left="0"/>
              <w:jc w:val="left"/>
            </w:pPr>
            <w:r>
              <w:rPr>
                <w:rFonts w:ascii="Times New Roman" w:hAnsi="Times New Roman"/>
                <w:b w:val="0"/>
                <w:i w:val="0"/>
                <w:color w:val="000000"/>
                <w:sz w:val="20"/>
              </w:rPr>
              <w:t>1</w:t>
            </w:r>
          </w:p>
        </w:tc>
        <w:tc>
          <w:tcPr>
            <w:tcW w:w="4526"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609F649C">
            <w:pPr>
              <w:spacing w:before="0" w:after="0"/>
              <w:ind w:left="0"/>
              <w:jc w:val="left"/>
            </w:pPr>
            <w:r>
              <w:rPr>
                <w:rFonts w:ascii="Times New Roman" w:hAnsi="Times New Roman"/>
                <w:b w:val="0"/>
                <w:i w:val="0"/>
                <w:color w:val="000000"/>
                <w:sz w:val="20"/>
              </w:rPr>
              <w:t>矿山工程管理系统</w:t>
            </w:r>
          </w:p>
        </w:tc>
        <w:tc>
          <w:tcPr>
            <w:tcW w:w="4079"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437E2ACE">
            <w:pPr>
              <w:spacing w:before="0" w:after="0"/>
              <w:ind w:left="0"/>
              <w:jc w:val="left"/>
            </w:pPr>
            <w:r>
              <w:rPr>
                <w:rFonts w:ascii="Times New Roman" w:hAnsi="Times New Roman"/>
                <w:b w:val="0"/>
                <w:i w:val="0"/>
                <w:color w:val="000000"/>
                <w:sz w:val="20"/>
              </w:rPr>
              <w:t>办公区数据中心</w:t>
            </w:r>
          </w:p>
        </w:tc>
        <w:tc>
          <w:tcPr>
            <w:tcW w:w="3186"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53EB9691">
            <w:pPr>
              <w:spacing w:before="0" w:after="0"/>
              <w:ind w:left="0"/>
              <w:jc w:val="left"/>
            </w:pPr>
            <w:r>
              <w:rPr>
                <w:rFonts w:ascii="Times New Roman" w:hAnsi="Times New Roman"/>
                <w:b w:val="0"/>
                <w:i w:val="0"/>
                <w:color w:val="000000"/>
                <w:sz w:val="20"/>
              </w:rPr>
              <w:t>★★★★★</w:t>
            </w:r>
          </w:p>
        </w:tc>
      </w:tr>
      <w:tr w14:paraId="087A9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blCellSpacing w:w="0" w:type="dxa"/>
        </w:trPr>
        <w:tc>
          <w:tcPr>
            <w:tcW w:w="1843"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5840112A">
            <w:pPr>
              <w:spacing w:before="0" w:after="0"/>
              <w:ind w:left="0"/>
              <w:jc w:val="left"/>
            </w:pPr>
            <w:r>
              <w:rPr>
                <w:rFonts w:ascii="Times New Roman" w:hAnsi="Times New Roman"/>
                <w:b w:val="0"/>
                <w:i w:val="0"/>
                <w:color w:val="000000"/>
                <w:sz w:val="20"/>
              </w:rPr>
              <w:t>2</w:t>
            </w:r>
          </w:p>
        </w:tc>
        <w:tc>
          <w:tcPr>
            <w:tcW w:w="4526"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27FF11AD">
            <w:pPr>
              <w:spacing w:before="0" w:after="0"/>
              <w:ind w:left="0"/>
              <w:jc w:val="left"/>
            </w:pPr>
            <w:r>
              <w:rPr>
                <w:rFonts w:ascii="Times New Roman" w:hAnsi="Times New Roman"/>
                <w:b w:val="0"/>
                <w:i w:val="0"/>
                <w:color w:val="000000"/>
                <w:sz w:val="20"/>
              </w:rPr>
              <w:t>财务ERP系统</w:t>
            </w:r>
          </w:p>
        </w:tc>
        <w:tc>
          <w:tcPr>
            <w:tcW w:w="4079"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4AA8D589">
            <w:pPr>
              <w:spacing w:before="0" w:after="0"/>
              <w:ind w:left="0"/>
              <w:jc w:val="left"/>
            </w:pPr>
            <w:r>
              <w:rPr>
                <w:rFonts w:ascii="Times New Roman" w:hAnsi="Times New Roman"/>
                <w:b w:val="0"/>
                <w:i w:val="0"/>
                <w:color w:val="000000"/>
                <w:sz w:val="20"/>
              </w:rPr>
              <w:t>信息中心</w:t>
            </w:r>
          </w:p>
        </w:tc>
        <w:tc>
          <w:tcPr>
            <w:tcW w:w="3186"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014DB3FC">
            <w:pPr>
              <w:spacing w:before="0" w:after="0"/>
              <w:ind w:left="0"/>
              <w:jc w:val="left"/>
            </w:pPr>
            <w:r>
              <w:rPr>
                <w:rFonts w:ascii="Times New Roman" w:hAnsi="Times New Roman"/>
                <w:b w:val="0"/>
                <w:i w:val="0"/>
                <w:color w:val="000000"/>
                <w:sz w:val="20"/>
              </w:rPr>
              <w:t>★★★★★</w:t>
            </w:r>
          </w:p>
        </w:tc>
      </w:tr>
      <w:tr w14:paraId="06C13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blCellSpacing w:w="0" w:type="dxa"/>
        </w:trPr>
        <w:tc>
          <w:tcPr>
            <w:tcW w:w="1843"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7A45E3AB">
            <w:pPr>
              <w:spacing w:before="0" w:after="0"/>
              <w:ind w:left="0"/>
              <w:jc w:val="left"/>
            </w:pPr>
            <w:r>
              <w:rPr>
                <w:rFonts w:ascii="Times New Roman" w:hAnsi="Times New Roman"/>
                <w:b w:val="0"/>
                <w:i w:val="0"/>
                <w:color w:val="000000"/>
                <w:sz w:val="20"/>
              </w:rPr>
              <w:t>3</w:t>
            </w:r>
          </w:p>
        </w:tc>
        <w:tc>
          <w:tcPr>
            <w:tcW w:w="4526"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24C4459E">
            <w:pPr>
              <w:spacing w:before="0" w:after="0"/>
              <w:ind w:left="0"/>
              <w:jc w:val="left"/>
            </w:pPr>
            <w:r>
              <w:rPr>
                <w:rFonts w:ascii="Times New Roman" w:hAnsi="Times New Roman"/>
                <w:b w:val="0"/>
                <w:i w:val="0"/>
                <w:color w:val="000000"/>
                <w:sz w:val="20"/>
              </w:rPr>
              <w:t>技术研发平台</w:t>
            </w:r>
          </w:p>
        </w:tc>
        <w:tc>
          <w:tcPr>
            <w:tcW w:w="4079"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0174DA9B">
            <w:pPr>
              <w:spacing w:before="0" w:after="0"/>
              <w:ind w:left="0"/>
              <w:jc w:val="left"/>
            </w:pPr>
            <w:r>
              <w:rPr>
                <w:rFonts w:ascii="Times New Roman" w:hAnsi="Times New Roman"/>
                <w:b w:val="0"/>
                <w:i w:val="0"/>
                <w:color w:val="000000"/>
                <w:sz w:val="20"/>
              </w:rPr>
              <w:t>研发设计网机房</w:t>
            </w:r>
          </w:p>
        </w:tc>
        <w:tc>
          <w:tcPr>
            <w:tcW w:w="3186"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6FBF4398">
            <w:pPr>
              <w:spacing w:before="0" w:after="0"/>
              <w:ind w:left="0"/>
              <w:jc w:val="left"/>
            </w:pPr>
            <w:r>
              <w:rPr>
                <w:rFonts w:ascii="Times New Roman" w:hAnsi="Times New Roman"/>
                <w:b w:val="0"/>
                <w:i w:val="0"/>
                <w:color w:val="000000"/>
                <w:sz w:val="20"/>
              </w:rPr>
              <w:t>★★★★☆</w:t>
            </w:r>
          </w:p>
        </w:tc>
      </w:tr>
      <w:tr w14:paraId="4DC25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blCellSpacing w:w="0" w:type="dxa"/>
        </w:trPr>
        <w:tc>
          <w:tcPr>
            <w:tcW w:w="1843"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31D34210">
            <w:pPr>
              <w:spacing w:before="0" w:after="0"/>
              <w:ind w:left="0"/>
              <w:jc w:val="left"/>
            </w:pPr>
            <w:r>
              <w:rPr>
                <w:rFonts w:ascii="Times New Roman" w:hAnsi="Times New Roman"/>
                <w:b w:val="0"/>
                <w:i w:val="0"/>
                <w:color w:val="000000"/>
                <w:sz w:val="20"/>
              </w:rPr>
              <w:t>4</w:t>
            </w:r>
          </w:p>
        </w:tc>
        <w:tc>
          <w:tcPr>
            <w:tcW w:w="4526"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53C5C5E8">
            <w:pPr>
              <w:spacing w:before="0" w:after="0"/>
              <w:ind w:left="0"/>
              <w:jc w:val="left"/>
            </w:pPr>
            <w:r>
              <w:rPr>
                <w:rFonts w:ascii="Times New Roman" w:hAnsi="Times New Roman"/>
                <w:b w:val="0"/>
                <w:i w:val="0"/>
                <w:color w:val="000000"/>
                <w:sz w:val="20"/>
              </w:rPr>
              <w:t>采矿运营调度系统</w:t>
            </w:r>
          </w:p>
        </w:tc>
        <w:tc>
          <w:tcPr>
            <w:tcW w:w="4079"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0FD9448F">
            <w:pPr>
              <w:spacing w:before="0" w:after="0"/>
              <w:ind w:left="0"/>
              <w:jc w:val="left"/>
            </w:pPr>
            <w:r>
              <w:rPr>
                <w:rFonts w:ascii="Times New Roman" w:hAnsi="Times New Roman"/>
                <w:b w:val="0"/>
                <w:i w:val="0"/>
                <w:color w:val="000000"/>
                <w:sz w:val="20"/>
              </w:rPr>
              <w:t>灾备中心</w:t>
            </w:r>
          </w:p>
        </w:tc>
        <w:tc>
          <w:tcPr>
            <w:tcW w:w="3186" w:type="dxa"/>
            <w:tcBorders>
              <w:top w:val="single" w:color="DDDDDD" w:sz="8" w:space="0"/>
              <w:left w:val="single" w:color="DDDDDD" w:sz="8" w:space="0"/>
              <w:bottom w:val="single" w:color="DDDDDD" w:sz="8" w:space="0"/>
              <w:right w:val="single" w:color="DDDDDD" w:sz="8" w:space="0"/>
            </w:tcBorders>
            <w:tcMar>
              <w:top w:w="120" w:type="dxa"/>
              <w:left w:w="120" w:type="dxa"/>
              <w:bottom w:w="120" w:type="dxa"/>
              <w:right w:w="120" w:type="dxa"/>
            </w:tcMar>
            <w:vAlign w:val="center"/>
          </w:tcPr>
          <w:p w14:paraId="3E2BB97E">
            <w:pPr>
              <w:spacing w:before="0" w:after="0"/>
              <w:ind w:left="0"/>
              <w:jc w:val="left"/>
            </w:pPr>
            <w:r>
              <w:rPr>
                <w:rFonts w:ascii="Times New Roman" w:hAnsi="Times New Roman"/>
                <w:b w:val="0"/>
                <w:i w:val="0"/>
                <w:color w:val="000000"/>
                <w:sz w:val="20"/>
              </w:rPr>
              <w:t>★★★★☆</w:t>
            </w:r>
          </w:p>
        </w:tc>
      </w:tr>
    </w:tbl>
    <w:p w14:paraId="38D9DAE4">
      <w:pPr>
        <w:spacing w:before="0" w:after="0" w:line="360" w:lineRule="auto"/>
        <w:ind w:left="120"/>
        <w:jc w:val="left"/>
      </w:pPr>
      <w:r>
        <w:rPr>
          <w:rFonts w:ascii="Times New Roman" w:hAnsi="Times New Roman"/>
          <w:b w:val="0"/>
          <w:i w:val="0"/>
          <w:color w:val="000000"/>
          <w:sz w:val="20"/>
        </w:rPr>
        <w:t>上述系统存储和处理金诚信矿业管理股份有限公司核心数据（如矿产资源地质数据、采矿工程方案、财务报表等），是本次零信任(aTrust)与</w:t>
      </w:r>
      <w:r>
        <w:rPr>
          <w:rFonts w:hint="eastAsia" w:ascii="Times New Roman" w:hAnsi="Times New Roman"/>
          <w:b w:val="0"/>
          <w:i w:val="0"/>
          <w:color w:val="000000"/>
          <w:sz w:val="20"/>
          <w:lang w:eastAsia="zh-CN"/>
        </w:rPr>
        <w:t>防泄密分析中心</w:t>
      </w:r>
      <w:r>
        <w:rPr>
          <w:rFonts w:ascii="Times New Roman" w:hAnsi="Times New Roman"/>
          <w:b w:val="0"/>
          <w:i w:val="0"/>
          <w:color w:val="000000"/>
          <w:sz w:val="20"/>
        </w:rPr>
        <w:t>部署的重点防护对象，需通过技术手段实现访问控制、数据加密及行为审计的全方位防护。</w:t>
      </w:r>
    </w:p>
    <w:p w14:paraId="681DB4CE">
      <w:pPr>
        <w:pStyle w:val="2"/>
        <w:spacing w:before="0" w:after="0"/>
        <w:ind w:left="120"/>
        <w:jc w:val="left"/>
      </w:pPr>
      <w:bookmarkStart w:id="40" w:name="_Toc20797"/>
      <w:r>
        <w:rPr>
          <w:rFonts w:ascii="Times New Roman" w:hAnsi="Times New Roman"/>
          <w:color w:val="000000"/>
        </w:rPr>
        <w:t>项目效益分析</w:t>
      </w:r>
      <w:bookmarkEnd w:id="40"/>
    </w:p>
    <w:p w14:paraId="7119EDF9">
      <w:pPr>
        <w:pStyle w:val="3"/>
        <w:spacing w:before="0" w:after="0"/>
        <w:ind w:left="120"/>
        <w:jc w:val="left"/>
      </w:pPr>
      <w:bookmarkStart w:id="41" w:name="_Toc32360"/>
      <w:r>
        <w:rPr>
          <w:rFonts w:ascii="Times New Roman" w:hAnsi="Times New Roman"/>
          <w:color w:val="000000"/>
        </w:rPr>
        <w:t>社会效益</w:t>
      </w:r>
      <w:bookmarkEnd w:id="41"/>
    </w:p>
    <w:p w14:paraId="7B950E92">
      <w:pPr>
        <w:spacing w:before="0" w:after="0" w:line="360" w:lineRule="auto"/>
        <w:ind w:left="120"/>
        <w:jc w:val="left"/>
      </w:pPr>
      <w:r>
        <w:rPr>
          <w:rFonts w:ascii="Times New Roman" w:hAnsi="Times New Roman"/>
          <w:b w:val="0"/>
          <w:i w:val="0"/>
          <w:color w:val="000000"/>
          <w:sz w:val="20"/>
        </w:rPr>
        <w:t>在矿业行业数字化转型加速推进的背景下，数据已成为支撑企业核心竞争力的关键要素，其安全保障不仅关系企业自身发展，更对行业稳定与社会治理具有重要意义。金诚信矿业管理股份有限公司作为国际化矿业综合服务企业，核心数据涵盖矿产资料、财务数据、方案设计材料等敏感信息，这些数据的安全流转与应用直接影响矿山工程建设、采矿运营管理等业务的稳定开展。</w:t>
      </w:r>
    </w:p>
    <w:p w14:paraId="4555E1E5">
      <w:pPr>
        <w:spacing w:before="0" w:after="0" w:line="360" w:lineRule="auto"/>
        <w:ind w:left="120"/>
        <w:jc w:val="left"/>
      </w:pPr>
      <w:r>
        <w:rPr>
          <w:rFonts w:ascii="Times New Roman" w:hAnsi="Times New Roman"/>
          <w:b w:val="0"/>
          <w:i w:val="0"/>
          <w:color w:val="000000"/>
          <w:sz w:val="20"/>
        </w:rPr>
        <w:t>通过部署零信任(aTrust)与</w:t>
      </w:r>
      <w:r>
        <w:rPr>
          <w:rFonts w:hint="eastAsia" w:ascii="Times New Roman" w:hAnsi="Times New Roman"/>
          <w:b w:val="0"/>
          <w:i w:val="0"/>
          <w:color w:val="000000"/>
          <w:sz w:val="20"/>
          <w:lang w:eastAsia="zh-CN"/>
        </w:rPr>
        <w:t>防泄密分析中心</w:t>
      </w:r>
      <w:r>
        <w:rPr>
          <w:rFonts w:ascii="Times New Roman" w:hAnsi="Times New Roman"/>
          <w:b w:val="0"/>
          <w:i w:val="0"/>
          <w:color w:val="000000"/>
          <w:sz w:val="20"/>
        </w:rPr>
        <w:t>构建的数据安全体系，能够有效保障企业核心数据的机密性、完整性和可用性，确保业务在安全稳定的环境下运行，避免因数据泄露对行业秩序及社会稳定造成不良影响。同时，该体系为企业提供了数据安全治理的坚实支撑，有助于解决传统数据管理中存在的防护不全面、响应不及时等问题，提升企业在行业内的服务能力与社会认可度，为矿业行业数据安全建设树立标杆。</w:t>
      </w:r>
    </w:p>
    <w:p w14:paraId="53026A56">
      <w:pPr>
        <w:pStyle w:val="3"/>
        <w:spacing w:before="0" w:after="0"/>
        <w:ind w:left="120"/>
        <w:jc w:val="left"/>
      </w:pPr>
      <w:bookmarkStart w:id="42" w:name="_Toc31074"/>
      <w:r>
        <w:rPr>
          <w:rFonts w:ascii="Times New Roman" w:hAnsi="Times New Roman"/>
          <w:color w:val="000000"/>
        </w:rPr>
        <w:t>经济效益</w:t>
      </w:r>
      <w:bookmarkEnd w:id="42"/>
    </w:p>
    <w:p w14:paraId="21BC3897">
      <w:pPr>
        <w:spacing w:before="0" w:after="0" w:line="360" w:lineRule="auto"/>
        <w:ind w:left="120"/>
        <w:jc w:val="left"/>
      </w:pPr>
      <w:r>
        <w:rPr>
          <w:rFonts w:ascii="Times New Roman" w:hAnsi="Times New Roman"/>
          <w:b w:val="0"/>
          <w:i w:val="0"/>
          <w:color w:val="000000"/>
          <w:sz w:val="20"/>
        </w:rPr>
        <w:t>在数字化时代，金诚信矿业管理股份有限公司的数字资产已成为其参与市场竞争的核心资源，而数据安全风险则是制约企业数字化转型的重要挑战。本次项目建设通过</w:t>
      </w:r>
      <w:r>
        <w:rPr>
          <w:rFonts w:hint="eastAsia" w:ascii="Times New Roman" w:hAnsi="Times New Roman"/>
          <w:b w:val="0"/>
          <w:i w:val="0"/>
          <w:color w:val="000000"/>
          <w:sz w:val="20"/>
          <w:lang w:eastAsia="zh-CN"/>
        </w:rPr>
        <w:t>防泄密分析中心</w:t>
      </w:r>
      <w:r>
        <w:rPr>
          <w:rFonts w:ascii="Times New Roman" w:hAnsi="Times New Roman"/>
          <w:b w:val="0"/>
          <w:i w:val="0"/>
          <w:color w:val="000000"/>
          <w:sz w:val="20"/>
        </w:rPr>
        <w:t>的敏感数据分类分级、外发文件动态管控等功能，结合零信任(aTrust)的动态访问控制机制，能够有效降低企业数字资产外泄风险，减少因敏感信息泄露引发的舆论风险。</w:t>
      </w:r>
    </w:p>
    <w:p w14:paraId="5CA38443">
      <w:pPr>
        <w:spacing w:before="0" w:after="0" w:line="360" w:lineRule="auto"/>
        <w:ind w:left="120"/>
        <w:jc w:val="left"/>
      </w:pPr>
      <w:r>
        <w:rPr>
          <w:rFonts w:ascii="Times New Roman" w:hAnsi="Times New Roman"/>
          <w:b w:val="0"/>
          <w:i w:val="0"/>
          <w:color w:val="000000"/>
          <w:sz w:val="20"/>
        </w:rPr>
        <w:t>同时，</w:t>
      </w:r>
      <w:r>
        <w:rPr>
          <w:rFonts w:hint="eastAsia" w:ascii="Times New Roman" w:hAnsi="Times New Roman"/>
          <w:b w:val="0"/>
          <w:i w:val="0"/>
          <w:color w:val="000000"/>
          <w:sz w:val="20"/>
          <w:lang w:eastAsia="zh-CN"/>
        </w:rPr>
        <w:t>防泄密分析中心</w:t>
      </w:r>
      <w:r>
        <w:rPr>
          <w:rFonts w:ascii="Times New Roman" w:hAnsi="Times New Roman"/>
          <w:b w:val="0"/>
          <w:i w:val="0"/>
          <w:color w:val="000000"/>
          <w:sz w:val="20"/>
        </w:rPr>
        <w:t>的自动化、智能化安全管理能力，可降低企业信息运维压力，减少传统安全管理模式下的人力与物力投入，提升安全事件响应速度与准确性。此外，通过对数据资产的分类、标记与追踪，该体系能帮助企业更清晰地掌握自身数据资产状况，识别核心敏感数据，为业务决策提供精准的数据支持，为企业数字化转型保驾护航。</w:t>
      </w:r>
    </w:p>
    <w:p w14:paraId="5F784C60">
      <w:r>
        <w:rPr>
          <w:rFonts w:ascii="Times New Roman" w:hAnsi="Times New Roman"/>
          <w:color w:val="000000"/>
        </w:rPr>
        <w:br w:type="page"/>
      </w:r>
    </w:p>
    <w:p w14:paraId="710208B9">
      <w:pPr>
        <w:pStyle w:val="2"/>
        <w:spacing w:before="0" w:after="0"/>
        <w:ind w:left="120"/>
        <w:jc w:val="left"/>
      </w:pPr>
      <w:bookmarkStart w:id="43" w:name="_Toc31601"/>
      <w:r>
        <w:rPr>
          <w:rFonts w:ascii="Times New Roman" w:hAnsi="Times New Roman"/>
          <w:color w:val="000000"/>
        </w:rPr>
        <w:t>项目经费估算</w:t>
      </w:r>
      <w:bookmarkEnd w:id="43"/>
    </w:p>
    <w:p w14:paraId="33D7E61A">
      <w:pPr>
        <w:spacing w:before="0" w:after="0" w:line="360" w:lineRule="auto"/>
        <w:ind w:left="120"/>
        <w:jc w:val="left"/>
      </w:pPr>
      <w:r>
        <w:rPr>
          <w:rFonts w:ascii="Times New Roman" w:hAnsi="Times New Roman"/>
          <w:b w:val="0"/>
          <w:i w:val="0"/>
          <w:color w:val="000000"/>
          <w:sz w:val="20"/>
        </w:rPr>
        <w:t>为保障金诚信矿业管理股份有限公司数据安全体系建设的顺利实施，本章节对项目相关预算规划清单进行详细说明，涵盖核心产品及对应功能模块的经费估算，为项目资源投入提供参考。</w:t>
      </w:r>
    </w:p>
    <w:tbl>
      <w:tblPr>
        <w:tblStyle w:val="3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67"/>
        <w:gridCol w:w="2106"/>
        <w:gridCol w:w="1836"/>
        <w:gridCol w:w="541"/>
        <w:gridCol w:w="727"/>
        <w:gridCol w:w="879"/>
        <w:gridCol w:w="881"/>
        <w:gridCol w:w="882"/>
      </w:tblGrid>
      <w:tr w14:paraId="382B5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423" w:type="pct"/>
            <w:tcBorders>
              <w:top w:val="single" w:color="000000" w:sz="4" w:space="0"/>
              <w:left w:val="single" w:color="000000" w:sz="4" w:space="0"/>
              <w:bottom w:val="single" w:color="000000" w:sz="4" w:space="0"/>
              <w:right w:val="single" w:color="000000" w:sz="4" w:space="0"/>
            </w:tcBorders>
            <w:shd w:val="clear" w:color="auto" w:fill="2972F4"/>
            <w:vAlign w:val="center"/>
          </w:tcPr>
          <w:p w14:paraId="7A6C19CF">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b/>
                <w:bCs/>
                <w:i w:val="0"/>
                <w:iCs w:val="0"/>
                <w:color w:val="FFFFFF"/>
                <w:sz w:val="13"/>
                <w:szCs w:val="13"/>
                <w:u w:val="none"/>
              </w:rPr>
            </w:pPr>
            <w:r>
              <w:rPr>
                <w:rFonts w:hint="eastAsia" w:ascii="宋体" w:hAnsi="宋体" w:eastAsia="宋体" w:cs="宋体"/>
                <w:b/>
                <w:bCs/>
                <w:i w:val="0"/>
                <w:iCs w:val="0"/>
                <w:snapToGrid/>
                <w:color w:val="FFFFFF"/>
                <w:kern w:val="0"/>
                <w:sz w:val="13"/>
                <w:szCs w:val="13"/>
                <w:u w:val="none"/>
                <w:lang w:val="en-US" w:eastAsia="zh-CN" w:bidi="ar"/>
              </w:rPr>
              <w:t>产品名称</w:t>
            </w:r>
          </w:p>
        </w:tc>
        <w:tc>
          <w:tcPr>
            <w:tcW w:w="1123" w:type="pct"/>
            <w:tcBorders>
              <w:top w:val="single" w:color="000000" w:sz="4" w:space="0"/>
              <w:left w:val="single" w:color="000000" w:sz="4" w:space="0"/>
              <w:bottom w:val="single" w:color="000000" w:sz="4" w:space="0"/>
              <w:right w:val="single" w:color="000000" w:sz="4" w:space="0"/>
            </w:tcBorders>
            <w:shd w:val="clear" w:color="auto" w:fill="2972F4"/>
            <w:vAlign w:val="center"/>
          </w:tcPr>
          <w:p w14:paraId="61A7F064">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b/>
                <w:bCs/>
                <w:i w:val="0"/>
                <w:iCs w:val="0"/>
                <w:color w:val="FFFFFF"/>
                <w:sz w:val="13"/>
                <w:szCs w:val="13"/>
                <w:u w:val="none"/>
              </w:rPr>
            </w:pPr>
            <w:r>
              <w:rPr>
                <w:rFonts w:hint="eastAsia" w:ascii="宋体" w:hAnsi="宋体" w:eastAsia="宋体" w:cs="宋体"/>
                <w:b/>
                <w:bCs/>
                <w:i w:val="0"/>
                <w:iCs w:val="0"/>
                <w:snapToGrid/>
                <w:color w:val="FFFFFF"/>
                <w:kern w:val="0"/>
                <w:sz w:val="13"/>
                <w:szCs w:val="13"/>
                <w:u w:val="none"/>
                <w:lang w:val="en-US" w:eastAsia="zh-CN" w:bidi="ar"/>
              </w:rPr>
              <w:t>产品型号</w:t>
            </w:r>
          </w:p>
        </w:tc>
        <w:tc>
          <w:tcPr>
            <w:tcW w:w="999" w:type="pct"/>
            <w:tcBorders>
              <w:top w:val="single" w:color="000000" w:sz="4" w:space="0"/>
              <w:left w:val="single" w:color="000000" w:sz="4" w:space="0"/>
              <w:bottom w:val="single" w:color="000000" w:sz="4" w:space="0"/>
              <w:right w:val="single" w:color="000000" w:sz="4" w:space="0"/>
            </w:tcBorders>
            <w:shd w:val="clear" w:color="auto" w:fill="2972F4"/>
            <w:vAlign w:val="center"/>
          </w:tcPr>
          <w:p w14:paraId="38FE7F4C">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b/>
                <w:bCs/>
                <w:i w:val="0"/>
                <w:iCs w:val="0"/>
                <w:color w:val="FFFFFF"/>
                <w:sz w:val="13"/>
                <w:szCs w:val="13"/>
                <w:u w:val="none"/>
              </w:rPr>
            </w:pPr>
            <w:r>
              <w:rPr>
                <w:rFonts w:hint="eastAsia" w:ascii="宋体" w:hAnsi="宋体" w:eastAsia="宋体" w:cs="宋体"/>
                <w:b/>
                <w:bCs/>
                <w:i w:val="0"/>
                <w:iCs w:val="0"/>
                <w:snapToGrid/>
                <w:color w:val="FFFFFF"/>
                <w:kern w:val="0"/>
                <w:sz w:val="13"/>
                <w:szCs w:val="13"/>
                <w:u w:val="none"/>
                <w:lang w:val="en-US" w:eastAsia="zh-CN" w:bidi="ar"/>
              </w:rPr>
              <w:t>物料说明</w:t>
            </w:r>
          </w:p>
        </w:tc>
        <w:tc>
          <w:tcPr>
            <w:tcW w:w="349" w:type="pct"/>
            <w:tcBorders>
              <w:top w:val="single" w:color="000000" w:sz="4" w:space="0"/>
              <w:left w:val="single" w:color="000000" w:sz="4" w:space="0"/>
              <w:bottom w:val="single" w:color="000000" w:sz="4" w:space="0"/>
              <w:right w:val="single" w:color="000000" w:sz="4" w:space="0"/>
            </w:tcBorders>
            <w:shd w:val="clear" w:color="auto" w:fill="2972F4"/>
            <w:vAlign w:val="center"/>
          </w:tcPr>
          <w:p w14:paraId="5C138138">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b/>
                <w:bCs/>
                <w:i w:val="0"/>
                <w:iCs w:val="0"/>
                <w:color w:val="FFFFFF"/>
                <w:sz w:val="13"/>
                <w:szCs w:val="13"/>
                <w:u w:val="none"/>
              </w:rPr>
            </w:pPr>
            <w:r>
              <w:rPr>
                <w:rFonts w:hint="eastAsia" w:ascii="宋体" w:hAnsi="宋体" w:eastAsia="宋体" w:cs="宋体"/>
                <w:b/>
                <w:bCs/>
                <w:i w:val="0"/>
                <w:iCs w:val="0"/>
                <w:snapToGrid/>
                <w:color w:val="FFFFFF"/>
                <w:kern w:val="0"/>
                <w:sz w:val="13"/>
                <w:szCs w:val="13"/>
                <w:u w:val="none"/>
                <w:lang w:val="en-US" w:eastAsia="zh-CN" w:bidi="ar"/>
              </w:rPr>
              <w:t>单位</w:t>
            </w:r>
          </w:p>
        </w:tc>
        <w:tc>
          <w:tcPr>
            <w:tcW w:w="458" w:type="pct"/>
            <w:tcBorders>
              <w:top w:val="single" w:color="000000" w:sz="4" w:space="0"/>
              <w:left w:val="single" w:color="000000" w:sz="4" w:space="0"/>
              <w:bottom w:val="single" w:color="000000" w:sz="4" w:space="0"/>
              <w:right w:val="single" w:color="000000" w:sz="4" w:space="0"/>
            </w:tcBorders>
            <w:shd w:val="clear" w:color="auto" w:fill="2972F4"/>
            <w:vAlign w:val="center"/>
          </w:tcPr>
          <w:p w14:paraId="7BAA4348">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b/>
                <w:bCs/>
                <w:i w:val="0"/>
                <w:iCs w:val="0"/>
                <w:color w:val="FFFFFF"/>
                <w:sz w:val="13"/>
                <w:szCs w:val="13"/>
                <w:u w:val="none"/>
              </w:rPr>
            </w:pPr>
            <w:r>
              <w:rPr>
                <w:rFonts w:hint="eastAsia" w:ascii="宋体" w:hAnsi="宋体" w:eastAsia="宋体" w:cs="宋体"/>
                <w:b/>
                <w:bCs/>
                <w:i w:val="0"/>
                <w:iCs w:val="0"/>
                <w:snapToGrid/>
                <w:color w:val="FFFFFF"/>
                <w:kern w:val="0"/>
                <w:sz w:val="13"/>
                <w:szCs w:val="13"/>
                <w:u w:val="none"/>
                <w:lang w:val="en-US" w:eastAsia="zh-CN" w:bidi="ar"/>
              </w:rPr>
              <w:t>购买数量</w:t>
            </w:r>
          </w:p>
        </w:tc>
        <w:tc>
          <w:tcPr>
            <w:tcW w:w="547" w:type="pct"/>
            <w:tcBorders>
              <w:top w:val="single" w:color="000000" w:sz="4" w:space="0"/>
              <w:left w:val="single" w:color="000000" w:sz="4" w:space="0"/>
              <w:bottom w:val="single" w:color="000000" w:sz="4" w:space="0"/>
              <w:right w:val="single" w:color="000000" w:sz="4" w:space="0"/>
            </w:tcBorders>
            <w:shd w:val="clear" w:color="auto" w:fill="2972F4"/>
            <w:vAlign w:val="center"/>
          </w:tcPr>
          <w:p w14:paraId="45FC673D">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b/>
                <w:bCs/>
                <w:i w:val="0"/>
                <w:iCs w:val="0"/>
                <w:color w:val="FFFFFF"/>
                <w:sz w:val="13"/>
                <w:szCs w:val="13"/>
                <w:u w:val="none"/>
              </w:rPr>
            </w:pPr>
            <w:r>
              <w:rPr>
                <w:rFonts w:hint="eastAsia" w:ascii="宋体" w:hAnsi="宋体" w:eastAsia="宋体" w:cs="宋体"/>
                <w:b/>
                <w:bCs/>
                <w:i w:val="0"/>
                <w:iCs w:val="0"/>
                <w:snapToGrid/>
                <w:color w:val="FFFFFF"/>
                <w:kern w:val="0"/>
                <w:sz w:val="13"/>
                <w:szCs w:val="13"/>
                <w:u w:val="none"/>
                <w:lang w:val="en-US" w:eastAsia="zh-CN" w:bidi="ar"/>
              </w:rPr>
              <w:t>单价(元)</w:t>
            </w:r>
          </w:p>
        </w:tc>
        <w:tc>
          <w:tcPr>
            <w:tcW w:w="548" w:type="pct"/>
            <w:tcBorders>
              <w:top w:val="single" w:color="000000" w:sz="4" w:space="0"/>
              <w:left w:val="single" w:color="000000" w:sz="4" w:space="0"/>
              <w:bottom w:val="single" w:color="000000" w:sz="4" w:space="0"/>
              <w:right w:val="single" w:color="000000" w:sz="4" w:space="0"/>
            </w:tcBorders>
            <w:shd w:val="clear" w:color="auto" w:fill="2972F4"/>
            <w:vAlign w:val="center"/>
          </w:tcPr>
          <w:p w14:paraId="5BF2860D">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b/>
                <w:bCs/>
                <w:i w:val="0"/>
                <w:iCs w:val="0"/>
                <w:color w:val="FFFFFF"/>
                <w:sz w:val="13"/>
                <w:szCs w:val="13"/>
                <w:u w:val="none"/>
              </w:rPr>
            </w:pPr>
            <w:r>
              <w:rPr>
                <w:rFonts w:hint="eastAsia" w:ascii="宋体" w:hAnsi="宋体" w:eastAsia="宋体" w:cs="宋体"/>
                <w:b/>
                <w:bCs/>
                <w:i w:val="0"/>
                <w:iCs w:val="0"/>
                <w:snapToGrid/>
                <w:color w:val="FFFFFF"/>
                <w:kern w:val="0"/>
                <w:sz w:val="13"/>
                <w:szCs w:val="13"/>
                <w:u w:val="none"/>
                <w:lang w:val="en-US" w:eastAsia="zh-CN" w:bidi="ar"/>
              </w:rPr>
              <w:t>总价(元)</w:t>
            </w:r>
          </w:p>
        </w:tc>
        <w:tc>
          <w:tcPr>
            <w:tcW w:w="548" w:type="pct"/>
            <w:tcBorders>
              <w:top w:val="single" w:color="000000" w:sz="4" w:space="0"/>
              <w:left w:val="single" w:color="000000" w:sz="4" w:space="0"/>
              <w:bottom w:val="single" w:color="000000" w:sz="4" w:space="0"/>
              <w:right w:val="single" w:color="000000" w:sz="4" w:space="0"/>
            </w:tcBorders>
            <w:shd w:val="clear" w:color="auto" w:fill="2972F4"/>
            <w:vAlign w:val="center"/>
          </w:tcPr>
          <w:p w14:paraId="11D103ED">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b/>
                <w:bCs/>
                <w:i w:val="0"/>
                <w:iCs w:val="0"/>
                <w:color w:val="FFFFFF"/>
                <w:sz w:val="13"/>
                <w:szCs w:val="13"/>
                <w:u w:val="none"/>
              </w:rPr>
            </w:pPr>
            <w:r>
              <w:rPr>
                <w:rFonts w:hint="eastAsia" w:ascii="宋体" w:hAnsi="宋体" w:eastAsia="宋体" w:cs="宋体"/>
                <w:b/>
                <w:bCs/>
                <w:i w:val="0"/>
                <w:iCs w:val="0"/>
                <w:snapToGrid/>
                <w:color w:val="FFFFFF"/>
                <w:kern w:val="0"/>
                <w:sz w:val="13"/>
                <w:szCs w:val="13"/>
                <w:u w:val="none"/>
                <w:lang w:val="en-US" w:eastAsia="zh-CN" w:bidi="ar"/>
              </w:rPr>
              <w:t>产品含税总价(元)</w:t>
            </w:r>
          </w:p>
        </w:tc>
      </w:tr>
      <w:tr w14:paraId="6FC1C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60" w:hRule="atLeast"/>
        </w:trPr>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578BFA">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深信服办公安全分析中心软件</w:t>
            </w:r>
          </w:p>
        </w:tc>
        <w:tc>
          <w:tcPr>
            <w:tcW w:w="11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50CEF9">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防泄密分析中心</w:t>
            </w:r>
          </w:p>
        </w:tc>
        <w:tc>
          <w:tcPr>
            <w:tcW w:w="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67B201">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深信服办公安全分析中心软件，支持将零信任内网应用访问、防泄密、上网安全等办公安全组件审计的用户日志进行统一存储与查询、智能统计分析、可视化安全报表展示等。</w:t>
            </w:r>
          </w:p>
        </w:tc>
        <w:tc>
          <w:tcPr>
            <w:tcW w:w="3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7858BB">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套</w:t>
            </w:r>
          </w:p>
        </w:tc>
        <w:tc>
          <w:tcPr>
            <w:tcW w:w="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B21BAB">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1</w:t>
            </w:r>
          </w:p>
        </w:tc>
        <w:tc>
          <w:tcPr>
            <w:tcW w:w="5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EA8F98">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70000</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21B6E0">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70000</w:t>
            </w:r>
          </w:p>
        </w:tc>
        <w:tc>
          <w:tcPr>
            <w:tcW w:w="54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31B8878">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800000</w:t>
            </w:r>
          </w:p>
        </w:tc>
      </w:tr>
      <w:tr w14:paraId="19EF3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60" w:hRule="atLeast"/>
        </w:trPr>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DDD70E">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深信服XDLP可扩展数据防泄漏管控与分析软件</w:t>
            </w:r>
          </w:p>
        </w:tc>
        <w:tc>
          <w:tcPr>
            <w:tcW w:w="11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1AB81">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XDLP</w:t>
            </w:r>
          </w:p>
        </w:tc>
        <w:tc>
          <w:tcPr>
            <w:tcW w:w="999" w:type="pct"/>
            <w:tcBorders>
              <w:top w:val="single" w:color="000000" w:sz="4" w:space="0"/>
              <w:left w:val="single" w:color="000000" w:sz="4" w:space="0"/>
              <w:bottom w:val="single" w:color="000000" w:sz="4" w:space="0"/>
              <w:right w:val="single" w:color="000000" w:sz="4" w:space="0"/>
            </w:tcBorders>
            <w:shd w:val="clear" w:color="auto" w:fill="auto"/>
            <w:vAlign w:val="top"/>
          </w:tcPr>
          <w:p w14:paraId="5AE16105">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深信服防泄密用户授权软件，按需要管控的用户数阶梯收费。实现为办公用户配置防泄密策略下发与统一管理的能力。</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【泄密通路管控策略】支持对终端程序、终端外设等文件外发通路进行全面的管控和审计，包括但不限于企微、网盘、邮箱、U盘、蓝牙、打印等。</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泄密风险分析策略】内置通用规则模板，快速实现常见泄密行为的识别分析告警；支持通过文件来源、文件类型等维度的配置，对敏感数据进行自定义；提供企业整体的敏感数据流转态势可视化效果，展示各个维度敏感文件的外发情况，辅助数据安全运营决策。</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外发事件溯源策略】外发事件日志能够审计到足够清晰的人员、终端、操作等详细信息，精确锁定目标；管理人员做事件溯源时，能够直观可视的看清泄密事件的全流程，提升溯源的效率；对审计到的泄密事件有明确的证据进行举证防抵赖，比如外发现场的截屏、外发的附件原文件等；对已知的泄密事件，能够一键反查的方式快速定位到企业中所有跟泄密内容相关的人员和操作。</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 xml:space="preserve">【敏感数据管控策略】对明确要进行管控的部分业务数据文件，管理员能够通过自定义精细策略，在终端侧直接识别出敏感文件并阻止用户外发。                                                                                                                                                                                                                                                                                                                                                                                                                                                                                                                                                                                                                                                                                                                                                                                                                                                                                                                                                                                                                                                                                                                                                                                                                                                                                                                                                                                                                                                                                                                                                                                                                                                                                                                                                                                                                                                                                                                                                                                                                                                                                                                                                                                                                                                                                                                                                                                                                                                                                                                                                                                                                                                                                                                                                                                                                                                                                                                                                                                                                                                                                                                                                                                                                                                                                                                                                                                                                                                                                                                                                                                                                                                                                                                                                                                                                                                                                                                                                                                                                                                                                                                                                </w:t>
            </w:r>
            <w:r>
              <w:rPr>
                <w:rFonts w:hint="eastAsia" w:ascii="宋体" w:hAnsi="宋体" w:eastAsia="宋体" w:cs="宋体"/>
                <w:i w:val="0"/>
                <w:iCs w:val="0"/>
                <w:snapToGrid/>
                <w:color w:val="000000"/>
                <w:kern w:val="0"/>
                <w:sz w:val="18"/>
                <w:szCs w:val="18"/>
                <w:u w:val="none"/>
                <w:lang w:val="en-US" w:eastAsia="zh-CN" w:bidi="ar"/>
              </w:rPr>
              <w:t xml:space="preserve">                                                                                                                                                                                                                                                                                                                                                                                                                                                                                                                                                                                                                                                                                                                                                                                                                                                                                                                                                                                                                                                                                                                                                                                                                                                                                                                                                                                                                                                                                                                                                                                                                                                                                                                                                                                                                                                                                                                                                                                                                                                                                                                                                                                                                                                                                                                                                                                                                                                                                                                                                                                                                                                                                                                                                                                                                                                                                                                                                                                                                                                                                                                                                                                                                                                                                                                                                                                                                                                                                                                                                                                                                                                                                                                                                                                                                                                                                                                                                                                                                                                                                                                                                                                                                </w:t>
            </w:r>
            <w:r>
              <w:rPr>
                <w:rFonts w:hint="eastAsia" w:ascii="宋体" w:hAnsi="宋体" w:eastAsia="宋体" w:cs="宋体"/>
                <w:i w:val="0"/>
                <w:iCs w:val="0"/>
                <w:snapToGrid/>
                <w:color w:val="000000"/>
                <w:kern w:val="0"/>
                <w:sz w:val="18"/>
                <w:szCs w:val="18"/>
                <w:u w:val="none"/>
                <w:lang w:val="en-US" w:eastAsia="zh-CN" w:bidi="ar"/>
              </w:rPr>
              <w:t xml:space="preserve">                                                                                                                                                                                                                                                                                                                                                                                                                                                                                                                                                                                                                                                                                                                                                                                                                                                                                                                                                                                                                                                                                                                                                                                                                                                                                                                                                                                                                                                                                                                                                                                                                                                                                                                                                                                                                                                                                                                                                                                                                                                                                                                                                                                                                                                                                                                                                                                                                                                                                                                                                                                                                                                                                                                                                                                                                                                                                                                                                                                                                                                                                                                                                                                                                                                                                                                                                                                                                                                                                                                                                                                                                                                                                                                                                                                                                                                                                                                                                                                                  </w:t>
            </w:r>
          </w:p>
        </w:tc>
        <w:tc>
          <w:tcPr>
            <w:tcW w:w="3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5FFA03">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套</w:t>
            </w:r>
          </w:p>
        </w:tc>
        <w:tc>
          <w:tcPr>
            <w:tcW w:w="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260714">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3500</w:t>
            </w:r>
          </w:p>
        </w:tc>
        <w:tc>
          <w:tcPr>
            <w:tcW w:w="5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171C1C">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120</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9DFF6B">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420000</w:t>
            </w:r>
          </w:p>
        </w:tc>
        <w:tc>
          <w:tcPr>
            <w:tcW w:w="5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9A473F">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p>
        </w:tc>
      </w:tr>
      <w:tr w14:paraId="56A72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60" w:hRule="atLeast"/>
        </w:trPr>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82334B">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零信任</w:t>
            </w:r>
          </w:p>
        </w:tc>
        <w:tc>
          <w:tcPr>
            <w:tcW w:w="11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CAFD4F">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aTrust-1000-B1080C(深信服零信任访问控制系统)</w:t>
            </w:r>
          </w:p>
        </w:tc>
        <w:tc>
          <w:tcPr>
            <w:tcW w:w="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4C9E3A">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性能参数：最大并发用户数（个）：4000，最大并发用户数（个）-尊享级：3200，新建用户数（个/秒）-本地认证：110，新建用户数（个/秒）-外部认证（如LDAP）：70。</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硬件参数：规格：1U，内存大小：16G，硬盘容量：128G SSD，电源：冗余电源，接口：8千兆电口+2千兆光口SFP+2万兆光口SFP+。</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零信任可信控制器</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1台* aTrust-1000-B1080C标准产品 ,含：</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1套* 深信服零信任访问控制系统软件V2.0;</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3500套* 深信服零信任接入授权（授权买断）;</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1年* 维保服务（标准版）;</w:t>
            </w:r>
          </w:p>
        </w:tc>
        <w:tc>
          <w:tcPr>
            <w:tcW w:w="3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F02BFD">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套</w:t>
            </w:r>
          </w:p>
        </w:tc>
        <w:tc>
          <w:tcPr>
            <w:tcW w:w="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55794A">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1</w:t>
            </w:r>
          </w:p>
        </w:tc>
        <w:tc>
          <w:tcPr>
            <w:tcW w:w="5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16096D">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250000</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DAB108">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250000</w:t>
            </w:r>
          </w:p>
        </w:tc>
        <w:tc>
          <w:tcPr>
            <w:tcW w:w="5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3234BE">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p>
        </w:tc>
      </w:tr>
      <w:tr w14:paraId="187F3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60" w:hRule="atLeast"/>
        </w:trPr>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FCC1DA">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零信任</w:t>
            </w:r>
          </w:p>
        </w:tc>
        <w:tc>
          <w:tcPr>
            <w:tcW w:w="11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684F0F">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aTrust-1000-B1080G(深信服零信任访问控制系统)</w:t>
            </w:r>
          </w:p>
        </w:tc>
        <w:tc>
          <w:tcPr>
            <w:tcW w:w="9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254B2E">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SSL性能参数：最大理论加密流量：750Mbps，最大理论建议并发用户数（个）：7500，最大理论https并发连接数（个）：120000，理论https新建连接数（个/秒）：730；IPSEC性能参数：加密最大流量（Mbps）：380，理论并发隧道数（Tunnel）：2400。</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硬件参数：规格：2U，内存大小：16G，硬盘容量：480G SSD，电源：冗余电源，接口：16千兆电口+6万兆光口SFP+。</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功能描述：深信服零信任安全代理网关是零信任方案的核心组件之一，提供用户接入、加密传输、代理转发、安全策略执行、用户访问日志审计等功能。</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1台* aTrust-1000-B1080G标准产品 ,含：</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1套* 深信服零信任访问控制系统软件V2.0;</w:t>
            </w:r>
            <w:r>
              <w:rPr>
                <w:rFonts w:hint="eastAsia" w:ascii="宋体" w:hAnsi="宋体" w:eastAsia="宋体" w:cs="宋体"/>
                <w:i w:val="0"/>
                <w:iCs w:val="0"/>
                <w:snapToGrid/>
                <w:color w:val="000000"/>
                <w:kern w:val="0"/>
                <w:sz w:val="18"/>
                <w:szCs w:val="18"/>
                <w:u w:val="none"/>
                <w:lang w:val="en-US" w:eastAsia="zh-CN" w:bidi="ar"/>
              </w:rPr>
              <w:br w:type="textWrapping"/>
            </w:r>
            <w:r>
              <w:rPr>
                <w:rFonts w:hint="eastAsia" w:ascii="宋体" w:hAnsi="宋体" w:eastAsia="宋体" w:cs="宋体"/>
                <w:i w:val="0"/>
                <w:iCs w:val="0"/>
                <w:snapToGrid/>
                <w:color w:val="000000"/>
                <w:kern w:val="0"/>
                <w:sz w:val="18"/>
                <w:szCs w:val="18"/>
                <w:u w:val="none"/>
                <w:lang w:val="en-US" w:eastAsia="zh-CN" w:bidi="ar"/>
              </w:rPr>
              <w:t>1年* 维保服务（标准版）;</w:t>
            </w:r>
          </w:p>
        </w:tc>
        <w:tc>
          <w:tcPr>
            <w:tcW w:w="3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5C0F6D">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套</w:t>
            </w:r>
          </w:p>
        </w:tc>
        <w:tc>
          <w:tcPr>
            <w:tcW w:w="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58F1AA">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1</w:t>
            </w:r>
          </w:p>
        </w:tc>
        <w:tc>
          <w:tcPr>
            <w:tcW w:w="5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58F957">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60000</w:t>
            </w:r>
          </w:p>
        </w:tc>
        <w:tc>
          <w:tcPr>
            <w:tcW w:w="5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C8FFA7">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r>
              <w:rPr>
                <w:rFonts w:hint="eastAsia" w:ascii="宋体" w:hAnsi="宋体" w:eastAsia="宋体" w:cs="宋体"/>
                <w:i w:val="0"/>
                <w:iCs w:val="0"/>
                <w:snapToGrid/>
                <w:color w:val="000000"/>
                <w:kern w:val="0"/>
                <w:sz w:val="18"/>
                <w:szCs w:val="18"/>
                <w:u w:val="none"/>
                <w:lang w:val="en-US" w:eastAsia="zh-CN" w:bidi="ar"/>
              </w:rPr>
              <w:t>60000</w:t>
            </w:r>
          </w:p>
        </w:tc>
        <w:tc>
          <w:tcPr>
            <w:tcW w:w="54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F646BE">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p>
        </w:tc>
      </w:tr>
    </w:tbl>
    <w:p w14:paraId="5136CE74">
      <w:pPr>
        <w:keepNext w:val="0"/>
        <w:keepLines w:val="0"/>
        <w:pageBreakBefore w:val="0"/>
        <w:widowControl/>
        <w:suppressLineNumbers w:val="0"/>
        <w:kinsoku/>
        <w:wordWrap/>
        <w:overflowPunct/>
        <w:topLinePunct w:val="0"/>
        <w:autoSpaceDE/>
        <w:autoSpaceDN/>
        <w:bidi w:val="0"/>
        <w:ind w:firstLine="0" w:firstLineChars="0"/>
        <w:jc w:val="center"/>
        <w:textAlignment w:val="center"/>
        <w:rPr>
          <w:rFonts w:hint="eastAsia" w:ascii="宋体" w:hAnsi="宋体" w:eastAsia="宋体" w:cs="宋体"/>
          <w:i w:val="0"/>
          <w:iCs w:val="0"/>
          <w:snapToGrid/>
          <w:color w:val="000000"/>
          <w:kern w:val="0"/>
          <w:sz w:val="18"/>
          <w:szCs w:val="18"/>
          <w:u w:val="none"/>
          <w:lang w:val="en-US" w:eastAsia="zh-CN" w:bidi="ar"/>
        </w:rPr>
      </w:pPr>
    </w:p>
    <w:sectPr>
      <w:footerReference r:id="rId7"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07A7A33E">
        <w:pPr>
          <w:pStyle w:val="22"/>
          <w:jc w:val="center"/>
        </w:pPr>
        <w:r>
          <w:fldChar w:fldCharType="begin"/>
        </w:r>
        <w:r>
          <w:instrText xml:space="preserve">PAGE   \* MERGEFORMAT</w:instrText>
        </w:r>
        <w:r>
          <w:fldChar w:fldCharType="separate"/>
        </w:r>
        <w:r>
          <w:rPr>
            <w:lang w:val="zh-CN"/>
          </w:rPr>
          <w:t>2</w:t>
        </w:r>
        <w:r>
          <w:fldChar w:fldCharType="end"/>
        </w:r>
      </w:p>
    </w:sdtContent>
  </w:sdt>
  <w:p w14:paraId="5EBBD453">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27864"/>
    </w:sdtPr>
    <w:sdtContent>
      <w:p w14:paraId="1A107813">
        <w:pPr>
          <w:pStyle w:val="22"/>
          <w:jc w:val="center"/>
        </w:pPr>
        <w:r>
          <w:fldChar w:fldCharType="begin"/>
        </w:r>
        <w:r>
          <w:instrText xml:space="preserve">PAGE   \* MERGEFORMAT</w:instrText>
        </w:r>
        <w:r>
          <w:fldChar w:fldCharType="separate"/>
        </w:r>
        <w:r>
          <w:rPr>
            <w:lang w:val="zh-CN"/>
          </w:rPr>
          <w:t>2</w:t>
        </w:r>
        <w:r>
          <w:fldChar w:fldCharType="end"/>
        </w:r>
      </w:p>
    </w:sdtContent>
  </w:sdt>
  <w:p w14:paraId="14FD7093">
    <w:pPr>
      <w:pStyle w:val="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ind w:firstLine="420"/>
      </w:pPr>
      <w:r>
        <w:separator/>
      </w:r>
    </w:p>
  </w:footnote>
  <w:footnote w:type="continuationSeparator" w:id="1">
    <w:p>
      <w:pPr>
        <w:spacing w:before="0" w:after="0" w:line="288"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81F93">
    <w:pPr>
      <w:pStyle w:val="23"/>
      <w:ind w:left="27" w:leftChars="13" w:right="31" w:rightChars="15"/>
      <w:jc w:val="both"/>
    </w:pPr>
    <w:r>
      <w:rPr>
        <w:rFonts w:hint="eastAsia"/>
      </w:rPr>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CC450D"/>
    <w:multiLevelType w:val="singleLevel"/>
    <w:tmpl w:val="B3CC450D"/>
    <w:lvl w:ilvl="0" w:tentative="0">
      <w:start w:val="1"/>
      <w:numFmt w:val="bullet"/>
      <w:lvlText w:val=""/>
      <w:lvlJc w:val="left"/>
      <w:pPr>
        <w:ind w:left="840" w:hanging="360"/>
      </w:pPr>
      <w:rPr>
        <w:rFonts w:hint="default" w:ascii="Symbol" w:hAnsi="Symbol"/>
      </w:rPr>
    </w:lvl>
  </w:abstractNum>
  <w:abstractNum w:abstractNumId="1">
    <w:nsid w:val="B53F3350"/>
    <w:multiLevelType w:val="singleLevel"/>
    <w:tmpl w:val="B53F3350"/>
    <w:lvl w:ilvl="0" w:tentative="0">
      <w:start w:val="0"/>
      <w:numFmt w:val="bullet"/>
      <w:lvlText w:val="•"/>
      <w:lvlJc w:val="left"/>
      <w:rPr>
        <w:color w:val="3370FF"/>
      </w:rPr>
    </w:lvl>
  </w:abstractNum>
  <w:abstractNum w:abstractNumId="2">
    <w:nsid w:val="D7D140E4"/>
    <w:multiLevelType w:val="singleLevel"/>
    <w:tmpl w:val="D7D140E4"/>
    <w:lvl w:ilvl="0" w:tentative="0">
      <w:start w:val="0"/>
      <w:numFmt w:val="bullet"/>
      <w:lvlText w:val="•"/>
      <w:lvlJc w:val="left"/>
      <w:rPr>
        <w:color w:val="3370FF"/>
      </w:rPr>
    </w:lvl>
  </w:abstractNum>
  <w:abstractNum w:abstractNumId="3">
    <w:nsid w:val="EDB7DCA8"/>
    <w:multiLevelType w:val="singleLevel"/>
    <w:tmpl w:val="EDB7DCA8"/>
    <w:lvl w:ilvl="0" w:tentative="0">
      <w:start w:val="1"/>
      <w:numFmt w:val="decimal"/>
      <w:lvlText w:val="%1."/>
      <w:lvlJc w:val="left"/>
      <w:pPr>
        <w:ind w:left="840" w:hanging="360"/>
      </w:pPr>
    </w:lvl>
  </w:abstractNum>
  <w:abstractNum w:abstractNumId="4">
    <w:nsid w:val="F0E89278"/>
    <w:multiLevelType w:val="singleLevel"/>
    <w:tmpl w:val="F0E89278"/>
    <w:lvl w:ilvl="0" w:tentative="0">
      <w:start w:val="0"/>
      <w:numFmt w:val="bullet"/>
      <w:lvlText w:val="•"/>
      <w:lvlJc w:val="left"/>
      <w:rPr>
        <w:color w:val="3370FF"/>
      </w:rPr>
    </w:lvl>
  </w:abstractNum>
  <w:abstractNum w:abstractNumId="5">
    <w:nsid w:val="01EE354D"/>
    <w:multiLevelType w:val="multilevel"/>
    <w:tmpl w:val="01EE354D"/>
    <w:lvl w:ilvl="0" w:tentative="0">
      <w:start w:val="1"/>
      <w:numFmt w:val="decimal"/>
      <w:pStyle w:val="55"/>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
    <w:nsid w:val="05357E8B"/>
    <w:multiLevelType w:val="multilevel"/>
    <w:tmpl w:val="05357E8B"/>
    <w:lvl w:ilvl="0" w:tentative="0">
      <w:start w:val="1"/>
      <w:numFmt w:val="bullet"/>
      <w:pStyle w:val="57"/>
      <w:lvlText w:val=""/>
      <w:lvlJc w:val="left"/>
      <w:pPr>
        <w:ind w:left="420" w:hanging="420"/>
      </w:pPr>
      <w:rPr>
        <w:rFonts w:hint="default" w:ascii="Wingdings" w:hAnsi="Wingdings"/>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840" w:hanging="420"/>
      </w:pPr>
      <w:rPr>
        <w:rFonts w:hint="default" w:ascii="Wingdings" w:hAnsi="Wingdings"/>
      </w:rPr>
    </w:lvl>
    <w:lvl w:ilvl="3" w:tentative="0">
      <w:start w:val="1"/>
      <w:numFmt w:val="bullet"/>
      <w:lvlText w:val=""/>
      <w:lvlJc w:val="left"/>
      <w:pPr>
        <w:ind w:left="1260" w:hanging="420"/>
      </w:pPr>
      <w:rPr>
        <w:rFonts w:hint="default" w:ascii="Wingdings" w:hAnsi="Wingdings"/>
      </w:rPr>
    </w:lvl>
    <w:lvl w:ilvl="4" w:tentative="0">
      <w:start w:val="1"/>
      <w:numFmt w:val="bullet"/>
      <w:lvlText w:val=""/>
      <w:lvlJc w:val="left"/>
      <w:pPr>
        <w:ind w:left="1680" w:hanging="420"/>
      </w:pPr>
      <w:rPr>
        <w:rFonts w:hint="default" w:ascii="Wingdings" w:hAnsi="Wingdings"/>
      </w:rPr>
    </w:lvl>
    <w:lvl w:ilvl="5" w:tentative="0">
      <w:start w:val="1"/>
      <w:numFmt w:val="bullet"/>
      <w:lvlText w:val=""/>
      <w:lvlJc w:val="left"/>
      <w:pPr>
        <w:ind w:left="2100" w:hanging="420"/>
      </w:pPr>
      <w:rPr>
        <w:rFonts w:hint="default" w:ascii="Wingdings" w:hAnsi="Wingdings"/>
      </w:rPr>
    </w:lvl>
    <w:lvl w:ilvl="6"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2940" w:hanging="420"/>
      </w:pPr>
      <w:rPr>
        <w:rFonts w:hint="default" w:ascii="Wingdings" w:hAnsi="Wingdings"/>
      </w:rPr>
    </w:lvl>
    <w:lvl w:ilvl="8" w:tentative="0">
      <w:start w:val="1"/>
      <w:numFmt w:val="bullet"/>
      <w:lvlText w:val=""/>
      <w:lvlJc w:val="left"/>
      <w:pPr>
        <w:ind w:left="3360" w:hanging="420"/>
      </w:pPr>
      <w:rPr>
        <w:rFonts w:hint="default" w:ascii="Wingdings" w:hAnsi="Wingdings"/>
      </w:rPr>
    </w:lvl>
  </w:abstractNum>
  <w:abstractNum w:abstractNumId="7">
    <w:nsid w:val="0709FD3E"/>
    <w:multiLevelType w:val="singleLevel"/>
    <w:tmpl w:val="0709FD3E"/>
    <w:lvl w:ilvl="0" w:tentative="0">
      <w:start w:val="0"/>
      <w:numFmt w:val="bullet"/>
      <w:lvlText w:val="•"/>
      <w:lvlJc w:val="left"/>
      <w:rPr>
        <w:color w:val="3370FF"/>
      </w:rPr>
    </w:lvl>
  </w:abstractNum>
  <w:abstractNum w:abstractNumId="8">
    <w:nsid w:val="0F9F9CCA"/>
    <w:multiLevelType w:val="singleLevel"/>
    <w:tmpl w:val="0F9F9CCA"/>
    <w:lvl w:ilvl="0" w:tentative="0">
      <w:start w:val="0"/>
      <w:numFmt w:val="bullet"/>
      <w:lvlText w:val="•"/>
      <w:lvlJc w:val="left"/>
      <w:rPr>
        <w:color w:val="3370FF"/>
      </w:rPr>
    </w:lvl>
  </w:abstractNum>
  <w:abstractNum w:abstractNumId="9">
    <w:nsid w:val="1C1E6FC5"/>
    <w:multiLevelType w:val="multilevel"/>
    <w:tmpl w:val="1C1E6FC5"/>
    <w:lvl w:ilvl="0" w:tentative="0">
      <w:start w:val="1"/>
      <w:numFmt w:val="decimal"/>
      <w:pStyle w:val="83"/>
      <w:lvlText w:val="%1"/>
      <w:lvlJc w:val="left"/>
      <w:pPr>
        <w:ind w:left="403" w:hanging="403"/>
      </w:pPr>
      <w:rPr>
        <w:rFonts w:hint="default" w:ascii="Times New Roman" w:hAnsi="Times New Roman"/>
        <w:b/>
        <w:i w:val="0"/>
        <w:sz w:val="32"/>
      </w:rPr>
    </w:lvl>
    <w:lvl w:ilvl="1" w:tentative="0">
      <w:start w:val="1"/>
      <w:numFmt w:val="decimal"/>
      <w:isLgl/>
      <w:suff w:val="space"/>
      <w:lvlText w:val="%1.%2 "/>
      <w:lvlJc w:val="left"/>
      <w:pPr>
        <w:ind w:left="403" w:hanging="403"/>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isLgl/>
      <w:suff w:val="space"/>
      <w:lvlText w:val="%1.%2.%3 "/>
      <w:lvlJc w:val="left"/>
      <w:pPr>
        <w:ind w:left="403" w:hanging="403"/>
      </w:pPr>
      <w:rPr>
        <w:rFonts w:hint="default" w:ascii="Times New Roman" w:hAnsi="Times New Roman"/>
        <w:b/>
        <w:i w:val="0"/>
        <w:sz w:val="28"/>
      </w:rPr>
    </w:lvl>
    <w:lvl w:ilvl="3" w:tentative="0">
      <w:start w:val="1"/>
      <w:numFmt w:val="decimal"/>
      <w:isLgl/>
      <w:suff w:val="space"/>
      <w:lvlText w:val="%1.%2.%3.%4 "/>
      <w:lvlJc w:val="left"/>
      <w:pPr>
        <w:ind w:left="403" w:hanging="403"/>
      </w:pPr>
      <w:rPr>
        <w:rFonts w:hint="default" w:ascii="Times New Roman" w:hAnsi="Times New Roman"/>
        <w:b/>
        <w:i w:val="0"/>
        <w:sz w:val="24"/>
      </w:rPr>
    </w:lvl>
    <w:lvl w:ilvl="4" w:tentative="0">
      <w:start w:val="1"/>
      <w:numFmt w:val="decimal"/>
      <w:isLgl/>
      <w:suff w:val="space"/>
      <w:lvlText w:val="%1.%2.%3.%4.%5 "/>
      <w:lvlJc w:val="left"/>
      <w:pPr>
        <w:ind w:left="403" w:hanging="403"/>
      </w:pPr>
      <w:rPr>
        <w:rFonts w:hint="default" w:ascii="Times New Roman" w:hAnsi="Times New Roman"/>
        <w:sz w:val="24"/>
      </w:rPr>
    </w:lvl>
    <w:lvl w:ilvl="5" w:tentative="0">
      <w:start w:val="1"/>
      <w:numFmt w:val="decimal"/>
      <w:isLgl/>
      <w:suff w:val="space"/>
      <w:lvlText w:val="%1.%2.%3.%4.%5.%6 "/>
      <w:lvlJc w:val="left"/>
      <w:pPr>
        <w:ind w:left="403" w:hanging="403"/>
      </w:pPr>
      <w:rPr>
        <w:rFonts w:hint="eastAsia"/>
      </w:rPr>
    </w:lvl>
    <w:lvl w:ilvl="6" w:tentative="0">
      <w:start w:val="1"/>
      <w:numFmt w:val="decimal"/>
      <w:lvlRestart w:val="1"/>
      <w:pStyle w:val="51"/>
      <w:isLgl/>
      <w:suff w:val="space"/>
      <w:lvlText w:val="图 %1-%7 "/>
      <w:lvlJc w:val="left"/>
      <w:pPr>
        <w:ind w:left="403" w:hanging="403"/>
      </w:pPr>
      <w:rPr>
        <w:rFonts w:hint="default" w:ascii="Times New Roman" w:hAnsi="Times New Roman" w:eastAsia="宋体"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1"/>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7" w:tentative="0">
      <w:start w:val="1"/>
      <w:numFmt w:val="decimal"/>
      <w:lvlRestart w:val="1"/>
      <w:isLgl/>
      <w:suff w:val="space"/>
      <w:lvlText w:val="表 %1-%8 "/>
      <w:lvlJc w:val="left"/>
      <w:pPr>
        <w:ind w:left="403" w:hanging="403"/>
      </w:pPr>
      <w:rPr>
        <w:rFonts w:hint="default" w:ascii="Times New Roman" w:hAnsi="Times New Roman" w:eastAsia="宋体" w:cs="Times New Roman"/>
        <w:b w:val="0"/>
        <w:i w:val="0"/>
        <w:sz w:val="21"/>
      </w:rPr>
    </w:lvl>
    <w:lvl w:ilvl="8" w:tentative="0">
      <w:start w:val="1"/>
      <w:numFmt w:val="none"/>
      <w:suff w:val="nothing"/>
      <w:lvlText w:val=""/>
      <w:lvlJc w:val="left"/>
      <w:pPr>
        <w:ind w:left="403" w:hanging="403"/>
      </w:pPr>
      <w:rPr>
        <w:rFonts w:hint="eastAsia"/>
      </w:rPr>
    </w:lvl>
  </w:abstractNum>
  <w:abstractNum w:abstractNumId="10">
    <w:nsid w:val="23E97754"/>
    <w:multiLevelType w:val="singleLevel"/>
    <w:tmpl w:val="23E97754"/>
    <w:lvl w:ilvl="0" w:tentative="0">
      <w:start w:val="0"/>
      <w:numFmt w:val="bullet"/>
      <w:lvlText w:val="•"/>
      <w:lvlJc w:val="left"/>
      <w:rPr>
        <w:color w:val="3370FF"/>
      </w:rPr>
    </w:lvl>
  </w:abstractNum>
  <w:abstractNum w:abstractNumId="11">
    <w:nsid w:val="25AC0422"/>
    <w:multiLevelType w:val="multilevel"/>
    <w:tmpl w:val="25AC0422"/>
    <w:lvl w:ilvl="0" w:tentative="0">
      <w:start w:val="1"/>
      <w:numFmt w:val="decimal"/>
      <w:lvlText w:val="%1"/>
      <w:lvlJc w:val="left"/>
      <w:pPr>
        <w:ind w:left="400" w:hanging="400"/>
      </w:pPr>
      <w:rPr>
        <w:rFonts w:hint="default" w:ascii="Times New Roman" w:hAnsi="Times New Roman"/>
        <w:b/>
        <w:i w:val="0"/>
        <w:sz w:val="32"/>
      </w:rPr>
    </w:lvl>
    <w:lvl w:ilvl="1" w:tentative="0">
      <w:start w:val="1"/>
      <w:numFmt w:val="decimal"/>
      <w:suff w:val="space"/>
      <w:lvlText w:val="%1.%2 "/>
      <w:lvlJc w:val="left"/>
      <w:pPr>
        <w:ind w:left="400" w:hanging="400"/>
      </w:pPr>
      <w:rPr>
        <w:rFonts w:hint="default" w:ascii="Times New Roman" w:hAnsi="Times New Roman" w:cs="Times New Roman"/>
        <w:b/>
        <w:bCs w:val="0"/>
        <w:i w:val="0"/>
        <w:iCs w:val="0"/>
        <w:caps w:val="0"/>
        <w:strike w:val="0"/>
        <w:dstrike w:val="0"/>
        <w:outline w:val="0"/>
        <w:shadow w:val="0"/>
        <w:emboss w:val="0"/>
        <w:imprint w:val="0"/>
        <w:vanish w:val="0"/>
        <w:spacing w:val="0"/>
        <w:kern w:val="0"/>
        <w:position w:val="0"/>
        <w:sz w:val="32"/>
        <w:u w:val="none"/>
        <w:vertAlign w:val="baseline"/>
        <w14:ligatures w14:val="none"/>
        <w14:numForm w14:val="default"/>
        <w14:numSpacing w14:val="default"/>
      </w:rPr>
    </w:lvl>
    <w:lvl w:ilvl="2" w:tentative="0">
      <w:start w:val="1"/>
      <w:numFmt w:val="decimal"/>
      <w:suff w:val="space"/>
      <w:lvlText w:val="%1.%2.%3 "/>
      <w:lvlJc w:val="left"/>
      <w:pPr>
        <w:ind w:left="400" w:hanging="400"/>
      </w:pPr>
      <w:rPr>
        <w:rFonts w:hint="default" w:ascii="Times New Roman" w:hAnsi="Times New Roman"/>
        <w:b/>
        <w:i w:val="0"/>
        <w:sz w:val="28"/>
      </w:rPr>
    </w:lvl>
    <w:lvl w:ilvl="3" w:tentative="0">
      <w:start w:val="1"/>
      <w:numFmt w:val="decimal"/>
      <w:pStyle w:val="61"/>
      <w:suff w:val="space"/>
      <w:lvlText w:val="%1.%2.%3.%4 "/>
      <w:lvlJc w:val="left"/>
      <w:pPr>
        <w:ind w:left="400" w:hanging="400"/>
      </w:pPr>
      <w:rPr>
        <w:rFonts w:hint="default" w:ascii="Times New Roman" w:hAnsi="Times New Roman"/>
        <w:b/>
        <w:i w:val="0"/>
        <w:sz w:val="24"/>
      </w:rPr>
    </w:lvl>
    <w:lvl w:ilvl="4" w:tentative="0">
      <w:start w:val="1"/>
      <w:numFmt w:val="decimal"/>
      <w:pStyle w:val="68"/>
      <w:suff w:val="space"/>
      <w:lvlText w:val="%1.%2.%3.%4.%5 "/>
      <w:lvlJc w:val="left"/>
      <w:pPr>
        <w:ind w:left="400" w:hanging="400"/>
      </w:pPr>
      <w:rPr>
        <w:rFonts w:hint="default" w:ascii="Times New Roman" w:hAnsi="Times New Roman"/>
        <w:sz w:val="24"/>
      </w:rPr>
    </w:lvl>
    <w:lvl w:ilvl="5" w:tentative="0">
      <w:start w:val="1"/>
      <w:numFmt w:val="decimal"/>
      <w:pStyle w:val="62"/>
      <w:suff w:val="space"/>
      <w:lvlText w:val="%1.%2.%3.%4.%5.%6 "/>
      <w:lvlJc w:val="left"/>
      <w:pPr>
        <w:ind w:left="400" w:hanging="400"/>
      </w:pPr>
      <w:rPr>
        <w:rFonts w:hint="eastAsia"/>
      </w:rPr>
    </w:lvl>
    <w:lvl w:ilvl="6" w:tentative="0">
      <w:start w:val="1"/>
      <w:numFmt w:val="decimal"/>
      <w:lvlRestart w:val="1"/>
      <w:isLgl/>
      <w:suff w:val="space"/>
      <w:lvlText w:val="图 %1-%7 "/>
      <w:lvlJc w:val="left"/>
      <w:pPr>
        <w:ind w:left="400" w:hanging="400"/>
      </w:pPr>
      <w:rPr>
        <w:rFonts w:hint="default" w:ascii="Times New Roman" w:hAnsi="Times New Roman" w:eastAsia="宋体" w:cs="Times New Roman"/>
        <w:b w:val="0"/>
        <w:bCs w:val="0"/>
        <w:i w:val="0"/>
        <w:iCs w:val="0"/>
        <w:caps w:val="0"/>
        <w:strike w:val="0"/>
        <w:dstrike w:val="0"/>
        <w:outline w:val="0"/>
        <w:shadow w:val="0"/>
        <w:emboss w:val="0"/>
        <w:imprint w:val="0"/>
        <w:vanish w:val="0"/>
        <w:spacing w:val="0"/>
        <w:position w:val="0"/>
        <w:sz w:val="21"/>
        <w:u w:val="none"/>
        <w:vertAlign w:val="baseline"/>
        <w14:ligatures w14:val="none"/>
        <w14:numForm w14:val="default"/>
        <w14:numSpacing w14:val="default"/>
      </w:rPr>
    </w:lvl>
    <w:lvl w:ilvl="7" w:tentative="0">
      <w:start w:val="1"/>
      <w:numFmt w:val="decimal"/>
      <w:lvlRestart w:val="1"/>
      <w:isLgl/>
      <w:suff w:val="space"/>
      <w:lvlText w:val="表 %1-%8 "/>
      <w:lvlJc w:val="left"/>
      <w:pPr>
        <w:ind w:left="400" w:hanging="400"/>
      </w:pPr>
      <w:rPr>
        <w:rFonts w:hint="default" w:ascii="Times New Roman" w:hAnsi="Times New Roman" w:eastAsia="宋体" w:cs="Times New Roman"/>
        <w:b w:val="0"/>
        <w:i w:val="0"/>
        <w:sz w:val="21"/>
      </w:rPr>
    </w:lvl>
    <w:lvl w:ilvl="8" w:tentative="0">
      <w:start w:val="1"/>
      <w:numFmt w:val="none"/>
      <w:suff w:val="nothing"/>
      <w:lvlText w:val=""/>
      <w:lvlJc w:val="left"/>
      <w:pPr>
        <w:ind w:left="400" w:hanging="400"/>
      </w:pPr>
      <w:rPr>
        <w:rFonts w:hint="eastAsia"/>
      </w:rPr>
    </w:lvl>
  </w:abstractNum>
  <w:abstractNum w:abstractNumId="12">
    <w:nsid w:val="279B2220"/>
    <w:multiLevelType w:val="multilevel"/>
    <w:tmpl w:val="279B2220"/>
    <w:lvl w:ilvl="0" w:tentative="0">
      <w:start w:val="1"/>
      <w:numFmt w:val="decimal"/>
      <w:pStyle w:val="5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3">
    <w:nsid w:val="322D85CA"/>
    <w:multiLevelType w:val="singleLevel"/>
    <w:tmpl w:val="322D85CA"/>
    <w:lvl w:ilvl="0" w:tentative="0">
      <w:start w:val="0"/>
      <w:numFmt w:val="bullet"/>
      <w:lvlText w:val="•"/>
      <w:lvlJc w:val="left"/>
      <w:rPr>
        <w:color w:val="3370FF"/>
      </w:rPr>
    </w:lvl>
  </w:abstractNum>
  <w:abstractNum w:abstractNumId="14">
    <w:nsid w:val="32A7AF2D"/>
    <w:multiLevelType w:val="singleLevel"/>
    <w:tmpl w:val="32A7AF2D"/>
    <w:lvl w:ilvl="0" w:tentative="0">
      <w:start w:val="0"/>
      <w:numFmt w:val="bullet"/>
      <w:lvlText w:val="•"/>
      <w:lvlJc w:val="left"/>
      <w:rPr>
        <w:color w:val="3370FF"/>
      </w:rPr>
    </w:lvl>
  </w:abstractNum>
  <w:abstractNum w:abstractNumId="15">
    <w:nsid w:val="3E270DCF"/>
    <w:multiLevelType w:val="multilevel"/>
    <w:tmpl w:val="3E270DCF"/>
    <w:lvl w:ilvl="0" w:tentative="0">
      <w:start w:val="1"/>
      <w:numFmt w:val="decimal"/>
      <w:pStyle w:val="2"/>
      <w:suff w:val="space"/>
      <w:lvlText w:val="%1."/>
      <w:lvlJc w:val="left"/>
      <w:pPr>
        <w:ind w:left="0" w:leftChars="0" w:firstLine="0" w:firstLineChars="0"/>
      </w:pPr>
      <w:rPr>
        <w:rFonts w:hint="default" w:ascii="微软雅黑" w:hAnsi="微软雅黑" w:eastAsia="微软雅黑"/>
      </w:rPr>
    </w:lvl>
    <w:lvl w:ilvl="1" w:tentative="0">
      <w:start w:val="1"/>
      <w:numFmt w:val="decimal"/>
      <w:pStyle w:val="3"/>
      <w:suff w:val="space"/>
      <w:lvlText w:val="%1.%2."/>
      <w:lvlJc w:val="left"/>
      <w:pPr>
        <w:ind w:left="0" w:leftChars="0" w:firstLine="0" w:firstLineChars="0"/>
      </w:pPr>
      <w:rPr>
        <w:rFonts w:hint="default" w:ascii="微软雅黑" w:hAnsi="微软雅黑" w:eastAsia="微软雅黑"/>
      </w:rPr>
    </w:lvl>
    <w:lvl w:ilvl="2" w:tentative="0">
      <w:start w:val="1"/>
      <w:numFmt w:val="decimal"/>
      <w:pStyle w:val="4"/>
      <w:suff w:val="space"/>
      <w:lvlText w:val="%1.%2.%3."/>
      <w:lvlJc w:val="left"/>
      <w:pPr>
        <w:ind w:left="0" w:leftChars="0" w:firstLine="0" w:firstLineChars="0"/>
      </w:pPr>
      <w:rPr>
        <w:rFonts w:hint="default" w:ascii="微软雅黑" w:hAnsi="微软雅黑" w:eastAsia="微软雅黑"/>
      </w:rPr>
    </w:lvl>
    <w:lvl w:ilvl="3" w:tentative="0">
      <w:start w:val="1"/>
      <w:numFmt w:val="decimal"/>
      <w:pStyle w:val="5"/>
      <w:suff w:val="space"/>
      <w:lvlText w:val="%1.%2.%3.%4."/>
      <w:lvlJc w:val="left"/>
      <w:pPr>
        <w:ind w:left="0" w:leftChars="0" w:firstLine="0" w:firstLineChars="0"/>
      </w:pPr>
      <w:rPr>
        <w:rFonts w:hint="default" w:ascii="微软雅黑" w:hAnsi="微软雅黑" w:eastAsia="微软雅黑"/>
      </w:rPr>
    </w:lvl>
    <w:lvl w:ilvl="4" w:tentative="0">
      <w:start w:val="1"/>
      <w:numFmt w:val="decimal"/>
      <w:pStyle w:val="6"/>
      <w:lvlText w:val="%1.%2.%3.%4.%5."/>
      <w:lvlJc w:val="left"/>
      <w:pPr>
        <w:tabs>
          <w:tab w:val="left" w:pos="0"/>
        </w:tabs>
        <w:ind w:left="0" w:leftChars="0" w:firstLine="0" w:firstLineChars="0"/>
      </w:pPr>
      <w:rPr>
        <w:rFonts w:hint="default" w:ascii="微软雅黑" w:hAnsi="微软雅黑" w:eastAsia="微软雅黑"/>
      </w:rPr>
    </w:lvl>
    <w:lvl w:ilvl="5" w:tentative="0">
      <w:start w:val="1"/>
      <w:numFmt w:val="decimal"/>
      <w:pStyle w:val="8"/>
      <w:suff w:val="space"/>
      <w:lvlText w:val="%1.%2.%3.%4.%5.%6."/>
      <w:lvlJc w:val="left"/>
      <w:pPr>
        <w:ind w:left="0" w:leftChars="0" w:firstLine="0" w:firstLineChars="0"/>
      </w:pPr>
      <w:rPr>
        <w:rFonts w:hint="default"/>
      </w:rPr>
    </w:lvl>
    <w:lvl w:ilvl="6" w:tentative="0">
      <w:start w:val="1"/>
      <w:numFmt w:val="decimal"/>
      <w:pStyle w:val="9"/>
      <w:lvlText w:val="%1.%2.%3.%4.%5.%6.%7."/>
      <w:lvlJc w:val="left"/>
      <w:pPr>
        <w:tabs>
          <w:tab w:val="left" w:pos="0"/>
        </w:tabs>
        <w:ind w:left="0" w:leftChars="0" w:firstLine="0" w:firstLineChars="0"/>
      </w:pPr>
      <w:rPr>
        <w:rFonts w:hint="default"/>
      </w:rPr>
    </w:lvl>
    <w:lvl w:ilvl="7" w:tentative="0">
      <w:start w:val="1"/>
      <w:numFmt w:val="decimal"/>
      <w:pStyle w:val="10"/>
      <w:suff w:val="space"/>
      <w:lvlText w:val="%1.%2.%3.%4.%5.%6.%7.%8."/>
      <w:lvlJc w:val="left"/>
      <w:pPr>
        <w:ind w:left="0" w:leftChars="0" w:firstLine="0" w:firstLineChars="0"/>
      </w:pPr>
      <w:rPr>
        <w:rFonts w:hint="default"/>
      </w:rPr>
    </w:lvl>
    <w:lvl w:ilvl="8" w:tentative="0">
      <w:start w:val="1"/>
      <w:numFmt w:val="decimal"/>
      <w:pStyle w:val="11"/>
      <w:lvlText w:val="%1.%2.%3.%4.%5.%6.%7.%8.%9."/>
      <w:lvlJc w:val="left"/>
      <w:pPr>
        <w:tabs>
          <w:tab w:val="left" w:pos="0"/>
        </w:tabs>
        <w:ind w:left="0" w:leftChars="0" w:firstLine="0" w:firstLineChars="0"/>
      </w:pPr>
      <w:rPr>
        <w:rFonts w:hint="default"/>
      </w:rPr>
    </w:lvl>
  </w:abstractNum>
  <w:abstractNum w:abstractNumId="16">
    <w:nsid w:val="4C3D7A74"/>
    <w:multiLevelType w:val="singleLevel"/>
    <w:tmpl w:val="4C3D7A74"/>
    <w:lvl w:ilvl="0" w:tentative="0">
      <w:start w:val="0"/>
      <w:numFmt w:val="bullet"/>
      <w:lvlText w:val="•"/>
      <w:lvlJc w:val="left"/>
      <w:rPr>
        <w:color w:val="3370FF"/>
      </w:rPr>
    </w:lvl>
  </w:abstractNum>
  <w:abstractNum w:abstractNumId="17">
    <w:nsid w:val="575222BB"/>
    <w:multiLevelType w:val="multilevel"/>
    <w:tmpl w:val="575222BB"/>
    <w:lvl w:ilvl="0" w:tentative="0">
      <w:start w:val="1"/>
      <w:numFmt w:val="lowerLetter"/>
      <w:pStyle w:val="63"/>
      <w:lvlText w:val="%1)"/>
      <w:lvlJc w:val="left"/>
      <w:pPr>
        <w:ind w:left="820" w:hanging="420"/>
      </w:p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18">
    <w:nsid w:val="5FFFB1A7"/>
    <w:multiLevelType w:val="singleLevel"/>
    <w:tmpl w:val="5FFFB1A7"/>
    <w:lvl w:ilvl="0" w:tentative="0">
      <w:start w:val="0"/>
      <w:numFmt w:val="bullet"/>
      <w:lvlText w:val="•"/>
      <w:lvlJc w:val="left"/>
      <w:rPr>
        <w:color w:val="3370FF"/>
      </w:rPr>
    </w:lvl>
  </w:abstractNum>
  <w:abstractNum w:abstractNumId="19">
    <w:nsid w:val="65CD0074"/>
    <w:multiLevelType w:val="singleLevel"/>
    <w:tmpl w:val="65CD0074"/>
    <w:lvl w:ilvl="0" w:tentative="0">
      <w:start w:val="0"/>
      <w:numFmt w:val="bullet"/>
      <w:lvlText w:val="•"/>
      <w:lvlJc w:val="left"/>
      <w:rPr>
        <w:color w:val="3370FF"/>
      </w:rPr>
    </w:lvl>
  </w:abstractNum>
  <w:abstractNum w:abstractNumId="20">
    <w:nsid w:val="67BB445A"/>
    <w:multiLevelType w:val="multilevel"/>
    <w:tmpl w:val="67BB445A"/>
    <w:lvl w:ilvl="0" w:tentative="0">
      <w:start w:val="1"/>
      <w:numFmt w:val="bullet"/>
      <w:pStyle w:val="64"/>
      <w:lvlText w:val=""/>
      <w:lvlJc w:val="left"/>
      <w:pPr>
        <w:ind w:left="420" w:firstLine="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21">
    <w:nsid w:val="6D122B72"/>
    <w:multiLevelType w:val="multilevel"/>
    <w:tmpl w:val="6D122B72"/>
    <w:lvl w:ilvl="0" w:tentative="0">
      <w:start w:val="1"/>
      <w:numFmt w:val="decimal"/>
      <w:lvlText w:val="%1"/>
      <w:lvlJc w:val="left"/>
      <w:pPr>
        <w:ind w:left="403" w:hanging="403"/>
      </w:pPr>
      <w:rPr>
        <w:rFonts w:hint="default" w:ascii="Times New Roman" w:hAnsi="Times New Roman"/>
        <w:b/>
        <w:i w:val="0"/>
        <w:sz w:val="32"/>
      </w:rPr>
    </w:lvl>
    <w:lvl w:ilvl="1" w:tentative="0">
      <w:start w:val="1"/>
      <w:numFmt w:val="decimal"/>
      <w:isLgl/>
      <w:suff w:val="space"/>
      <w:lvlText w:val="%1.%2 "/>
      <w:lvlJc w:val="left"/>
      <w:pPr>
        <w:ind w:left="403" w:hanging="403"/>
      </w:pPr>
      <w:rPr>
        <w:rFonts w:hint="default" w:ascii="Times New Roman" w:hAnsi="Times New Roman" w:cs="Times New Roman"/>
        <w:b/>
        <w:bCs w:val="0"/>
        <w:i w:val="0"/>
        <w:iCs w:val="0"/>
        <w:caps w:val="0"/>
        <w:smallCaps w:val="0"/>
        <w:strike w:val="0"/>
        <w:dstrike w:val="0"/>
        <w:outline w:val="0"/>
        <w:shadow w:val="0"/>
        <w:emboss w:val="0"/>
        <w:imprint w:val="0"/>
        <w:snapToGrid w:val="0"/>
        <w:vanish w:val="0"/>
        <w:color w:val="000000"/>
        <w:spacing w:val="0"/>
        <w:w w:val="0"/>
        <w:kern w:val="0"/>
        <w:position w:val="0"/>
        <w:sz w:val="32"/>
        <w:szCs w:val="0"/>
        <w:u w:val="none" w:color="000000"/>
        <w:vertAlign w:val="baseline"/>
        <w14:ligatures w14:val="none"/>
        <w14:numForm w14:val="default"/>
        <w14:numSpacing w14:val="default"/>
      </w:rPr>
    </w:lvl>
    <w:lvl w:ilvl="2" w:tentative="0">
      <w:start w:val="1"/>
      <w:numFmt w:val="decimal"/>
      <w:isLgl/>
      <w:suff w:val="space"/>
      <w:lvlText w:val="%1.%2.%3 "/>
      <w:lvlJc w:val="left"/>
      <w:pPr>
        <w:ind w:left="403" w:hanging="403"/>
      </w:pPr>
      <w:rPr>
        <w:rFonts w:hint="default" w:ascii="Times New Roman" w:hAnsi="Times New Roman"/>
        <w:b/>
        <w:i w:val="0"/>
        <w:sz w:val="28"/>
      </w:rPr>
    </w:lvl>
    <w:lvl w:ilvl="3" w:tentative="0">
      <w:start w:val="1"/>
      <w:numFmt w:val="decimal"/>
      <w:isLgl/>
      <w:suff w:val="space"/>
      <w:lvlText w:val="%1.%2.%3.%4 "/>
      <w:lvlJc w:val="left"/>
      <w:pPr>
        <w:ind w:left="403" w:hanging="403"/>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4" w:tentative="0">
      <w:start w:val="1"/>
      <w:numFmt w:val="decimal"/>
      <w:isLgl/>
      <w:suff w:val="space"/>
      <w:lvlText w:val="%1.%2.%3.%4.%5 "/>
      <w:lvlJc w:val="left"/>
      <w:pPr>
        <w:ind w:left="403" w:hanging="403"/>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isLgl/>
      <w:suff w:val="space"/>
      <w:lvlText w:val="%1.%2.%3.%4.%5.%6 "/>
      <w:lvlJc w:val="left"/>
      <w:pPr>
        <w:ind w:left="403" w:hanging="403"/>
      </w:pPr>
      <w:rPr>
        <w:rFonts w:hint="eastAsia"/>
      </w:rPr>
    </w:lvl>
    <w:lvl w:ilvl="6" w:tentative="0">
      <w:start w:val="1"/>
      <w:numFmt w:val="none"/>
      <w:lvlRestart w:val="1"/>
      <w:isLgl/>
      <w:suff w:val="nothing"/>
      <w:lvlText w:val=""/>
      <w:lvlJc w:val="left"/>
      <w:pPr>
        <w:ind w:left="403" w:hanging="403"/>
      </w:pPr>
      <w:rPr>
        <w:rFonts w:hint="default" w:ascii="Times New Roman" w:hAnsi="Times New Roman" w:eastAsia="宋体"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1"/>
        <w:szCs w:val="0"/>
        <w:u w:val="none" w:color="000000"/>
        <w:vertAlign w:val="baseline"/>
        <w14:ligatures w14:val="none"/>
        <w14:numForm w14:val="default"/>
        <w14:numSpacing w14:val="default"/>
      </w:rPr>
    </w:lvl>
    <w:lvl w:ilvl="7" w:tentative="0">
      <w:start w:val="1"/>
      <w:numFmt w:val="decimal"/>
      <w:lvlRestart w:val="1"/>
      <w:pStyle w:val="66"/>
      <w:isLgl/>
      <w:suff w:val="space"/>
      <w:lvlText w:val="表 %1-%8 "/>
      <w:lvlJc w:val="left"/>
      <w:pPr>
        <w:ind w:left="403" w:hanging="403"/>
      </w:pPr>
      <w:rPr>
        <w:rFonts w:hint="default" w:ascii="Times New Roman" w:hAnsi="Times New Roman" w:eastAsia="宋体" w:cs="Times New Roman"/>
        <w:b w:val="0"/>
        <w:i w:val="0"/>
        <w:sz w:val="21"/>
      </w:rPr>
    </w:lvl>
    <w:lvl w:ilvl="8" w:tentative="0">
      <w:start w:val="1"/>
      <w:numFmt w:val="none"/>
      <w:suff w:val="nothing"/>
      <w:lvlText w:val=""/>
      <w:lvlJc w:val="left"/>
      <w:pPr>
        <w:ind w:left="403" w:hanging="403"/>
      </w:pPr>
      <w:rPr>
        <w:rFonts w:hint="eastAsia"/>
      </w:rPr>
    </w:lvl>
  </w:abstractNum>
  <w:abstractNum w:abstractNumId="22">
    <w:nsid w:val="74C28B35"/>
    <w:multiLevelType w:val="singleLevel"/>
    <w:tmpl w:val="74C28B35"/>
    <w:lvl w:ilvl="0" w:tentative="0">
      <w:start w:val="0"/>
      <w:numFmt w:val="bullet"/>
      <w:lvlText w:val="•"/>
      <w:lvlJc w:val="left"/>
      <w:rPr>
        <w:color w:val="3370FF"/>
      </w:rPr>
    </w:lvl>
  </w:abstractNum>
  <w:num w:numId="1">
    <w:abstractNumId w:val="15"/>
  </w:num>
  <w:num w:numId="2">
    <w:abstractNumId w:val="9"/>
  </w:num>
  <w:num w:numId="3">
    <w:abstractNumId w:val="12"/>
  </w:num>
  <w:num w:numId="4">
    <w:abstractNumId w:val="5"/>
  </w:num>
  <w:num w:numId="5">
    <w:abstractNumId w:val="6"/>
  </w:num>
  <w:num w:numId="6">
    <w:abstractNumId w:val="11"/>
  </w:num>
  <w:num w:numId="7">
    <w:abstractNumId w:val="17"/>
  </w:num>
  <w:num w:numId="8">
    <w:abstractNumId w:val="20"/>
  </w:num>
  <w:num w:numId="9">
    <w:abstractNumId w:val="21"/>
  </w:num>
  <w:num w:numId="10">
    <w:abstractNumId w:val="3"/>
  </w:num>
  <w:num w:numId="11">
    <w:abstractNumId w:val="0"/>
  </w:num>
  <w:num w:numId="12">
    <w:abstractNumId w:val="18"/>
  </w:num>
  <w:num w:numId="13">
    <w:abstractNumId w:val="22"/>
  </w:num>
  <w:num w:numId="14">
    <w:abstractNumId w:val="16"/>
  </w:num>
  <w:num w:numId="15">
    <w:abstractNumId w:val="13"/>
  </w:num>
  <w:num w:numId="16">
    <w:abstractNumId w:val="19"/>
  </w:num>
  <w:num w:numId="17">
    <w:abstractNumId w:val="7"/>
  </w:num>
  <w:num w:numId="18">
    <w:abstractNumId w:val="2"/>
  </w:num>
  <w:num w:numId="19">
    <w:abstractNumId w:val="14"/>
  </w:num>
  <w:num w:numId="20">
    <w:abstractNumId w:val="4"/>
  </w:num>
  <w:num w:numId="21">
    <w:abstractNumId w:val="10"/>
  </w:num>
  <w:num w:numId="22">
    <w:abstractNumId w:val="1"/>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2YWRmZGU0MDUxMGY0NWQyMTNhNjJiOTc3NzFiMjIifQ=="/>
  </w:docVars>
  <w:rsids>
    <w:rsidRoot w:val="002A4FF6"/>
    <w:rsid w:val="000152B7"/>
    <w:rsid w:val="00020961"/>
    <w:rsid w:val="00025290"/>
    <w:rsid w:val="000358A1"/>
    <w:rsid w:val="00041F8B"/>
    <w:rsid w:val="00053A0F"/>
    <w:rsid w:val="00054498"/>
    <w:rsid w:val="00062CE2"/>
    <w:rsid w:val="000638CA"/>
    <w:rsid w:val="000653E2"/>
    <w:rsid w:val="00065D6F"/>
    <w:rsid w:val="0007303E"/>
    <w:rsid w:val="000738C0"/>
    <w:rsid w:val="000828E7"/>
    <w:rsid w:val="00092CB8"/>
    <w:rsid w:val="000B149F"/>
    <w:rsid w:val="000B7B60"/>
    <w:rsid w:val="000C273C"/>
    <w:rsid w:val="000C2ED2"/>
    <w:rsid w:val="000C3D48"/>
    <w:rsid w:val="000C41D5"/>
    <w:rsid w:val="000C7D47"/>
    <w:rsid w:val="000D0A24"/>
    <w:rsid w:val="000D4920"/>
    <w:rsid w:val="000F0109"/>
    <w:rsid w:val="000F4824"/>
    <w:rsid w:val="00103A85"/>
    <w:rsid w:val="00105EF7"/>
    <w:rsid w:val="00107B5B"/>
    <w:rsid w:val="00113A07"/>
    <w:rsid w:val="00123701"/>
    <w:rsid w:val="001244D5"/>
    <w:rsid w:val="0012556A"/>
    <w:rsid w:val="00142736"/>
    <w:rsid w:val="00142DBA"/>
    <w:rsid w:val="00152C1A"/>
    <w:rsid w:val="00154EA3"/>
    <w:rsid w:val="0015594F"/>
    <w:rsid w:val="00166F1C"/>
    <w:rsid w:val="001817BC"/>
    <w:rsid w:val="00192245"/>
    <w:rsid w:val="0019480E"/>
    <w:rsid w:val="00197E0A"/>
    <w:rsid w:val="001A07AD"/>
    <w:rsid w:val="001A4FA2"/>
    <w:rsid w:val="001A7AFF"/>
    <w:rsid w:val="001D7A9E"/>
    <w:rsid w:val="001F4DFA"/>
    <w:rsid w:val="00204B4C"/>
    <w:rsid w:val="00206166"/>
    <w:rsid w:val="002106E2"/>
    <w:rsid w:val="00221BE1"/>
    <w:rsid w:val="0022334D"/>
    <w:rsid w:val="00233637"/>
    <w:rsid w:val="002353D6"/>
    <w:rsid w:val="00236BCE"/>
    <w:rsid w:val="00245C89"/>
    <w:rsid w:val="00246EFC"/>
    <w:rsid w:val="00251816"/>
    <w:rsid w:val="00275A85"/>
    <w:rsid w:val="002844CF"/>
    <w:rsid w:val="00284C13"/>
    <w:rsid w:val="002868E5"/>
    <w:rsid w:val="002970C2"/>
    <w:rsid w:val="002A40E4"/>
    <w:rsid w:val="002A4FF6"/>
    <w:rsid w:val="002A659A"/>
    <w:rsid w:val="002B43FE"/>
    <w:rsid w:val="002C2500"/>
    <w:rsid w:val="002C3D10"/>
    <w:rsid w:val="002C755B"/>
    <w:rsid w:val="002D1967"/>
    <w:rsid w:val="002D68C9"/>
    <w:rsid w:val="002F63D1"/>
    <w:rsid w:val="00303F31"/>
    <w:rsid w:val="00330A82"/>
    <w:rsid w:val="00337D82"/>
    <w:rsid w:val="00354567"/>
    <w:rsid w:val="00354923"/>
    <w:rsid w:val="00360050"/>
    <w:rsid w:val="00372123"/>
    <w:rsid w:val="00386DBF"/>
    <w:rsid w:val="00390A39"/>
    <w:rsid w:val="00391341"/>
    <w:rsid w:val="00392A68"/>
    <w:rsid w:val="003A0081"/>
    <w:rsid w:val="003B1399"/>
    <w:rsid w:val="003B20AA"/>
    <w:rsid w:val="003B5F6C"/>
    <w:rsid w:val="003C4480"/>
    <w:rsid w:val="003C7E02"/>
    <w:rsid w:val="003D03B1"/>
    <w:rsid w:val="003D1DDE"/>
    <w:rsid w:val="003D3005"/>
    <w:rsid w:val="003D54C6"/>
    <w:rsid w:val="003D7E95"/>
    <w:rsid w:val="003E3E0B"/>
    <w:rsid w:val="003E41C5"/>
    <w:rsid w:val="003F5C29"/>
    <w:rsid w:val="00404D89"/>
    <w:rsid w:val="004076C0"/>
    <w:rsid w:val="004108C0"/>
    <w:rsid w:val="004150E0"/>
    <w:rsid w:val="0042177F"/>
    <w:rsid w:val="00433CBB"/>
    <w:rsid w:val="004452BF"/>
    <w:rsid w:val="00447677"/>
    <w:rsid w:val="00450BDD"/>
    <w:rsid w:val="00456A25"/>
    <w:rsid w:val="00460916"/>
    <w:rsid w:val="004615E2"/>
    <w:rsid w:val="004637F8"/>
    <w:rsid w:val="00466BEB"/>
    <w:rsid w:val="004905E7"/>
    <w:rsid w:val="00494AB7"/>
    <w:rsid w:val="004A53C3"/>
    <w:rsid w:val="004A6EAB"/>
    <w:rsid w:val="004B176B"/>
    <w:rsid w:val="004C75DE"/>
    <w:rsid w:val="004D2D20"/>
    <w:rsid w:val="004E2E56"/>
    <w:rsid w:val="00501A5F"/>
    <w:rsid w:val="00514BB9"/>
    <w:rsid w:val="00516557"/>
    <w:rsid w:val="00532850"/>
    <w:rsid w:val="005363A1"/>
    <w:rsid w:val="00552E0A"/>
    <w:rsid w:val="0055328D"/>
    <w:rsid w:val="00560C15"/>
    <w:rsid w:val="0056316E"/>
    <w:rsid w:val="00565765"/>
    <w:rsid w:val="0057212D"/>
    <w:rsid w:val="00596E73"/>
    <w:rsid w:val="005A05A3"/>
    <w:rsid w:val="005A6026"/>
    <w:rsid w:val="005B00E0"/>
    <w:rsid w:val="005B1BA6"/>
    <w:rsid w:val="005C018A"/>
    <w:rsid w:val="005D0B7C"/>
    <w:rsid w:val="005D0BE0"/>
    <w:rsid w:val="005F33B6"/>
    <w:rsid w:val="006045A6"/>
    <w:rsid w:val="006074C9"/>
    <w:rsid w:val="00613DCD"/>
    <w:rsid w:val="00614E6B"/>
    <w:rsid w:val="00622C92"/>
    <w:rsid w:val="00630CEB"/>
    <w:rsid w:val="00643022"/>
    <w:rsid w:val="00661E1F"/>
    <w:rsid w:val="00665E19"/>
    <w:rsid w:val="0067510E"/>
    <w:rsid w:val="006759DF"/>
    <w:rsid w:val="00682814"/>
    <w:rsid w:val="00691511"/>
    <w:rsid w:val="006B16DA"/>
    <w:rsid w:val="006B790E"/>
    <w:rsid w:val="006C0467"/>
    <w:rsid w:val="006C59D9"/>
    <w:rsid w:val="006D1BD5"/>
    <w:rsid w:val="006D4784"/>
    <w:rsid w:val="006D58CF"/>
    <w:rsid w:val="006D5AB8"/>
    <w:rsid w:val="006D5DC0"/>
    <w:rsid w:val="006E1BD2"/>
    <w:rsid w:val="006E250B"/>
    <w:rsid w:val="006E4920"/>
    <w:rsid w:val="006E4F6E"/>
    <w:rsid w:val="006F4EF1"/>
    <w:rsid w:val="007226D6"/>
    <w:rsid w:val="00726191"/>
    <w:rsid w:val="00732ADC"/>
    <w:rsid w:val="007367BF"/>
    <w:rsid w:val="00740527"/>
    <w:rsid w:val="00747BBA"/>
    <w:rsid w:val="007624E1"/>
    <w:rsid w:val="0076613A"/>
    <w:rsid w:val="007776C5"/>
    <w:rsid w:val="00783C17"/>
    <w:rsid w:val="00797294"/>
    <w:rsid w:val="007B1EEF"/>
    <w:rsid w:val="007B320F"/>
    <w:rsid w:val="007C4105"/>
    <w:rsid w:val="007D4630"/>
    <w:rsid w:val="007F07E6"/>
    <w:rsid w:val="00806BF0"/>
    <w:rsid w:val="00806E99"/>
    <w:rsid w:val="0080796C"/>
    <w:rsid w:val="0081142C"/>
    <w:rsid w:val="0081628B"/>
    <w:rsid w:val="00816B7C"/>
    <w:rsid w:val="008254C0"/>
    <w:rsid w:val="008271B7"/>
    <w:rsid w:val="00831395"/>
    <w:rsid w:val="00837541"/>
    <w:rsid w:val="00837C2E"/>
    <w:rsid w:val="008440B2"/>
    <w:rsid w:val="00844170"/>
    <w:rsid w:val="00864E71"/>
    <w:rsid w:val="00864F23"/>
    <w:rsid w:val="00865382"/>
    <w:rsid w:val="00866C88"/>
    <w:rsid w:val="00871E16"/>
    <w:rsid w:val="008744FC"/>
    <w:rsid w:val="0087635E"/>
    <w:rsid w:val="00882C90"/>
    <w:rsid w:val="00884824"/>
    <w:rsid w:val="00892FEE"/>
    <w:rsid w:val="008A5176"/>
    <w:rsid w:val="008A6843"/>
    <w:rsid w:val="008B4D2B"/>
    <w:rsid w:val="008C563D"/>
    <w:rsid w:val="008C57AA"/>
    <w:rsid w:val="008C61D2"/>
    <w:rsid w:val="008D54C4"/>
    <w:rsid w:val="008E6E79"/>
    <w:rsid w:val="008E7A1E"/>
    <w:rsid w:val="00902EB0"/>
    <w:rsid w:val="00911E88"/>
    <w:rsid w:val="009126BD"/>
    <w:rsid w:val="00916A88"/>
    <w:rsid w:val="009253ED"/>
    <w:rsid w:val="009526AE"/>
    <w:rsid w:val="00962A6D"/>
    <w:rsid w:val="009674E1"/>
    <w:rsid w:val="00985213"/>
    <w:rsid w:val="009B2AB2"/>
    <w:rsid w:val="009B5148"/>
    <w:rsid w:val="009F371F"/>
    <w:rsid w:val="009F781C"/>
    <w:rsid w:val="00A11586"/>
    <w:rsid w:val="00A12AC3"/>
    <w:rsid w:val="00A31A82"/>
    <w:rsid w:val="00A362C3"/>
    <w:rsid w:val="00A43939"/>
    <w:rsid w:val="00A4410D"/>
    <w:rsid w:val="00A441CB"/>
    <w:rsid w:val="00A4678F"/>
    <w:rsid w:val="00A46B74"/>
    <w:rsid w:val="00A57FA6"/>
    <w:rsid w:val="00A61D87"/>
    <w:rsid w:val="00A730E9"/>
    <w:rsid w:val="00A7496B"/>
    <w:rsid w:val="00A867AC"/>
    <w:rsid w:val="00AA0E68"/>
    <w:rsid w:val="00AA4F48"/>
    <w:rsid w:val="00AB046F"/>
    <w:rsid w:val="00AC2651"/>
    <w:rsid w:val="00AC627F"/>
    <w:rsid w:val="00AD192A"/>
    <w:rsid w:val="00AD53E9"/>
    <w:rsid w:val="00AD5803"/>
    <w:rsid w:val="00AD733B"/>
    <w:rsid w:val="00AE4EB5"/>
    <w:rsid w:val="00AF46E1"/>
    <w:rsid w:val="00B121A2"/>
    <w:rsid w:val="00B154F5"/>
    <w:rsid w:val="00B20D66"/>
    <w:rsid w:val="00B21950"/>
    <w:rsid w:val="00B328EF"/>
    <w:rsid w:val="00B33FDA"/>
    <w:rsid w:val="00B3512D"/>
    <w:rsid w:val="00B400F5"/>
    <w:rsid w:val="00B4685A"/>
    <w:rsid w:val="00B50C50"/>
    <w:rsid w:val="00B5484C"/>
    <w:rsid w:val="00B57086"/>
    <w:rsid w:val="00B7154F"/>
    <w:rsid w:val="00B725AD"/>
    <w:rsid w:val="00B74040"/>
    <w:rsid w:val="00B754D5"/>
    <w:rsid w:val="00B82BC6"/>
    <w:rsid w:val="00B9262E"/>
    <w:rsid w:val="00B932D7"/>
    <w:rsid w:val="00BA425D"/>
    <w:rsid w:val="00BA4B00"/>
    <w:rsid w:val="00BA6532"/>
    <w:rsid w:val="00BA6F50"/>
    <w:rsid w:val="00BB047B"/>
    <w:rsid w:val="00BB1E5C"/>
    <w:rsid w:val="00BB341B"/>
    <w:rsid w:val="00BB5D0E"/>
    <w:rsid w:val="00BC4FBF"/>
    <w:rsid w:val="00BD40CF"/>
    <w:rsid w:val="00BE7A1E"/>
    <w:rsid w:val="00BF527E"/>
    <w:rsid w:val="00C146F0"/>
    <w:rsid w:val="00C21191"/>
    <w:rsid w:val="00C22F16"/>
    <w:rsid w:val="00C2564E"/>
    <w:rsid w:val="00C25E02"/>
    <w:rsid w:val="00C50E24"/>
    <w:rsid w:val="00C515A9"/>
    <w:rsid w:val="00C53B66"/>
    <w:rsid w:val="00C60A7F"/>
    <w:rsid w:val="00C75D1D"/>
    <w:rsid w:val="00C83E84"/>
    <w:rsid w:val="00C90972"/>
    <w:rsid w:val="00CA7C3F"/>
    <w:rsid w:val="00CB239F"/>
    <w:rsid w:val="00CD2B1E"/>
    <w:rsid w:val="00CE14D3"/>
    <w:rsid w:val="00CE1B5F"/>
    <w:rsid w:val="00CF6511"/>
    <w:rsid w:val="00D13FBC"/>
    <w:rsid w:val="00D1554B"/>
    <w:rsid w:val="00D200F8"/>
    <w:rsid w:val="00D2464E"/>
    <w:rsid w:val="00D31369"/>
    <w:rsid w:val="00D5105A"/>
    <w:rsid w:val="00D74567"/>
    <w:rsid w:val="00D9058B"/>
    <w:rsid w:val="00D92E4A"/>
    <w:rsid w:val="00D92F31"/>
    <w:rsid w:val="00DA4187"/>
    <w:rsid w:val="00DA530F"/>
    <w:rsid w:val="00DB1C66"/>
    <w:rsid w:val="00DC215C"/>
    <w:rsid w:val="00DC5983"/>
    <w:rsid w:val="00DE019F"/>
    <w:rsid w:val="00DF3698"/>
    <w:rsid w:val="00DF4F05"/>
    <w:rsid w:val="00E01F32"/>
    <w:rsid w:val="00E23593"/>
    <w:rsid w:val="00E33D5C"/>
    <w:rsid w:val="00E35647"/>
    <w:rsid w:val="00E37BBC"/>
    <w:rsid w:val="00E43142"/>
    <w:rsid w:val="00E509AE"/>
    <w:rsid w:val="00E77499"/>
    <w:rsid w:val="00E777FA"/>
    <w:rsid w:val="00EA1271"/>
    <w:rsid w:val="00EA38DC"/>
    <w:rsid w:val="00EC2F60"/>
    <w:rsid w:val="00EC63CE"/>
    <w:rsid w:val="00ED1FEF"/>
    <w:rsid w:val="00ED606C"/>
    <w:rsid w:val="00ED73C4"/>
    <w:rsid w:val="00EE10CF"/>
    <w:rsid w:val="00EE648F"/>
    <w:rsid w:val="00EF2972"/>
    <w:rsid w:val="00EF53A2"/>
    <w:rsid w:val="00F01F30"/>
    <w:rsid w:val="00F07385"/>
    <w:rsid w:val="00F16A62"/>
    <w:rsid w:val="00F35111"/>
    <w:rsid w:val="00F50FEE"/>
    <w:rsid w:val="00F52E50"/>
    <w:rsid w:val="00F86AF5"/>
    <w:rsid w:val="00F877AA"/>
    <w:rsid w:val="00F87D73"/>
    <w:rsid w:val="00F9157A"/>
    <w:rsid w:val="00F93DB3"/>
    <w:rsid w:val="00FA0FD4"/>
    <w:rsid w:val="00FA4535"/>
    <w:rsid w:val="00FB605E"/>
    <w:rsid w:val="00FB70D4"/>
    <w:rsid w:val="00FC19F3"/>
    <w:rsid w:val="00FE6646"/>
    <w:rsid w:val="00FF6015"/>
    <w:rsid w:val="03F00D0C"/>
    <w:rsid w:val="040B2007"/>
    <w:rsid w:val="078F59E9"/>
    <w:rsid w:val="08C8368E"/>
    <w:rsid w:val="08D35DAA"/>
    <w:rsid w:val="08DF4E29"/>
    <w:rsid w:val="08F024B8"/>
    <w:rsid w:val="09DF24CE"/>
    <w:rsid w:val="0A642BEA"/>
    <w:rsid w:val="0AEC6126"/>
    <w:rsid w:val="0C6D741D"/>
    <w:rsid w:val="0CE75980"/>
    <w:rsid w:val="0D656F20"/>
    <w:rsid w:val="0F7D25CB"/>
    <w:rsid w:val="10FD40A8"/>
    <w:rsid w:val="11833D40"/>
    <w:rsid w:val="11E9219A"/>
    <w:rsid w:val="12071BEC"/>
    <w:rsid w:val="130240F6"/>
    <w:rsid w:val="13136DE1"/>
    <w:rsid w:val="13C407C9"/>
    <w:rsid w:val="13C47336"/>
    <w:rsid w:val="13D7532F"/>
    <w:rsid w:val="148D543A"/>
    <w:rsid w:val="15363948"/>
    <w:rsid w:val="15BF71BA"/>
    <w:rsid w:val="15D10BED"/>
    <w:rsid w:val="16D52DDC"/>
    <w:rsid w:val="16E728E3"/>
    <w:rsid w:val="1772678E"/>
    <w:rsid w:val="18B84674"/>
    <w:rsid w:val="19CF6119"/>
    <w:rsid w:val="1B3A3A66"/>
    <w:rsid w:val="1B4B7A22"/>
    <w:rsid w:val="1B847818"/>
    <w:rsid w:val="1BC265CA"/>
    <w:rsid w:val="1BD619E1"/>
    <w:rsid w:val="1BE048E6"/>
    <w:rsid w:val="1DD407FD"/>
    <w:rsid w:val="1E2527AC"/>
    <w:rsid w:val="1E3C5063"/>
    <w:rsid w:val="1E9B481C"/>
    <w:rsid w:val="1F5A6485"/>
    <w:rsid w:val="1F9065D5"/>
    <w:rsid w:val="203E7B55"/>
    <w:rsid w:val="21C30312"/>
    <w:rsid w:val="21CB3390"/>
    <w:rsid w:val="22322BA7"/>
    <w:rsid w:val="22631AF5"/>
    <w:rsid w:val="22965A26"/>
    <w:rsid w:val="22D327D6"/>
    <w:rsid w:val="22F37752"/>
    <w:rsid w:val="23DC390D"/>
    <w:rsid w:val="23F8626D"/>
    <w:rsid w:val="248E78F4"/>
    <w:rsid w:val="271D4D8D"/>
    <w:rsid w:val="27DD7C53"/>
    <w:rsid w:val="28460BAF"/>
    <w:rsid w:val="28546167"/>
    <w:rsid w:val="29622B06"/>
    <w:rsid w:val="297023C7"/>
    <w:rsid w:val="29D53172"/>
    <w:rsid w:val="2AC11AAE"/>
    <w:rsid w:val="2B1664F9"/>
    <w:rsid w:val="2BAC62BA"/>
    <w:rsid w:val="2C7007AA"/>
    <w:rsid w:val="2C972AC7"/>
    <w:rsid w:val="2CE774CF"/>
    <w:rsid w:val="2DB60590"/>
    <w:rsid w:val="2E025309"/>
    <w:rsid w:val="2F6418B4"/>
    <w:rsid w:val="304A60A2"/>
    <w:rsid w:val="30FA7C5C"/>
    <w:rsid w:val="31264419"/>
    <w:rsid w:val="3202637A"/>
    <w:rsid w:val="327F0285"/>
    <w:rsid w:val="32F50D55"/>
    <w:rsid w:val="33526CB7"/>
    <w:rsid w:val="34995CC0"/>
    <w:rsid w:val="34C03005"/>
    <w:rsid w:val="371B2546"/>
    <w:rsid w:val="37335AE2"/>
    <w:rsid w:val="37F66A3F"/>
    <w:rsid w:val="37FF5B9A"/>
    <w:rsid w:val="38404C6C"/>
    <w:rsid w:val="39EB4452"/>
    <w:rsid w:val="3A2B26BC"/>
    <w:rsid w:val="3B1D3EE2"/>
    <w:rsid w:val="3B2F6B56"/>
    <w:rsid w:val="3B333C93"/>
    <w:rsid w:val="3C3C0F95"/>
    <w:rsid w:val="3C8F5568"/>
    <w:rsid w:val="3E0E070F"/>
    <w:rsid w:val="3FABF47D"/>
    <w:rsid w:val="40341C59"/>
    <w:rsid w:val="40A37834"/>
    <w:rsid w:val="440A5A42"/>
    <w:rsid w:val="45617CBE"/>
    <w:rsid w:val="45F572A7"/>
    <w:rsid w:val="468B4EFB"/>
    <w:rsid w:val="46DE1CC8"/>
    <w:rsid w:val="486C7D2B"/>
    <w:rsid w:val="49E82EDC"/>
    <w:rsid w:val="4AA17AA8"/>
    <w:rsid w:val="4BF058F8"/>
    <w:rsid w:val="4E661EA1"/>
    <w:rsid w:val="4EC63239"/>
    <w:rsid w:val="4F93316A"/>
    <w:rsid w:val="5025577E"/>
    <w:rsid w:val="524B7D2C"/>
    <w:rsid w:val="53F561A1"/>
    <w:rsid w:val="547B7EB8"/>
    <w:rsid w:val="5587107B"/>
    <w:rsid w:val="57334658"/>
    <w:rsid w:val="58353DA9"/>
    <w:rsid w:val="58380DB4"/>
    <w:rsid w:val="5A2C704D"/>
    <w:rsid w:val="5B853F3A"/>
    <w:rsid w:val="5E1D557A"/>
    <w:rsid w:val="5E7459BA"/>
    <w:rsid w:val="5FDA51FC"/>
    <w:rsid w:val="60220673"/>
    <w:rsid w:val="60BB3DCE"/>
    <w:rsid w:val="61471ACE"/>
    <w:rsid w:val="61CB5E33"/>
    <w:rsid w:val="61D23066"/>
    <w:rsid w:val="63E50971"/>
    <w:rsid w:val="64151D68"/>
    <w:rsid w:val="64674E53"/>
    <w:rsid w:val="64D2120E"/>
    <w:rsid w:val="64FE564E"/>
    <w:rsid w:val="65060BC9"/>
    <w:rsid w:val="65366866"/>
    <w:rsid w:val="6537132A"/>
    <w:rsid w:val="662B2439"/>
    <w:rsid w:val="66362A41"/>
    <w:rsid w:val="66611474"/>
    <w:rsid w:val="667A5687"/>
    <w:rsid w:val="66A046FC"/>
    <w:rsid w:val="68ED5241"/>
    <w:rsid w:val="698C6134"/>
    <w:rsid w:val="6DB427D1"/>
    <w:rsid w:val="6E984079"/>
    <w:rsid w:val="6F991C7F"/>
    <w:rsid w:val="705067E1"/>
    <w:rsid w:val="71063C40"/>
    <w:rsid w:val="714828E4"/>
    <w:rsid w:val="73AB3498"/>
    <w:rsid w:val="76684159"/>
    <w:rsid w:val="770F2826"/>
    <w:rsid w:val="786F7A21"/>
    <w:rsid w:val="78716905"/>
    <w:rsid w:val="799D7596"/>
    <w:rsid w:val="7C637ED5"/>
    <w:rsid w:val="7CC12815"/>
    <w:rsid w:val="7D2D0A25"/>
    <w:rsid w:val="7D6A023C"/>
    <w:rsid w:val="7DFFAD29"/>
    <w:rsid w:val="7E3E236F"/>
    <w:rsid w:val="F44754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qFormat="1" w:unhideWhenUsed="0" w:uiPriority="0" w:semiHidden="0" w:name="Signature"/>
    <w:lsdException w:qFormat="1" w:unhideWhenUsed="0" w:uiPriority="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ind w:firstLine="420" w:firstLineChars="200"/>
      <w:jc w:val="both"/>
    </w:pPr>
    <w:rPr>
      <w:rFonts w:eastAsia="宋体" w:asciiTheme="minorAscii" w:hAnsiTheme="minorAscii" w:cstheme="minorBidi"/>
      <w:snapToGrid/>
      <w:kern w:val="2"/>
      <w:sz w:val="21"/>
      <w:szCs w:val="24"/>
      <w:lang w:val="en-US" w:eastAsia="zh-CN" w:bidi="ar-SA"/>
    </w:rPr>
  </w:style>
  <w:style w:type="paragraph" w:styleId="2">
    <w:name w:val="heading 1"/>
    <w:next w:val="1"/>
    <w:link w:val="47"/>
    <w:qFormat/>
    <w:uiPriority w:val="9"/>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微软雅黑" w:hAnsi="微软雅黑" w:eastAsia="宋体" w:cstheme="minorBidi"/>
      <w:b/>
      <w:bCs/>
      <w:kern w:val="44"/>
      <w:sz w:val="32"/>
      <w:szCs w:val="36"/>
    </w:rPr>
  </w:style>
  <w:style w:type="paragraph" w:styleId="3">
    <w:name w:val="heading 2"/>
    <w:next w:val="1"/>
    <w:link w:val="48"/>
    <w:unhideWhenUsed/>
    <w:qFormat/>
    <w:uiPriority w:val="9"/>
    <w:pPr>
      <w:numPr>
        <w:ilvl w:val="1"/>
        <w:numId w:val="1"/>
      </w:numPr>
      <w:tabs>
        <w:tab w:val="left" w:pos="0"/>
      </w:tabs>
      <w:adjustRightInd w:val="0"/>
      <w:snapToGrid w:val="0"/>
      <w:spacing w:before="50" w:beforeLines="50" w:after="20" w:afterLines="20" w:line="288" w:lineRule="auto"/>
      <w:ind w:left="0" w:firstLine="0"/>
      <w:outlineLvl w:val="1"/>
    </w:pPr>
    <w:rPr>
      <w:rFonts w:ascii="微软雅黑" w:hAnsi="微软雅黑" w:eastAsia="宋体" w:cstheme="minorBidi"/>
      <w:b/>
      <w:bCs/>
      <w:kern w:val="2"/>
      <w:sz w:val="30"/>
      <w:szCs w:val="32"/>
    </w:rPr>
  </w:style>
  <w:style w:type="paragraph" w:styleId="4">
    <w:name w:val="heading 3"/>
    <w:next w:val="1"/>
    <w:link w:val="52"/>
    <w:unhideWhenUsed/>
    <w:qFormat/>
    <w:uiPriority w:val="9"/>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微软雅黑" w:hAnsi="微软雅黑" w:eastAsia="宋体" w:cstheme="minorBidi"/>
      <w:b/>
      <w:kern w:val="2"/>
      <w:sz w:val="28"/>
      <w:szCs w:val="30"/>
    </w:rPr>
  </w:style>
  <w:style w:type="paragraph" w:styleId="5">
    <w:name w:val="heading 4"/>
    <w:next w:val="1"/>
    <w:link w:val="46"/>
    <w:unhideWhenUsed/>
    <w:qFormat/>
    <w:uiPriority w:val="9"/>
    <w:pPr>
      <w:numPr>
        <w:ilvl w:val="3"/>
        <w:numId w:val="1"/>
      </w:numPr>
      <w:tabs>
        <w:tab w:val="left" w:pos="0"/>
      </w:tabs>
      <w:adjustRightInd w:val="0"/>
      <w:snapToGrid w:val="0"/>
      <w:spacing w:before="50" w:beforeLines="50" w:after="20" w:afterLines="20" w:line="288" w:lineRule="auto"/>
      <w:ind w:left="0" w:firstLine="0"/>
      <w:outlineLvl w:val="3"/>
    </w:pPr>
    <w:rPr>
      <w:rFonts w:ascii="微软雅黑" w:hAnsi="微软雅黑" w:eastAsia="宋体" w:cstheme="minorBidi"/>
      <w:b/>
      <w:bCs/>
      <w:sz w:val="28"/>
      <w:szCs w:val="28"/>
    </w:rPr>
  </w:style>
  <w:style w:type="paragraph" w:styleId="6">
    <w:name w:val="heading 5"/>
    <w:basedOn w:val="1"/>
    <w:next w:val="7"/>
    <w:link w:val="96"/>
    <w:unhideWhenUsed/>
    <w:qFormat/>
    <w:uiPriority w:val="9"/>
    <w:pPr>
      <w:numPr>
        <w:ilvl w:val="4"/>
        <w:numId w:val="1"/>
      </w:numPr>
      <w:tabs>
        <w:tab w:val="left" w:pos="312"/>
      </w:tabs>
      <w:spacing w:before="50" w:beforeLines="50" w:after="20" w:afterLines="20"/>
      <w:ind w:left="0" w:firstLine="0"/>
      <w:jc w:val="left"/>
      <w:outlineLvl w:val="4"/>
    </w:pPr>
    <w:rPr>
      <w:rFonts w:ascii="Arial" w:hAnsi="Arial"/>
      <w:b/>
      <w:sz w:val="28"/>
      <w:szCs w:val="22"/>
    </w:rPr>
  </w:style>
  <w:style w:type="paragraph" w:styleId="8">
    <w:name w:val="heading 6"/>
    <w:basedOn w:val="1"/>
    <w:next w:val="7"/>
    <w:unhideWhenUsed/>
    <w:qFormat/>
    <w:uiPriority w:val="0"/>
    <w:pPr>
      <w:numPr>
        <w:ilvl w:val="5"/>
        <w:numId w:val="1"/>
      </w:numPr>
      <w:tabs>
        <w:tab w:val="left" w:pos="0"/>
      </w:tabs>
      <w:spacing w:before="50" w:beforeLines="50" w:after="20" w:afterLines="20" w:line="288" w:lineRule="auto"/>
      <w:ind w:left="0" w:firstLine="0"/>
      <w:outlineLvl w:val="5"/>
    </w:pPr>
    <w:rPr>
      <w:rFonts w:ascii="微软雅黑" w:hAnsi="微软雅黑"/>
      <w:b/>
      <w:bCs/>
      <w:sz w:val="24"/>
    </w:rPr>
  </w:style>
  <w:style w:type="paragraph" w:styleId="9">
    <w:name w:val="heading 7"/>
    <w:basedOn w:val="1"/>
    <w:next w:val="7"/>
    <w:unhideWhenUsed/>
    <w:qFormat/>
    <w:uiPriority w:val="0"/>
    <w:pPr>
      <w:numPr>
        <w:ilvl w:val="6"/>
        <w:numId w:val="1"/>
      </w:numPr>
      <w:spacing w:before="50" w:beforeLines="50" w:after="20" w:afterLines="20" w:line="288" w:lineRule="auto"/>
      <w:ind w:left="0" w:firstLine="0"/>
      <w:jc w:val="left"/>
      <w:outlineLvl w:val="6"/>
    </w:pPr>
    <w:rPr>
      <w:rFonts w:ascii="微软雅黑" w:hAnsi="微软雅黑"/>
      <w:b/>
      <w:bCs/>
      <w:sz w:val="24"/>
    </w:rPr>
  </w:style>
  <w:style w:type="paragraph" w:styleId="10">
    <w:name w:val="heading 8"/>
    <w:basedOn w:val="1"/>
    <w:next w:val="7"/>
    <w:unhideWhenUsed/>
    <w:qFormat/>
    <w:uiPriority w:val="0"/>
    <w:pPr>
      <w:numPr>
        <w:ilvl w:val="7"/>
        <w:numId w:val="1"/>
      </w:numPr>
      <w:tabs>
        <w:tab w:val="left" w:pos="0"/>
      </w:tabs>
      <w:spacing w:before="50" w:beforeLines="50" w:after="20" w:afterLines="20" w:line="288" w:lineRule="auto"/>
      <w:ind w:left="0" w:firstLine="0"/>
      <w:outlineLvl w:val="7"/>
    </w:pPr>
    <w:rPr>
      <w:rFonts w:ascii="微软雅黑" w:hAnsi="微软雅黑" w:cstheme="majorBidi"/>
      <w:b/>
      <w:bCs/>
      <w:sz w:val="24"/>
    </w:rPr>
  </w:style>
  <w:style w:type="paragraph" w:styleId="11">
    <w:name w:val="heading 9"/>
    <w:basedOn w:val="1"/>
    <w:next w:val="7"/>
    <w:unhideWhenUsed/>
    <w:qFormat/>
    <w:uiPriority w:val="0"/>
    <w:pPr>
      <w:numPr>
        <w:ilvl w:val="8"/>
        <w:numId w:val="1"/>
      </w:numPr>
      <w:spacing w:before="50" w:beforeLines="50" w:after="20" w:afterLines="20" w:line="288" w:lineRule="auto"/>
      <w:ind w:left="0" w:firstLine="0"/>
      <w:outlineLvl w:val="8"/>
    </w:pPr>
    <w:rPr>
      <w:rFonts w:ascii="微软雅黑" w:hAnsi="微软雅黑" w:cstheme="majorBidi"/>
      <w:b/>
      <w:bCs/>
      <w:sz w:val="24"/>
      <w:szCs w:val="24"/>
    </w:rPr>
  </w:style>
  <w:style w:type="character" w:default="1" w:styleId="37">
    <w:name w:val="Default Paragraph Font"/>
    <w:semiHidden/>
    <w:qFormat/>
    <w:uiPriority w:val="0"/>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0"/>
    <w:pPr>
      <w:spacing w:after="20" w:afterLines="20" w:afterAutospacing="0" w:line="288" w:lineRule="auto"/>
      <w:ind w:firstLine="0" w:firstLineChars="0"/>
    </w:pPr>
    <w:rPr>
      <w:rFonts w:ascii="微软雅黑" w:hAnsi="微软雅黑"/>
      <w:szCs w:val="21"/>
    </w:rPr>
  </w:style>
  <w:style w:type="paragraph" w:styleId="12">
    <w:name w:val="toc 7"/>
    <w:basedOn w:val="1"/>
    <w:next w:val="1"/>
    <w:unhideWhenUsed/>
    <w:qFormat/>
    <w:uiPriority w:val="39"/>
    <w:pPr>
      <w:ind w:left="1200"/>
      <w:jc w:val="left"/>
    </w:pPr>
    <w:rPr>
      <w:rFonts w:asciiTheme="minorHAnsi" w:eastAsiaTheme="minorHAnsi"/>
      <w:sz w:val="18"/>
      <w:szCs w:val="18"/>
    </w:rPr>
  </w:style>
  <w:style w:type="paragraph" w:styleId="13">
    <w:name w:val="caption"/>
    <w:basedOn w:val="1"/>
    <w:next w:val="1"/>
    <w:unhideWhenUsed/>
    <w:qFormat/>
    <w:uiPriority w:val="0"/>
    <w:pPr>
      <w:ind w:firstLine="0" w:firstLineChars="0"/>
    </w:pPr>
    <w:rPr>
      <w:rFonts w:ascii="微软雅黑" w:hAnsi="微软雅黑" w:cs="Times New Roman"/>
      <w:sz w:val="20"/>
      <w:szCs w:val="20"/>
    </w:rPr>
  </w:style>
  <w:style w:type="paragraph" w:styleId="14">
    <w:name w:val="annotation text"/>
    <w:basedOn w:val="1"/>
    <w:link w:val="94"/>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5">
    <w:name w:val="Salutation"/>
    <w:basedOn w:val="1"/>
    <w:next w:val="1"/>
    <w:qFormat/>
    <w:uiPriority w:val="0"/>
    <w:pPr>
      <w:ind w:firstLine="0" w:firstLineChars="0"/>
    </w:pPr>
    <w:rPr>
      <w:rFonts w:ascii="微软雅黑" w:hAnsi="微软雅黑"/>
      <w:szCs w:val="21"/>
    </w:rPr>
  </w:style>
  <w:style w:type="paragraph" w:styleId="16">
    <w:name w:val="toc 5"/>
    <w:basedOn w:val="1"/>
    <w:next w:val="1"/>
    <w:unhideWhenUsed/>
    <w:qFormat/>
    <w:uiPriority w:val="39"/>
    <w:pPr>
      <w:ind w:left="800"/>
      <w:jc w:val="left"/>
    </w:pPr>
    <w:rPr>
      <w:rFonts w:asciiTheme="minorHAnsi" w:eastAsiaTheme="minorHAnsi"/>
      <w:sz w:val="18"/>
      <w:szCs w:val="18"/>
    </w:rPr>
  </w:style>
  <w:style w:type="paragraph" w:styleId="17">
    <w:name w:val="toc 3"/>
    <w:basedOn w:val="1"/>
    <w:next w:val="1"/>
    <w:link w:val="91"/>
    <w:unhideWhenUsed/>
    <w:qFormat/>
    <w:uiPriority w:val="39"/>
    <w:pPr>
      <w:tabs>
        <w:tab w:val="right" w:leader="dot" w:pos="8494"/>
      </w:tabs>
      <w:adjustRightInd w:val="0"/>
      <w:snapToGrid w:val="0"/>
      <w:spacing w:before="156" w:beforeLines="50" w:after="156" w:afterLines="50" w:line="240" w:lineRule="auto"/>
      <w:ind w:left="800" w:leftChars="400"/>
      <w:jc w:val="left"/>
    </w:pPr>
    <w:rPr>
      <w:rFonts w:ascii="黑体" w:hAnsi="黑体" w:eastAsia="黑体"/>
      <w:iCs/>
      <w:sz w:val="28"/>
      <w:szCs w:val="28"/>
    </w:rPr>
  </w:style>
  <w:style w:type="paragraph" w:styleId="18">
    <w:name w:val="toc 8"/>
    <w:basedOn w:val="1"/>
    <w:next w:val="1"/>
    <w:unhideWhenUsed/>
    <w:qFormat/>
    <w:uiPriority w:val="39"/>
    <w:pPr>
      <w:ind w:left="1400"/>
      <w:jc w:val="left"/>
    </w:pPr>
    <w:rPr>
      <w:rFonts w:asciiTheme="minorHAnsi" w:eastAsiaTheme="minorHAnsi"/>
      <w:sz w:val="18"/>
      <w:szCs w:val="18"/>
    </w:rPr>
  </w:style>
  <w:style w:type="paragraph" w:styleId="19">
    <w:name w:val="Date"/>
    <w:basedOn w:val="1"/>
    <w:next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20">
    <w:name w:val="endnote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21">
    <w:name w:val="Balloon Text"/>
    <w:basedOn w:val="1"/>
    <w:link w:val="93"/>
    <w:qFormat/>
    <w:uiPriority w:val="0"/>
    <w:rPr>
      <w:rFonts w:ascii="微软雅黑" w:hAnsi="微软雅黑"/>
      <w:sz w:val="18"/>
      <w:szCs w:val="18"/>
    </w:rPr>
  </w:style>
  <w:style w:type="paragraph" w:styleId="22">
    <w:name w:val="footer"/>
    <w:basedOn w:val="1"/>
    <w:link w:val="88"/>
    <w:qFormat/>
    <w:uiPriority w:val="0"/>
    <w:pPr>
      <w:tabs>
        <w:tab w:val="center" w:pos="4153"/>
        <w:tab w:val="right" w:pos="8306"/>
      </w:tabs>
      <w:ind w:firstLine="0" w:firstLineChars="0"/>
      <w:jc w:val="left"/>
    </w:pPr>
    <w:rPr>
      <w:rFonts w:ascii="微软雅黑" w:hAnsi="微软雅黑"/>
      <w:sz w:val="18"/>
      <w:szCs w:val="18"/>
    </w:rPr>
  </w:style>
  <w:style w:type="paragraph" w:styleId="23">
    <w:name w:val="header"/>
    <w:basedOn w:val="1"/>
    <w:link w:val="56"/>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rFonts w:ascii="微软雅黑" w:hAnsi="微软雅黑"/>
      <w:sz w:val="18"/>
      <w:szCs w:val="18"/>
    </w:rPr>
  </w:style>
  <w:style w:type="paragraph" w:styleId="24">
    <w:name w:val="Signature"/>
    <w:basedOn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25">
    <w:name w:val="toc 1"/>
    <w:basedOn w:val="1"/>
    <w:next w:val="1"/>
    <w:link w:val="89"/>
    <w:unhideWhenUsed/>
    <w:qFormat/>
    <w:uiPriority w:val="39"/>
    <w:pPr>
      <w:tabs>
        <w:tab w:val="left" w:pos="400"/>
        <w:tab w:val="right" w:leader="dot" w:pos="8494"/>
      </w:tabs>
      <w:adjustRightInd w:val="0"/>
      <w:snapToGrid w:val="0"/>
      <w:spacing w:before="312" w:beforeLines="100" w:after="312" w:afterLines="100" w:line="240" w:lineRule="auto"/>
      <w:jc w:val="left"/>
    </w:pPr>
    <w:rPr>
      <w:rFonts w:ascii="黑体" w:hAnsi="黑体" w:eastAsia="黑体"/>
      <w:bCs/>
      <w:caps/>
      <w:sz w:val="32"/>
      <w:szCs w:val="32"/>
    </w:rPr>
  </w:style>
  <w:style w:type="paragraph" w:styleId="26">
    <w:name w:val="toc 4"/>
    <w:basedOn w:val="1"/>
    <w:next w:val="1"/>
    <w:unhideWhenUsed/>
    <w:qFormat/>
    <w:uiPriority w:val="39"/>
    <w:pPr>
      <w:ind w:left="600"/>
      <w:jc w:val="left"/>
    </w:pPr>
    <w:rPr>
      <w:rFonts w:asciiTheme="minorHAnsi" w:eastAsiaTheme="minorHAnsi"/>
      <w:sz w:val="18"/>
      <w:szCs w:val="18"/>
    </w:rPr>
  </w:style>
  <w:style w:type="paragraph" w:styleId="27">
    <w:name w:val="Subtitle"/>
    <w:basedOn w:val="1"/>
    <w:next w:val="7"/>
    <w:qFormat/>
    <w:uiPriority w:val="0"/>
    <w:pPr>
      <w:spacing w:beforeLines="0" w:beforeAutospacing="0" w:after="100" w:afterLines="100" w:afterAutospacing="0" w:line="240" w:lineRule="auto"/>
      <w:jc w:val="center"/>
      <w:outlineLvl w:val="9"/>
    </w:pPr>
    <w:rPr>
      <w:rFonts w:ascii="微软雅黑" w:hAnsi="微软雅黑"/>
      <w:b/>
      <w:bCs/>
      <w:kern w:val="28"/>
      <w:sz w:val="36"/>
      <w:szCs w:val="36"/>
    </w:rPr>
  </w:style>
  <w:style w:type="paragraph" w:styleId="28">
    <w:name w:val="footnote text"/>
    <w:basedOn w:val="1"/>
    <w:qFormat/>
    <w:uiPriority w:val="0"/>
    <w:pPr>
      <w:jc w:val="left"/>
    </w:pPr>
    <w:rPr>
      <w:rFonts w:ascii="微软雅黑" w:hAnsi="微软雅黑" w:eastAsia="微软雅黑"/>
      <w:sz w:val="24"/>
    </w:rPr>
  </w:style>
  <w:style w:type="paragraph" w:styleId="29">
    <w:name w:val="toc 6"/>
    <w:basedOn w:val="1"/>
    <w:next w:val="1"/>
    <w:unhideWhenUsed/>
    <w:qFormat/>
    <w:uiPriority w:val="39"/>
    <w:pPr>
      <w:ind w:left="1000"/>
      <w:jc w:val="left"/>
    </w:pPr>
    <w:rPr>
      <w:rFonts w:asciiTheme="minorHAnsi" w:eastAsiaTheme="minorHAnsi"/>
      <w:sz w:val="18"/>
      <w:szCs w:val="18"/>
    </w:rPr>
  </w:style>
  <w:style w:type="paragraph" w:styleId="30">
    <w:name w:val="toc 2"/>
    <w:basedOn w:val="1"/>
    <w:next w:val="1"/>
    <w:link w:val="90"/>
    <w:unhideWhenUsed/>
    <w:qFormat/>
    <w:uiPriority w:val="39"/>
    <w:pPr>
      <w:tabs>
        <w:tab w:val="right" w:leader="dot" w:pos="8494"/>
      </w:tabs>
      <w:adjustRightInd w:val="0"/>
      <w:snapToGrid w:val="0"/>
      <w:spacing w:before="156" w:beforeLines="50" w:after="156" w:afterLines="50" w:line="240" w:lineRule="auto"/>
      <w:ind w:left="400" w:leftChars="200"/>
    </w:pPr>
    <w:rPr>
      <w:rFonts w:ascii="黑体" w:hAnsi="黑体" w:eastAsia="黑体"/>
      <w:smallCaps/>
      <w:sz w:val="30"/>
      <w:szCs w:val="30"/>
    </w:rPr>
  </w:style>
  <w:style w:type="paragraph" w:styleId="31">
    <w:name w:val="toc 9"/>
    <w:basedOn w:val="1"/>
    <w:next w:val="1"/>
    <w:unhideWhenUsed/>
    <w:qFormat/>
    <w:uiPriority w:val="39"/>
    <w:pPr>
      <w:ind w:left="1600"/>
      <w:jc w:val="left"/>
    </w:pPr>
    <w:rPr>
      <w:rFonts w:asciiTheme="minorHAnsi" w:eastAsiaTheme="minorHAnsi"/>
      <w:sz w:val="18"/>
      <w:szCs w:val="18"/>
    </w:rPr>
  </w:style>
  <w:style w:type="paragraph" w:styleId="32">
    <w:name w:val="Normal (Web)"/>
    <w:basedOn w:val="1"/>
    <w:qFormat/>
    <w:uiPriority w:val="0"/>
    <w:rPr>
      <w:rFonts w:ascii="微软雅黑" w:hAnsi="微软雅黑"/>
      <w:sz w:val="24"/>
    </w:rPr>
  </w:style>
  <w:style w:type="paragraph" w:styleId="33">
    <w:name w:val="Title"/>
    <w:basedOn w:val="1"/>
    <w:qFormat/>
    <w:uiPriority w:val="10"/>
    <w:pPr>
      <w:spacing w:after="100" w:afterLines="100" w:line="288" w:lineRule="auto"/>
      <w:jc w:val="center"/>
      <w:outlineLvl w:val="9"/>
    </w:pPr>
    <w:rPr>
      <w:rFonts w:ascii="微软雅黑" w:hAnsi="微软雅黑"/>
      <w:b/>
      <w:bCs/>
      <w:sz w:val="48"/>
      <w:szCs w:val="48"/>
    </w:rPr>
  </w:style>
  <w:style w:type="paragraph" w:styleId="34">
    <w:name w:val="annotation subject"/>
    <w:basedOn w:val="14"/>
    <w:next w:val="14"/>
    <w:link w:val="95"/>
    <w:qFormat/>
    <w:uiPriority w:val="0"/>
    <w:rPr>
      <w:b/>
      <w:bCs/>
    </w:rPr>
  </w:style>
  <w:style w:type="table" w:styleId="36">
    <w:name w:val="Table Grid"/>
    <w:basedOn w:val="3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Strong"/>
    <w:basedOn w:val="37"/>
    <w:qFormat/>
    <w:uiPriority w:val="22"/>
    <w:rPr>
      <w:rFonts w:ascii="微软雅黑" w:hAnsi="微软雅黑" w:eastAsia="微软雅黑"/>
      <w:b/>
      <w:color w:val="auto"/>
      <w:u w:val="single"/>
    </w:rPr>
  </w:style>
  <w:style w:type="character" w:styleId="39">
    <w:name w:val="endnote reference"/>
    <w:basedOn w:val="37"/>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40">
    <w:name w:val="page number"/>
    <w:qFormat/>
    <w:uiPriority w:val="0"/>
    <w:rPr>
      <w:rFonts w:ascii="微软雅黑" w:hAnsi="微软雅黑" w:eastAsia="微软雅黑" w:cs="Times New Roman"/>
      <w:color w:val="262626" w:themeColor="text1" w:themeTint="D9"/>
      <w:spacing w:val="-6"/>
      <w:kern w:val="2"/>
      <w:sz w:val="21"/>
      <w:szCs w:val="21"/>
      <w:lang w:val="en-US" w:eastAsia="zh-CN" w:bidi="ar-SA"/>
      <w14:textFill>
        <w14:solidFill>
          <w14:schemeClr w14:val="tx1">
            <w14:lumMod w14:val="85000"/>
            <w14:lumOff w14:val="15000"/>
          </w14:schemeClr>
        </w14:solidFill>
      </w14:textFill>
    </w:rPr>
  </w:style>
  <w:style w:type="character" w:styleId="41">
    <w:name w:val="FollowedHyperlink"/>
    <w:basedOn w:val="37"/>
    <w:qFormat/>
    <w:uiPriority w:val="0"/>
    <w:rPr>
      <w:rFonts w:ascii="微软雅黑" w:hAnsi="微软雅黑" w:eastAsia="微软雅黑" w:cs="Times New Roman"/>
      <w:color w:val="800080"/>
      <w:spacing w:val="-6"/>
      <w:kern w:val="2"/>
      <w:sz w:val="24"/>
      <w:szCs w:val="24"/>
      <w:u w:val="single"/>
      <w:lang w:val="en-US" w:eastAsia="zh-CN" w:bidi="ar-SA"/>
    </w:rPr>
  </w:style>
  <w:style w:type="character" w:styleId="42">
    <w:name w:val="Emphasis"/>
    <w:basedOn w:val="37"/>
    <w:qFormat/>
    <w:uiPriority w:val="20"/>
    <w:rPr>
      <w:rFonts w:ascii="Arial" w:hAnsi="Arial" w:eastAsia="微软雅黑"/>
      <w:b/>
      <w:bCs/>
      <w:i/>
      <w:color w:val="auto"/>
      <w:sz w:val="24"/>
      <w:szCs w:val="22"/>
    </w:rPr>
  </w:style>
  <w:style w:type="character" w:styleId="43">
    <w:name w:val="Hyperlink"/>
    <w:basedOn w:val="37"/>
    <w:qFormat/>
    <w:uiPriority w:val="0"/>
    <w:rPr>
      <w:rFonts w:ascii="微软雅黑" w:hAnsi="微软雅黑" w:eastAsia="微软雅黑" w:cs="Times New Roman"/>
      <w:caps/>
      <w:color w:val="0000FF"/>
      <w:spacing w:val="-6"/>
      <w:kern w:val="2"/>
      <w:sz w:val="24"/>
      <w:szCs w:val="24"/>
      <w:u w:val="single"/>
      <w:lang w:val="en-US" w:eastAsia="zh-CN" w:bidi="ar-SA"/>
    </w:rPr>
  </w:style>
  <w:style w:type="character" w:styleId="44">
    <w:name w:val="annotation reference"/>
    <w:basedOn w:val="37"/>
    <w:qFormat/>
    <w:uiPriority w:val="0"/>
    <w:rPr>
      <w:rFonts w:ascii="微软雅黑" w:hAnsi="微软雅黑" w:eastAsia="微软雅黑"/>
      <w:color w:val="262626" w:themeColor="text1" w:themeTint="D9"/>
      <w:sz w:val="21"/>
      <w:szCs w:val="21"/>
      <w14:textFill>
        <w14:solidFill>
          <w14:schemeClr w14:val="tx1">
            <w14:lumMod w14:val="85000"/>
            <w14:lumOff w14:val="15000"/>
          </w14:schemeClr>
        </w14:solidFill>
      </w14:textFill>
    </w:rPr>
  </w:style>
  <w:style w:type="character" w:styleId="45">
    <w:name w:val="footnote reference"/>
    <w:basedOn w:val="37"/>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customStyle="1" w:styleId="46">
    <w:name w:val="标题 4 字符"/>
    <w:link w:val="5"/>
    <w:qFormat/>
    <w:uiPriority w:val="9"/>
    <w:rPr>
      <w:rFonts w:ascii="微软雅黑" w:hAnsi="微软雅黑" w:eastAsia="宋体" w:cstheme="minorBidi"/>
      <w:b/>
      <w:bCs/>
      <w:sz w:val="28"/>
      <w:szCs w:val="28"/>
    </w:rPr>
  </w:style>
  <w:style w:type="character" w:customStyle="1" w:styleId="47">
    <w:name w:val="标题 1 字符"/>
    <w:link w:val="2"/>
    <w:qFormat/>
    <w:uiPriority w:val="9"/>
    <w:rPr>
      <w:rFonts w:ascii="微软雅黑" w:hAnsi="微软雅黑" w:eastAsia="宋体" w:cstheme="minorBidi"/>
      <w:b/>
      <w:bCs/>
      <w:kern w:val="44"/>
      <w:sz w:val="32"/>
      <w:szCs w:val="36"/>
    </w:rPr>
  </w:style>
  <w:style w:type="character" w:customStyle="1" w:styleId="48">
    <w:name w:val="标题 2 字符"/>
    <w:link w:val="3"/>
    <w:qFormat/>
    <w:uiPriority w:val="9"/>
    <w:rPr>
      <w:rFonts w:ascii="微软雅黑" w:hAnsi="微软雅黑" w:eastAsia="宋体" w:cstheme="minorBidi"/>
      <w:b/>
      <w:bCs/>
      <w:kern w:val="2"/>
      <w:sz w:val="30"/>
      <w:szCs w:val="32"/>
    </w:rPr>
  </w:style>
  <w:style w:type="paragraph" w:styleId="49">
    <w:name w:val="List Paragraph"/>
    <w:basedOn w:val="1"/>
    <w:qFormat/>
    <w:uiPriority w:val="34"/>
    <w:pPr>
      <w:ind w:firstLine="420" w:firstLineChars="200"/>
    </w:pPr>
  </w:style>
  <w:style w:type="paragraph" w:customStyle="1" w:styleId="50">
    <w:name w:val="正文（深信服科技）"/>
    <w:link w:val="69"/>
    <w:qFormat/>
    <w:uiPriority w:val="0"/>
    <w:pPr>
      <w:adjustRightInd w:val="0"/>
      <w:snapToGrid w:val="0"/>
      <w:spacing w:line="360" w:lineRule="auto"/>
      <w:ind w:firstLine="480" w:firstLineChars="200"/>
      <w:jc w:val="both"/>
    </w:pPr>
    <w:rPr>
      <w:rFonts w:ascii="Times New Roman" w:hAnsi="Times New Roman" w:eastAsia="宋体" w:cs="Times New Roman"/>
      <w:sz w:val="24"/>
      <w:szCs w:val="21"/>
      <w:lang w:val="en-US" w:eastAsia="zh-CN" w:bidi="ar-SA"/>
    </w:rPr>
  </w:style>
  <w:style w:type="paragraph" w:customStyle="1" w:styleId="51">
    <w:name w:val="插图题注（深信服）"/>
    <w:next w:val="50"/>
    <w:qFormat/>
    <w:uiPriority w:val="0"/>
    <w:pPr>
      <w:numPr>
        <w:ilvl w:val="6"/>
        <w:numId w:val="2"/>
      </w:numPr>
      <w:spacing w:after="156"/>
      <w:jc w:val="center"/>
    </w:pPr>
    <w:rPr>
      <w:rFonts w:ascii="Times New Roman" w:hAnsi="Times New Roman" w:eastAsia="宋体" w:cs="Arial"/>
      <w:sz w:val="21"/>
      <w:szCs w:val="21"/>
      <w:lang w:val="en-US" w:eastAsia="zh-CN" w:bidi="ar-SA"/>
    </w:rPr>
  </w:style>
  <w:style w:type="character" w:customStyle="1" w:styleId="52">
    <w:name w:val="标题 3 字符"/>
    <w:link w:val="4"/>
    <w:qFormat/>
    <w:uiPriority w:val="9"/>
    <w:rPr>
      <w:rFonts w:ascii="微软雅黑" w:hAnsi="微软雅黑" w:eastAsia="宋体" w:cstheme="minorBidi"/>
      <w:b/>
      <w:kern w:val="2"/>
      <w:sz w:val="28"/>
      <w:szCs w:val="30"/>
    </w:rPr>
  </w:style>
  <w:style w:type="paragraph" w:customStyle="1" w:styleId="53">
    <w:name w:val="标题 1（深信服2）"/>
    <w:basedOn w:val="2"/>
    <w:next w:val="50"/>
    <w:link w:val="54"/>
    <w:qFormat/>
    <w:uiPriority w:val="0"/>
    <w:pPr>
      <w:numPr>
        <w:numId w:val="3"/>
      </w:numPr>
      <w:tabs>
        <w:tab w:val="left" w:pos="420"/>
        <w:tab w:val="left" w:pos="720"/>
        <w:tab w:val="left" w:pos="960"/>
        <w:tab w:val="clear" w:pos="0"/>
      </w:tabs>
      <w:ind w:left="130" w:hanging="130" w:hangingChars="130"/>
    </w:pPr>
    <w:rPr>
      <w:rFonts w:ascii="Arial" w:hAnsi="Arial"/>
    </w:rPr>
  </w:style>
  <w:style w:type="character" w:customStyle="1" w:styleId="54">
    <w:name w:val="标题 1（深信服2） 字符"/>
    <w:link w:val="53"/>
    <w:qFormat/>
    <w:uiPriority w:val="0"/>
    <w:rPr>
      <w:rFonts w:ascii="Arial" w:hAnsi="Arial" w:eastAsia="黑体"/>
      <w:b/>
      <w:sz w:val="32"/>
      <w:szCs w:val="30"/>
    </w:rPr>
  </w:style>
  <w:style w:type="paragraph" w:customStyle="1" w:styleId="55">
    <w:name w:val="列表（编号一级）（深信服科技）"/>
    <w:basedOn w:val="50"/>
    <w:qFormat/>
    <w:uiPriority w:val="0"/>
    <w:pPr>
      <w:numPr>
        <w:ilvl w:val="0"/>
        <w:numId w:val="4"/>
      </w:numPr>
      <w:tabs>
        <w:tab w:val="left" w:pos="420"/>
      </w:tabs>
      <w:ind w:left="200" w:leftChars="200" w:hanging="150" w:hangingChars="150"/>
    </w:pPr>
  </w:style>
  <w:style w:type="character" w:customStyle="1" w:styleId="56">
    <w:name w:val="页眉 字符"/>
    <w:link w:val="23"/>
    <w:qFormat/>
    <w:uiPriority w:val="99"/>
    <w:rPr>
      <w:rFonts w:ascii="微软雅黑" w:hAnsi="微软雅黑"/>
      <w:sz w:val="18"/>
      <w:szCs w:val="18"/>
    </w:rPr>
  </w:style>
  <w:style w:type="paragraph" w:customStyle="1" w:styleId="57">
    <w:name w:val="列表（符号一级）（深信服科技）"/>
    <w:basedOn w:val="50"/>
    <w:qFormat/>
    <w:uiPriority w:val="0"/>
    <w:pPr>
      <w:numPr>
        <w:ilvl w:val="0"/>
        <w:numId w:val="5"/>
      </w:numPr>
      <w:tabs>
        <w:tab w:val="left" w:pos="420"/>
      </w:tabs>
      <w:ind w:left="350" w:leftChars="200" w:hanging="150" w:hangingChars="150"/>
    </w:pPr>
  </w:style>
  <w:style w:type="paragraph" w:customStyle="1" w:styleId="58">
    <w:name w:val="标题 1（深信服）"/>
    <w:basedOn w:val="2"/>
    <w:next w:val="50"/>
    <w:link w:val="67"/>
    <w:qFormat/>
    <w:uiPriority w:val="0"/>
    <w:pPr>
      <w:numPr>
        <w:numId w:val="0"/>
      </w:numPr>
      <w:tabs>
        <w:tab w:val="left" w:pos="420"/>
        <w:tab w:val="left" w:pos="960"/>
        <w:tab w:val="clear" w:pos="0"/>
      </w:tabs>
    </w:pPr>
  </w:style>
  <w:style w:type="paragraph" w:customStyle="1" w:styleId="59">
    <w:name w:val="标题 2（深信服）"/>
    <w:basedOn w:val="58"/>
    <w:next w:val="50"/>
    <w:qFormat/>
    <w:uiPriority w:val="0"/>
    <w:pPr>
      <w:keepNext w:val="0"/>
      <w:keepLines w:val="0"/>
      <w:pageBreakBefore w:val="0"/>
      <w:spacing w:before="156" w:beforeLines="50" w:after="156" w:afterLines="50"/>
    </w:pPr>
    <w:rPr>
      <w:sz w:val="30"/>
    </w:rPr>
  </w:style>
  <w:style w:type="paragraph" w:customStyle="1" w:styleId="60">
    <w:name w:val="标题 3（深信服科技）"/>
    <w:basedOn w:val="4"/>
    <w:next w:val="50"/>
    <w:qFormat/>
    <w:uiPriority w:val="0"/>
    <w:pPr>
      <w:widowControl w:val="0"/>
      <w:tabs>
        <w:tab w:val="left" w:pos="420"/>
        <w:tab w:val="left" w:pos="960"/>
        <w:tab w:val="clear" w:pos="0"/>
        <w:tab w:val="clear" w:pos="312"/>
      </w:tabs>
      <w:adjustRightInd w:val="0"/>
      <w:snapToGrid w:val="0"/>
      <w:spacing w:before="156" w:beforeLines="50" w:after="156" w:afterLines="50" w:line="240" w:lineRule="auto"/>
      <w:jc w:val="left"/>
    </w:pPr>
    <w:rPr>
      <w:rFonts w:ascii="Times New Roman" w:hAnsi="Times New Roman" w:eastAsia="黑体"/>
      <w:sz w:val="28"/>
      <w:szCs w:val="30"/>
    </w:rPr>
  </w:style>
  <w:style w:type="paragraph" w:customStyle="1" w:styleId="61">
    <w:name w:val="标题 4（深信服科技）"/>
    <w:basedOn w:val="5"/>
    <w:next w:val="50"/>
    <w:qFormat/>
    <w:uiPriority w:val="0"/>
    <w:pPr>
      <w:numPr>
        <w:ilvl w:val="3"/>
        <w:numId w:val="6"/>
      </w:numPr>
      <w:tabs>
        <w:tab w:val="left" w:pos="420"/>
        <w:tab w:val="clear" w:pos="0"/>
      </w:tabs>
      <w:adjustRightInd w:val="0"/>
      <w:snapToGrid w:val="0"/>
      <w:spacing w:before="156" w:beforeLines="50" w:after="156" w:afterLines="50" w:line="240" w:lineRule="auto"/>
      <w:jc w:val="left"/>
    </w:pPr>
    <w:rPr>
      <w:rFonts w:ascii="Times New Roman" w:hAnsi="Times New Roman" w:eastAsia="黑体" w:cs="Times New Roman"/>
      <w:bCs w:val="0"/>
      <w:sz w:val="24"/>
    </w:rPr>
  </w:style>
  <w:style w:type="paragraph" w:customStyle="1" w:styleId="62">
    <w:name w:val="标题 6（有编号）（深信服）"/>
    <w:basedOn w:val="1"/>
    <w:next w:val="50"/>
    <w:qFormat/>
    <w:locked/>
    <w:uiPriority w:val="0"/>
    <w:pPr>
      <w:keepNext/>
      <w:keepLines/>
      <w:widowControl w:val="0"/>
      <w:numPr>
        <w:ilvl w:val="5"/>
        <w:numId w:val="6"/>
      </w:numPr>
      <w:spacing w:before="240" w:after="64" w:line="319" w:lineRule="auto"/>
      <w:jc w:val="left"/>
      <w:outlineLvl w:val="5"/>
    </w:pPr>
    <w:rPr>
      <w:rFonts w:ascii="Arial" w:hAnsi="Arial" w:eastAsia="宋体"/>
      <w:b/>
      <w:sz w:val="21"/>
      <w:szCs w:val="24"/>
    </w:rPr>
  </w:style>
  <w:style w:type="paragraph" w:customStyle="1" w:styleId="63">
    <w:name w:val="列表（编号二级）（深信服科技）"/>
    <w:basedOn w:val="55"/>
    <w:qFormat/>
    <w:uiPriority w:val="0"/>
    <w:pPr>
      <w:numPr>
        <w:numId w:val="7"/>
      </w:numPr>
      <w:ind w:left="350" w:hanging="150"/>
    </w:pPr>
  </w:style>
  <w:style w:type="paragraph" w:customStyle="1" w:styleId="64">
    <w:name w:val="列表（符号二级）（深信服科技）"/>
    <w:basedOn w:val="57"/>
    <w:qFormat/>
    <w:uiPriority w:val="0"/>
    <w:pPr>
      <w:numPr>
        <w:numId w:val="8"/>
      </w:numPr>
      <w:ind w:left="550" w:leftChars="400" w:hanging="150"/>
    </w:pPr>
  </w:style>
  <w:style w:type="paragraph" w:customStyle="1" w:styleId="65">
    <w:name w:val="插图（深信服科技）"/>
    <w:next w:val="50"/>
    <w:qFormat/>
    <w:uiPriority w:val="0"/>
    <w:pPr>
      <w:keepNext/>
      <w:spacing w:before="25" w:beforeLines="25" w:after="25" w:afterLines="25"/>
      <w:jc w:val="center"/>
    </w:pPr>
    <w:rPr>
      <w:rFonts w:ascii="Arial" w:hAnsi="Arial" w:eastAsia="宋体" w:cs="Times New Roman"/>
      <w:sz w:val="21"/>
      <w:szCs w:val="21"/>
      <w:lang w:val="en-US" w:eastAsia="zh-CN" w:bidi="ar-SA"/>
    </w:rPr>
  </w:style>
  <w:style w:type="paragraph" w:customStyle="1" w:styleId="66">
    <w:name w:val="表格题注（等保组）"/>
    <w:basedOn w:val="51"/>
    <w:next w:val="50"/>
    <w:qFormat/>
    <w:uiPriority w:val="0"/>
    <w:pPr>
      <w:keepNext/>
      <w:numPr>
        <w:ilvl w:val="7"/>
        <w:numId w:val="9"/>
      </w:numPr>
    </w:pPr>
  </w:style>
  <w:style w:type="character" w:customStyle="1" w:styleId="67">
    <w:name w:val="标题 1（深信服） 字符"/>
    <w:link w:val="58"/>
    <w:qFormat/>
    <w:uiPriority w:val="0"/>
    <w:rPr>
      <w:rFonts w:ascii="Times New Roman" w:hAnsi="Times New Roman" w:eastAsia="黑体"/>
      <w:b/>
      <w:kern w:val="0"/>
      <w:sz w:val="28"/>
      <w:szCs w:val="30"/>
    </w:rPr>
  </w:style>
  <w:style w:type="paragraph" w:customStyle="1" w:styleId="68">
    <w:name w:val="标题 5（深信服科技）"/>
    <w:basedOn w:val="1"/>
    <w:next w:val="50"/>
    <w:link w:val="70"/>
    <w:qFormat/>
    <w:uiPriority w:val="0"/>
    <w:pPr>
      <w:keepNext/>
      <w:keepLines/>
      <w:widowControl w:val="0"/>
      <w:numPr>
        <w:ilvl w:val="4"/>
        <w:numId w:val="6"/>
      </w:numPr>
      <w:tabs>
        <w:tab w:val="left" w:pos="420"/>
      </w:tabs>
      <w:adjustRightInd w:val="0"/>
      <w:snapToGrid w:val="0"/>
      <w:spacing w:before="156" w:beforeLines="50" w:after="156" w:afterLines="50" w:line="240" w:lineRule="auto"/>
      <w:jc w:val="left"/>
      <w:outlineLvl w:val="4"/>
    </w:pPr>
    <w:rPr>
      <w:rFonts w:ascii="Times New Roman" w:hAnsi="Times New Roman" w:eastAsia="黑体"/>
      <w:sz w:val="24"/>
      <w:szCs w:val="28"/>
    </w:rPr>
  </w:style>
  <w:style w:type="character" w:customStyle="1" w:styleId="69">
    <w:name w:val="正文（深信服科技） 字符"/>
    <w:link w:val="50"/>
    <w:qFormat/>
    <w:uiPriority w:val="0"/>
    <w:rPr>
      <w:rFonts w:ascii="Times New Roman" w:hAnsi="Times New Roman" w:eastAsia="宋体"/>
      <w:kern w:val="0"/>
      <w:sz w:val="24"/>
      <w:szCs w:val="21"/>
    </w:rPr>
  </w:style>
  <w:style w:type="character" w:customStyle="1" w:styleId="70">
    <w:name w:val="标题 5（深信服科技） 字符"/>
    <w:link w:val="68"/>
    <w:qFormat/>
    <w:uiPriority w:val="0"/>
    <w:rPr>
      <w:rFonts w:ascii="Times New Roman" w:hAnsi="Times New Roman" w:eastAsia="黑体"/>
      <w:sz w:val="24"/>
      <w:szCs w:val="28"/>
    </w:rPr>
  </w:style>
  <w:style w:type="paragraph" w:customStyle="1" w:styleId="71">
    <w:name w:val="表格文字（深信服科技）"/>
    <w:basedOn w:val="1"/>
    <w:link w:val="72"/>
    <w:qFormat/>
    <w:uiPriority w:val="0"/>
    <w:pPr>
      <w:spacing w:line="360" w:lineRule="auto"/>
      <w:jc w:val="center"/>
    </w:pPr>
    <w:rPr>
      <w:rFonts w:ascii="Times New Roman" w:hAnsi="Times New Roman" w:eastAsia="宋体"/>
      <w:sz w:val="21"/>
    </w:rPr>
  </w:style>
  <w:style w:type="character" w:customStyle="1" w:styleId="72">
    <w:name w:val="表格文字（深信服科技） 字符"/>
    <w:link w:val="71"/>
    <w:qFormat/>
    <w:uiPriority w:val="0"/>
    <w:rPr>
      <w:rFonts w:ascii="Times New Roman" w:hAnsi="Times New Roman" w:eastAsia="宋体"/>
      <w:kern w:val="0"/>
      <w:sz w:val="21"/>
    </w:rPr>
  </w:style>
  <w:style w:type="paragraph" w:customStyle="1" w:styleId="73">
    <w:name w:val="封面标题（深信服科技）"/>
    <w:basedOn w:val="1"/>
    <w:link w:val="75"/>
    <w:qFormat/>
    <w:uiPriority w:val="0"/>
    <w:pPr>
      <w:snapToGrid w:val="0"/>
      <w:spacing w:line="240" w:lineRule="auto"/>
      <w:jc w:val="center"/>
    </w:pPr>
    <w:rPr>
      <w:rFonts w:ascii="Times New Roman" w:hAnsi="Times New Roman" w:eastAsia="黑体"/>
      <w:b/>
      <w:sz w:val="52"/>
      <w:szCs w:val="84"/>
    </w:rPr>
  </w:style>
  <w:style w:type="paragraph" w:customStyle="1" w:styleId="74">
    <w:name w:val="封面落款（深信服科技）"/>
    <w:basedOn w:val="1"/>
    <w:link w:val="77"/>
    <w:qFormat/>
    <w:uiPriority w:val="0"/>
    <w:pPr>
      <w:widowControl w:val="0"/>
      <w:spacing w:before="163" w:after="163" w:line="240" w:lineRule="auto"/>
      <w:jc w:val="center"/>
    </w:pPr>
    <w:rPr>
      <w:rFonts w:ascii="宋体" w:hAnsi="宋体" w:eastAsia="宋体"/>
      <w:b/>
      <w:kern w:val="2"/>
      <w:sz w:val="32"/>
      <w:szCs w:val="44"/>
    </w:rPr>
  </w:style>
  <w:style w:type="character" w:customStyle="1" w:styleId="75">
    <w:name w:val="封面标题（深信服科技） 字符"/>
    <w:basedOn w:val="37"/>
    <w:link w:val="73"/>
    <w:qFormat/>
    <w:uiPriority w:val="0"/>
    <w:rPr>
      <w:rFonts w:ascii="Times New Roman" w:hAnsi="Times New Roman" w:eastAsia="黑体"/>
      <w:b/>
      <w:kern w:val="0"/>
      <w:sz w:val="52"/>
      <w:szCs w:val="84"/>
    </w:rPr>
  </w:style>
  <w:style w:type="paragraph" w:customStyle="1" w:styleId="76">
    <w:name w:val="声明标题（深信服科技）"/>
    <w:basedOn w:val="1"/>
    <w:link w:val="79"/>
    <w:qFormat/>
    <w:uiPriority w:val="0"/>
    <w:pPr>
      <w:jc w:val="left"/>
    </w:pPr>
    <w:rPr>
      <w:rFonts w:ascii="Times New Roman" w:hAnsi="Times New Roman" w:eastAsia="黑体"/>
      <w:b/>
      <w:sz w:val="28"/>
    </w:rPr>
  </w:style>
  <w:style w:type="character" w:customStyle="1" w:styleId="77">
    <w:name w:val="封面落款（深信服科技） 字符"/>
    <w:basedOn w:val="37"/>
    <w:link w:val="74"/>
    <w:qFormat/>
    <w:uiPriority w:val="0"/>
    <w:rPr>
      <w:rFonts w:ascii="宋体" w:hAnsi="宋体" w:eastAsia="宋体"/>
      <w:b/>
      <w:sz w:val="32"/>
      <w:szCs w:val="44"/>
    </w:rPr>
  </w:style>
  <w:style w:type="paragraph" w:customStyle="1" w:styleId="78">
    <w:name w:val="声明内容（深信服科技）"/>
    <w:basedOn w:val="50"/>
    <w:link w:val="81"/>
    <w:qFormat/>
    <w:uiPriority w:val="0"/>
  </w:style>
  <w:style w:type="character" w:customStyle="1" w:styleId="79">
    <w:name w:val="声明标题（深信服科技） 字符"/>
    <w:basedOn w:val="37"/>
    <w:link w:val="76"/>
    <w:qFormat/>
    <w:uiPriority w:val="0"/>
    <w:rPr>
      <w:rFonts w:ascii="Times New Roman" w:hAnsi="Times New Roman" w:eastAsia="黑体"/>
      <w:b/>
      <w:kern w:val="0"/>
      <w:sz w:val="28"/>
    </w:rPr>
  </w:style>
  <w:style w:type="paragraph" w:customStyle="1" w:styleId="80">
    <w:name w:val="目录内容（深信服）"/>
    <w:basedOn w:val="25"/>
    <w:link w:val="84"/>
    <w:qFormat/>
    <w:uiPriority w:val="0"/>
    <w:pPr>
      <w:tabs>
        <w:tab w:val="left" w:pos="420"/>
        <w:tab w:val="clear" w:pos="400"/>
      </w:tabs>
      <w:spacing w:before="156" w:beforeLines="50" w:after="156" w:afterLines="50"/>
    </w:pPr>
    <w:rPr>
      <w:bCs w:val="0"/>
      <w:caps w:val="0"/>
    </w:rPr>
  </w:style>
  <w:style w:type="character" w:customStyle="1" w:styleId="81">
    <w:name w:val="声明内容（深信服科技） 字符"/>
    <w:basedOn w:val="69"/>
    <w:link w:val="78"/>
    <w:qFormat/>
    <w:uiPriority w:val="0"/>
    <w:rPr>
      <w:rFonts w:ascii="Times New Roman" w:hAnsi="Times New Roman" w:eastAsia="宋体"/>
      <w:kern w:val="0"/>
      <w:sz w:val="24"/>
      <w:szCs w:val="21"/>
    </w:rPr>
  </w:style>
  <w:style w:type="paragraph" w:customStyle="1" w:styleId="82">
    <w:name w:val="目录标题（深信服科技）"/>
    <w:basedOn w:val="83"/>
    <w:link w:val="85"/>
    <w:qFormat/>
    <w:uiPriority w:val="0"/>
    <w:pPr>
      <w:numPr>
        <w:numId w:val="0"/>
      </w:numPr>
      <w:tabs>
        <w:tab w:val="left" w:pos="420"/>
        <w:tab w:val="left" w:pos="960"/>
      </w:tabs>
      <w:spacing w:line="240" w:lineRule="auto"/>
      <w:jc w:val="center"/>
    </w:pPr>
    <w:rPr>
      <w:sz w:val="36"/>
      <w:szCs w:val="36"/>
      <w:lang w:val="zh-CN"/>
    </w:rPr>
  </w:style>
  <w:style w:type="paragraph" w:customStyle="1" w:styleId="83">
    <w:name w:val="TOC 标题1"/>
    <w:basedOn w:val="2"/>
    <w:next w:val="1"/>
    <w:unhideWhenUsed/>
    <w:qFormat/>
    <w:uiPriority w:val="39"/>
    <w:pPr>
      <w:numPr>
        <w:numId w:val="2"/>
      </w:numPr>
      <w:tabs>
        <w:tab w:val="left" w:pos="420"/>
        <w:tab w:val="left" w:pos="960"/>
        <w:tab w:val="clear" w:pos="0"/>
      </w:tabs>
      <w:spacing w:line="578" w:lineRule="atLeast"/>
      <w:outlineLvl w:val="9"/>
    </w:pPr>
  </w:style>
  <w:style w:type="character" w:customStyle="1" w:styleId="84">
    <w:name w:val="目录内容（深信服） 字符"/>
    <w:basedOn w:val="37"/>
    <w:link w:val="80"/>
    <w:qFormat/>
    <w:uiPriority w:val="0"/>
    <w:rPr>
      <w:rFonts w:ascii="Times New Roman" w:hAnsi="Times New Roman" w:eastAsia="宋体"/>
      <w:bCs/>
      <w:caps/>
      <w:kern w:val="0"/>
      <w:sz w:val="24"/>
    </w:rPr>
  </w:style>
  <w:style w:type="character" w:customStyle="1" w:styleId="85">
    <w:name w:val="目录标题（深信服科技） 字符"/>
    <w:basedOn w:val="37"/>
    <w:link w:val="82"/>
    <w:qFormat/>
    <w:uiPriority w:val="0"/>
    <w:rPr>
      <w:rFonts w:ascii="Times New Roman" w:hAnsi="Times New Roman" w:eastAsia="黑体"/>
      <w:b/>
      <w:kern w:val="0"/>
      <w:sz w:val="36"/>
      <w:szCs w:val="36"/>
      <w:lang w:val="zh-CN"/>
    </w:rPr>
  </w:style>
  <w:style w:type="paragraph" w:customStyle="1" w:styleId="86">
    <w:name w:val="页脚页码（深信服科技）"/>
    <w:basedOn w:val="1"/>
    <w:link w:val="87"/>
    <w:qFormat/>
    <w:uiPriority w:val="0"/>
    <w:pPr>
      <w:pBdr>
        <w:top w:val="single" w:color="auto" w:sz="4" w:space="4"/>
      </w:pBdr>
      <w:tabs>
        <w:tab w:val="center" w:pos="4153"/>
        <w:tab w:val="right" w:pos="8306"/>
      </w:tabs>
      <w:snapToGrid w:val="0"/>
      <w:spacing w:before="100" w:beforeAutospacing="1" w:line="240" w:lineRule="auto"/>
      <w:ind w:left="601" w:hanging="601"/>
      <w:jc w:val="center"/>
    </w:pPr>
    <w:rPr>
      <w:rFonts w:ascii="Times New Roman" w:hAnsi="Times New Roman" w:eastAsia="宋体"/>
      <w:sz w:val="18"/>
      <w:szCs w:val="18"/>
    </w:rPr>
  </w:style>
  <w:style w:type="character" w:customStyle="1" w:styleId="87">
    <w:name w:val="页脚页码（深信服科技） 字符"/>
    <w:basedOn w:val="37"/>
    <w:link w:val="86"/>
    <w:qFormat/>
    <w:uiPriority w:val="0"/>
    <w:rPr>
      <w:rFonts w:ascii="Times New Roman" w:hAnsi="Times New Roman" w:eastAsia="宋体"/>
      <w:kern w:val="0"/>
      <w:sz w:val="18"/>
      <w:szCs w:val="18"/>
    </w:rPr>
  </w:style>
  <w:style w:type="character" w:customStyle="1" w:styleId="88">
    <w:name w:val="页脚 字符"/>
    <w:link w:val="22"/>
    <w:qFormat/>
    <w:uiPriority w:val="99"/>
    <w:rPr>
      <w:rFonts w:ascii="微软雅黑" w:hAnsi="微软雅黑"/>
      <w:sz w:val="18"/>
      <w:szCs w:val="18"/>
    </w:rPr>
  </w:style>
  <w:style w:type="character" w:customStyle="1" w:styleId="89">
    <w:name w:val="TOC 1 字符"/>
    <w:basedOn w:val="37"/>
    <w:link w:val="25"/>
    <w:qFormat/>
    <w:uiPriority w:val="39"/>
    <w:rPr>
      <w:rFonts w:ascii="黑体" w:hAnsi="黑体" w:eastAsia="黑体"/>
      <w:bCs/>
      <w:caps/>
      <w:kern w:val="0"/>
      <w:sz w:val="32"/>
      <w:szCs w:val="32"/>
    </w:rPr>
  </w:style>
  <w:style w:type="character" w:customStyle="1" w:styleId="90">
    <w:name w:val="TOC 2 字符"/>
    <w:basedOn w:val="37"/>
    <w:link w:val="30"/>
    <w:qFormat/>
    <w:uiPriority w:val="39"/>
    <w:rPr>
      <w:rFonts w:ascii="黑体" w:hAnsi="黑体" w:eastAsia="黑体"/>
      <w:smallCaps/>
      <w:kern w:val="0"/>
      <w:sz w:val="30"/>
      <w:szCs w:val="30"/>
    </w:rPr>
  </w:style>
  <w:style w:type="character" w:customStyle="1" w:styleId="91">
    <w:name w:val="TOC 3 字符"/>
    <w:basedOn w:val="37"/>
    <w:link w:val="17"/>
    <w:qFormat/>
    <w:uiPriority w:val="39"/>
    <w:rPr>
      <w:rFonts w:ascii="黑体" w:hAnsi="黑体" w:eastAsia="黑体"/>
      <w:iCs/>
      <w:kern w:val="0"/>
      <w:sz w:val="28"/>
      <w:szCs w:val="28"/>
    </w:rPr>
  </w:style>
  <w:style w:type="character" w:styleId="92">
    <w:name w:val="Placeholder Text"/>
    <w:basedOn w:val="37"/>
    <w:semiHidden/>
    <w:qFormat/>
    <w:uiPriority w:val="99"/>
    <w:rPr>
      <w:color w:val="808080"/>
    </w:rPr>
  </w:style>
  <w:style w:type="character" w:customStyle="1" w:styleId="93">
    <w:name w:val="批注框文本 字符"/>
    <w:link w:val="21"/>
    <w:semiHidden/>
    <w:qFormat/>
    <w:uiPriority w:val="99"/>
    <w:rPr>
      <w:rFonts w:ascii="微软雅黑" w:hAnsi="微软雅黑"/>
      <w:sz w:val="18"/>
      <w:szCs w:val="18"/>
    </w:rPr>
  </w:style>
  <w:style w:type="character" w:customStyle="1" w:styleId="94">
    <w:name w:val="批注文字 字符"/>
    <w:link w:val="14"/>
    <w:semiHidden/>
    <w:qFormat/>
    <w:uiPriority w:val="99"/>
    <w:rPr>
      <w:rFonts w:ascii="微软雅黑" w:hAnsi="微软雅黑"/>
      <w:color w:val="262626" w:themeColor="text1" w:themeTint="D9"/>
      <w:szCs w:val="21"/>
      <w14:textFill>
        <w14:solidFill>
          <w14:schemeClr w14:val="tx1">
            <w14:lumMod w14:val="85000"/>
            <w14:lumOff w14:val="15000"/>
          </w14:schemeClr>
        </w14:solidFill>
      </w14:textFill>
    </w:rPr>
  </w:style>
  <w:style w:type="character" w:customStyle="1" w:styleId="95">
    <w:name w:val="批注主题 字符"/>
    <w:link w:val="34"/>
    <w:semiHidden/>
    <w:qFormat/>
    <w:uiPriority w:val="99"/>
    <w:rPr>
      <w:b/>
      <w:bCs/>
    </w:rPr>
  </w:style>
  <w:style w:type="character" w:customStyle="1" w:styleId="96">
    <w:name w:val="标题 5 字符"/>
    <w:link w:val="6"/>
    <w:semiHidden/>
    <w:qFormat/>
    <w:uiPriority w:val="9"/>
    <w:rPr>
      <w:rFonts w:ascii="Arial" w:hAnsi="Arial" w:eastAsia="微软雅黑"/>
      <w:b/>
      <w:sz w:val="28"/>
      <w:szCs w:val="22"/>
    </w:rPr>
  </w:style>
  <w:style w:type="paragraph" w:customStyle="1" w:styleId="97">
    <w:name w:val="文档说明标题"/>
    <w:basedOn w:val="1"/>
    <w:next w:val="1"/>
    <w:qFormat/>
    <w:uiPriority w:val="0"/>
    <w:pPr>
      <w:spacing w:after="100" w:afterLines="100" w:line="240" w:lineRule="auto"/>
      <w:ind w:firstLine="0" w:firstLineChars="0"/>
      <w:jc w:val="center"/>
      <w:outlineLvl w:val="9"/>
    </w:pPr>
    <w:rPr>
      <w:rFonts w:ascii="微软雅黑" w:hAnsi="微软雅黑"/>
      <w:b/>
      <w:bCs/>
      <w:sz w:val="48"/>
      <w:szCs w:val="48"/>
      <w:lang w:eastAsia="zh-Hans"/>
    </w:rPr>
  </w:style>
  <w:style w:type="paragraph" w:customStyle="1" w:styleId="98">
    <w:name w:val="附录标题"/>
    <w:next w:val="7"/>
    <w:qFormat/>
    <w:uiPriority w:val="0"/>
    <w:pPr>
      <w:tabs>
        <w:tab w:val="left" w:pos="0"/>
      </w:tabs>
      <w:bidi w:val="0"/>
      <w:adjustRightInd w:val="0"/>
      <w:snapToGrid w:val="0"/>
      <w:spacing w:after="100" w:afterLines="100" w:line="240" w:lineRule="auto"/>
      <w:jc w:val="center"/>
    </w:pPr>
    <w:rPr>
      <w:rFonts w:ascii="微软雅黑" w:hAnsi="微软雅黑" w:eastAsia="微软雅黑" w:cstheme="minorBidi"/>
      <w:b/>
      <w:bCs/>
      <w:snapToGrid/>
      <w:kern w:val="28"/>
      <w:sz w:val="44"/>
      <w:szCs w:val="44"/>
      <w:lang w:val="en-US" w:eastAsia="zh-CN" w:bidi="ar-SA"/>
    </w:rPr>
  </w:style>
  <w:style w:type="paragraph" w:customStyle="1" w:styleId="99">
    <w:name w:val="章标题"/>
    <w:basedOn w:val="1"/>
    <w:next w:val="1"/>
    <w:qFormat/>
    <w:uiPriority w:val="0"/>
    <w:pPr>
      <w:spacing w:beforeLines="0" w:after="100" w:afterLines="100" w:line="240" w:lineRule="auto"/>
      <w:jc w:val="center"/>
      <w:outlineLvl w:val="0"/>
    </w:pPr>
    <w:rPr>
      <w:rFonts w:hint="eastAsia" w:ascii="微软雅黑" w:hAnsi="微软雅黑"/>
      <w:b/>
      <w:bCs/>
      <w:kern w:val="28"/>
      <w:sz w:val="44"/>
      <w:szCs w:val="44"/>
    </w:rPr>
  </w:style>
  <w:style w:type="paragraph" w:customStyle="1" w:styleId="100">
    <w:name w:val="节标题"/>
    <w:basedOn w:val="1"/>
    <w:next w:val="1"/>
    <w:qFormat/>
    <w:uiPriority w:val="0"/>
    <w:pPr>
      <w:spacing w:beforeLines="0" w:after="100" w:afterLines="100" w:line="240" w:lineRule="auto"/>
      <w:jc w:val="center"/>
      <w:outlineLvl w:val="0"/>
    </w:pPr>
    <w:rPr>
      <w:rFonts w:hint="eastAsia" w:ascii="微软雅黑" w:hAnsi="微软雅黑"/>
      <w:b/>
      <w:bCs/>
      <w:kern w:val="28"/>
      <w:sz w:val="36"/>
      <w:szCs w:val="36"/>
    </w:rPr>
  </w:style>
  <w:style w:type="character" w:customStyle="1" w:styleId="101">
    <w:name w:val="摘要"/>
    <w:basedOn w:val="37"/>
    <w:qFormat/>
    <w:uiPriority w:val="0"/>
    <w:rPr>
      <w:rFonts w:hint="eastAsia" w:ascii="Arial" w:hAnsi="Arial"/>
      <w:b/>
      <w:lang w:val="en-US" w:eastAsia="zh-CN"/>
    </w:rPr>
  </w:style>
  <w:style w:type="character" w:customStyle="1" w:styleId="102">
    <w:name w:val="关键词"/>
    <w:basedOn w:val="37"/>
    <w:qFormat/>
    <w:uiPriority w:val="0"/>
    <w:rPr>
      <w:rFonts w:hint="eastAsia" w:ascii="Arial" w:hAnsi="Arial"/>
      <w:b/>
      <w:lang w:val="en-US" w:eastAsia="zh-CN"/>
    </w:rPr>
  </w:style>
  <w:style w:type="paragraph" w:customStyle="1" w:styleId="103">
    <w:name w:val="题注1"/>
    <w:basedOn w:val="1"/>
    <w:qFormat/>
    <w:uiPriority w:val="0"/>
    <w:pPr>
      <w:jc w:val="center"/>
    </w:pPr>
    <w:rPr>
      <w:rFonts w:hint="eastAsia" w:ascii="微软雅黑" w:hAnsi="微软雅黑"/>
      <w:sz w:val="20"/>
      <w:szCs w:val="20"/>
    </w:rPr>
  </w:style>
  <w:style w:type="paragraph" w:customStyle="1" w:styleId="104">
    <w:name w:val="主送对象"/>
    <w:next w:val="7"/>
    <w:qFormat/>
    <w:uiPriority w:val="0"/>
    <w:pPr>
      <w:bidi w:val="0"/>
      <w:adjustRightInd w:val="0"/>
      <w:snapToGrid w:val="0"/>
      <w:spacing w:line="288" w:lineRule="auto"/>
    </w:pPr>
    <w:rPr>
      <w:rFonts w:ascii="微软雅黑" w:hAnsi="微软雅黑" w:eastAsia="微软雅黑"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105">
    <w:name w:val="目录标题"/>
    <w:basedOn w:val="1"/>
    <w:qFormat/>
    <w:uiPriority w:val="0"/>
    <w:pPr>
      <w:spacing w:before="0" w:beforeLines="0" w:afterLines="0" w:line="240" w:lineRule="auto"/>
      <w:ind w:firstLine="0" w:firstLineChars="0"/>
      <w:jc w:val="center"/>
    </w:pPr>
    <w:rPr>
      <w:rFonts w:ascii="微软雅黑" w:hAnsi="微软雅黑" w:eastAsia="微软雅黑"/>
      <w:b/>
      <w:sz w:val="28"/>
      <w:szCs w:val="28"/>
    </w:rPr>
  </w:style>
  <w:style w:type="paragraph" w:customStyle="1" w:styleId="106">
    <w:name w:val="致谢标题"/>
    <w:qFormat/>
    <w:uiPriority w:val="0"/>
    <w:pPr>
      <w:bidi w:val="0"/>
      <w:adjustRightInd w:val="0"/>
      <w:snapToGrid w:val="0"/>
      <w:spacing w:beforeLines="0" w:after="100" w:afterLines="100" w:line="240" w:lineRule="auto"/>
      <w:jc w:val="center"/>
      <w:outlineLvl w:val="0"/>
    </w:pPr>
    <w:rPr>
      <w:rFonts w:ascii="微软雅黑" w:hAnsi="微软雅黑" w:eastAsia="微软雅黑" w:cstheme="minorBidi"/>
      <w:b/>
      <w:bCs/>
      <w:snapToGrid/>
      <w:kern w:val="28"/>
      <w:sz w:val="44"/>
      <w:szCs w:val="44"/>
      <w:lang w:val="en-US" w:eastAsia="zh-CN" w:bidi="ar-SA"/>
    </w:rPr>
  </w:style>
  <w:style w:type="paragraph" w:customStyle="1" w:styleId="107">
    <w:name w:val="声明标题"/>
    <w:next w:val="7"/>
    <w:qFormat/>
    <w:uiPriority w:val="0"/>
    <w:pPr>
      <w:bidi w:val="0"/>
      <w:adjustRightInd w:val="0"/>
      <w:snapToGrid w:val="0"/>
      <w:spacing w:after="100" w:afterLines="100"/>
      <w:jc w:val="center"/>
    </w:pPr>
    <w:rPr>
      <w:rFonts w:ascii="微软雅黑" w:hAnsi="微软雅黑" w:eastAsia="微软雅黑" w:cstheme="minorBidi"/>
      <w:b/>
      <w:bCs/>
      <w:snapToGrid/>
      <w:kern w:val="28"/>
      <w:sz w:val="44"/>
      <w:szCs w:val="44"/>
      <w:lang w:val="en-US" w:eastAsia="zh-CN" w:bidi="ar-SA"/>
    </w:rPr>
  </w:style>
  <w:style w:type="paragraph" w:customStyle="1" w:styleId="108">
    <w:name w:val="参考文献标题"/>
    <w:link w:val="109"/>
    <w:qFormat/>
    <w:uiPriority w:val="0"/>
    <w:pPr>
      <w:bidi w:val="0"/>
      <w:adjustRightInd w:val="0"/>
      <w:snapToGrid w:val="0"/>
      <w:spacing w:after="100" w:afterLines="100"/>
      <w:jc w:val="center"/>
    </w:pPr>
    <w:rPr>
      <w:rFonts w:ascii="微软雅黑" w:hAnsi="微软雅黑" w:eastAsia="微软雅黑" w:cstheme="minorBidi"/>
      <w:b/>
      <w:bCs/>
      <w:sz w:val="44"/>
      <w:szCs w:val="44"/>
      <w:lang w:val="en-US" w:eastAsia="zh-CN"/>
    </w:rPr>
  </w:style>
  <w:style w:type="character" w:customStyle="1" w:styleId="109">
    <w:name w:val="参考文献标题 Char"/>
    <w:link w:val="108"/>
    <w:qFormat/>
    <w:uiPriority w:val="0"/>
    <w:rPr>
      <w:rFonts w:ascii="微软雅黑" w:hAnsi="微软雅黑" w:eastAsia="微软雅黑" w:cstheme="minorBidi"/>
      <w:b/>
      <w:bCs/>
      <w:sz w:val="44"/>
      <w:szCs w:val="44"/>
      <w:lang w:val="en-US" w:eastAsia="zh-CN"/>
    </w:rPr>
  </w:style>
  <w:style w:type="paragraph" w:customStyle="1" w:styleId="110">
    <w:name w:val="WPSOffice手动目录 1"/>
    <w:uiPriority w:val="0"/>
    <w:pPr>
      <w:ind w:leftChars="0"/>
    </w:pPr>
    <w:rPr>
      <w:sz w:val="20"/>
      <w:szCs w:val="20"/>
    </w:rPr>
  </w:style>
  <w:style w:type="paragraph" w:customStyle="1" w:styleId="111">
    <w:name w:val="WPSOffice手动目录 2"/>
    <w:uiPriority w:val="0"/>
    <w:pPr>
      <w:ind w:leftChars="200"/>
    </w:pPr>
    <w:rPr>
      <w:sz w:val="20"/>
      <w:szCs w:val="20"/>
    </w:rPr>
  </w:style>
  <w:style w:type="paragraph" w:customStyle="1" w:styleId="112">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40"/>
        <w:style w:val=""/>
        <w:category>
          <w:name w:val="常规"/>
          <w:gallery w:val="placeholder"/>
        </w:category>
        <w:types>
          <w:type w:val="bbPlcHdr"/>
        </w:types>
        <w:behaviors>
          <w:behavior w:val="content"/>
        </w:behaviors>
        <w:description w:val=""/>
        <w:guid w:val="{EF1F391B-F9BE-4C5B-8E07-97AFE8CC69D1}"/>
      </w:docPartPr>
      <w:docPartBody>
        <w:p w14:paraId="1BC3CBF1">
          <w:r>
            <w:rPr>
              <w:rStyle w:val="4"/>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897"/>
    <w:rsid w:val="0000601F"/>
    <w:rsid w:val="00014B16"/>
    <w:rsid w:val="00020EC9"/>
    <w:rsid w:val="00030635"/>
    <w:rsid w:val="00220ADB"/>
    <w:rsid w:val="00234BA5"/>
    <w:rsid w:val="002671FB"/>
    <w:rsid w:val="002A5E73"/>
    <w:rsid w:val="002B7E27"/>
    <w:rsid w:val="002C7665"/>
    <w:rsid w:val="002E6FE6"/>
    <w:rsid w:val="00366E41"/>
    <w:rsid w:val="003975B3"/>
    <w:rsid w:val="00397BED"/>
    <w:rsid w:val="003A7897"/>
    <w:rsid w:val="003B1E52"/>
    <w:rsid w:val="004053DF"/>
    <w:rsid w:val="004771CE"/>
    <w:rsid w:val="00480F6F"/>
    <w:rsid w:val="004C6AD3"/>
    <w:rsid w:val="004F2A03"/>
    <w:rsid w:val="004F3D85"/>
    <w:rsid w:val="005B31E4"/>
    <w:rsid w:val="005F3668"/>
    <w:rsid w:val="00600FF8"/>
    <w:rsid w:val="0061129B"/>
    <w:rsid w:val="00623128"/>
    <w:rsid w:val="006C7AE0"/>
    <w:rsid w:val="007313AC"/>
    <w:rsid w:val="00733531"/>
    <w:rsid w:val="00747933"/>
    <w:rsid w:val="007C7D9B"/>
    <w:rsid w:val="008107C1"/>
    <w:rsid w:val="008225DD"/>
    <w:rsid w:val="0084724B"/>
    <w:rsid w:val="00887A89"/>
    <w:rsid w:val="008D3C31"/>
    <w:rsid w:val="00902A44"/>
    <w:rsid w:val="00941E25"/>
    <w:rsid w:val="00951F35"/>
    <w:rsid w:val="00982BC3"/>
    <w:rsid w:val="009D2A45"/>
    <w:rsid w:val="00A31385"/>
    <w:rsid w:val="00A34847"/>
    <w:rsid w:val="00A60BAD"/>
    <w:rsid w:val="00A66343"/>
    <w:rsid w:val="00AA2319"/>
    <w:rsid w:val="00AB783C"/>
    <w:rsid w:val="00B0370B"/>
    <w:rsid w:val="00BA2150"/>
    <w:rsid w:val="00BD2C2A"/>
    <w:rsid w:val="00BF6AB7"/>
    <w:rsid w:val="00BF6B04"/>
    <w:rsid w:val="00C2361C"/>
    <w:rsid w:val="00C44DE9"/>
    <w:rsid w:val="00D2779E"/>
    <w:rsid w:val="00D30071"/>
    <w:rsid w:val="00D73A75"/>
    <w:rsid w:val="00D76665"/>
    <w:rsid w:val="00E21E4E"/>
    <w:rsid w:val="00E5362B"/>
    <w:rsid w:val="00ED7789"/>
    <w:rsid w:val="00EE2CE8"/>
    <w:rsid w:val="00F114AA"/>
    <w:rsid w:val="00F11620"/>
    <w:rsid w:val="00F16FAF"/>
    <w:rsid w:val="00FA087E"/>
    <w:rsid w:val="00FE1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ED0E3CBC06134A9296B32F568634E5D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odq="http://opendope.org/questions" xmlns:wp="http://schemas.openxmlformats.org/drawingml/2006/wordprocessingDrawing" xmlns:xdr="http://schemas.openxmlformats.org/drawingml/2006/spreadsheetDrawing" xmlns:sl="http://schemas.openxmlformats.org/schemaLibrary/2006/main" xmlns:an18="http://schemas.microsoft.com/office/drawing/2018/animation" xmlns:odx="http://opendope.org/xpaths" xmlns:c16ac="http://schemas.microsoft.com/office/drawing/2014/chart/ac" xmlns:w10="urn:schemas-microsoft-com:office:word" xmlns:a13cmd="http://schemas.microsoft.com/office/drawing/2013/main/command" xmlns:w14="http://schemas.microsoft.com/office/word/2010/wordml" xmlns:w15="http://schemas.microsoft.com/office/word/2012/wordml" xmlns:dgm1611="http://schemas.microsoft.com/office/drawing/2016/11/diagram" xmlns:dgm1612="http://schemas.microsoft.com/office/drawing/2016/12/diagram" xmlns:anam3d="http://schemas.microsoft.com/office/drawing/2018/animation/model3d" xmlns:iact="http://schemas.microsoft.com/office/powerpoint/2014/inkAction" xmlns:cs="http://schemas.microsoft.com/office/drawing/2012/chartStyle" xmlns:lc="http://schemas.openxmlformats.org/drawingml/2006/lockedCanvas" xmlns:adec="http://schemas.microsoft.com/office/drawing/2017/decorative" xmlns:cx="http://schemas.microsoft.com/office/drawing/2014/chartex" xmlns:msink="http://schemas.microsoft.com/ink/2010/main" xmlns:wetp="http://schemas.microsoft.com/office/webextensions/taskpanes/2010/11" xmlns:pic="http://schemas.openxmlformats.org/drawingml/2006/picture" xmlns:wpc="http://schemas.microsoft.com/office/word/2010/wordprocessingCanvas" xmlns:c14="http://schemas.microsoft.com/office/drawing/2007/8/2/chart" xmlns:c15="http://schemas.microsoft.com/office/drawing/2012/chart" xmlns:wpg="http://schemas.microsoft.com/office/word/2010/wordprocessingGroup" xmlns:c16="http://schemas.microsoft.com/office/drawing/2014/chart" xmlns:w16cid="http://schemas.microsoft.com/office/word/2016/wordml/cid" xmlns:pvml="urn:schemas-microsoft-com:office:powerpoint" xmlns:am3d="http://schemas.microsoft.com/office/drawing/2017/model3d" xmlns:wps="http://schemas.microsoft.com/office/word/2010/wordprocessingShape" xmlns:mc="http://schemas.openxmlformats.org/markup-compatibility/2006" xmlns:ns38="http://www.w3.org/1998/Math/MathML" xmlns:ns39="http://www.w3.org/2003/InkML" xmlns:cdr14="http://schemas.microsoft.com/office/drawing/2010/chartDrawing" xmlns:odgm="http://opendope.org/SmartArt/DataHierarchy" xmlns:pic14="http://schemas.microsoft.com/office/drawing/2010/picture" xmlns:wp14="http://schemas.microsoft.com/office/word/2010/wordprocessingDrawing" xmlns:wp15="http://schemas.microsoft.com/office/word/2012/wordprocessingDrawing" xmlns:c173="http://schemas.microsoft.com/office/drawing/2017/03/chart" xmlns:a14="http://schemas.microsoft.com/office/drawing/2010/main" xmlns:a15="http://schemas.microsoft.com/office/drawing/2012/main" xmlns:thm15="http://schemas.microsoft.com/office/thememl/2012/main" xmlns:a16="http://schemas.microsoft.com/office/drawing/2014/main" xmlns:xvml="urn:schemas-microsoft-com:office:excel" xmlns:a1611="http://schemas.microsoft.com/office/drawing/2016/11/main" xmlns:a="http://schemas.openxmlformats.org/drawingml/2006/main" xmlns:b="http://schemas.openxmlformats.org/officeDocument/2006/bibliography" xmlns:comp="http://schemas.openxmlformats.org/drawingml/2006/compatibility" xmlns:c="http://schemas.openxmlformats.org/drawingml/2006/chart" xmlns:dsp="http://schemas.microsoft.com/office/drawing/2008/diagram" xmlns:a18hc="http://schemas.microsoft.com/office/drawing/2018/hyperlinkcolor" xmlns:oda="http://opendope.org/answers" xmlns:cppr="http://schemas.microsoft.com/office/2006/coverPageProps" xmlns:odc="http://opendope.org/conditions" xmlns:dgm14="http://schemas.microsoft.com/office/drawing/2010/diagram" xmlns:a16svg="http://schemas.microsoft.com/office/drawing/2016/SVG/main" xmlns:m="http://schemas.openxmlformats.org/officeDocument/2006/math" xmlns:we="http://schemas.microsoft.com/office/webextensions/webextension/2010/11" xmlns:o="urn:schemas-microsoft-com:office:office" xmlns:odi="http://opendope.org/components" xmlns:w16se="http://schemas.microsoft.com/office/word/2015/wordml/symex" xmlns:r="http://schemas.openxmlformats.org/officeDocument/2006/relationships" xmlns:wne="http://schemas.microsoft.com/office/word/2006/wordml" xmlns:cdr="http://schemas.openxmlformats.org/drawingml/2006/chartDrawing" xmlns:dgm="http://schemas.openxmlformats.org/drawingml/2006/diagram" xmlns:v="urn:schemas-microsoft-com:vml" xmlns:w="http://schemas.openxmlformats.org/wordprocessingml/2006/main" StyleName="APA" SelectedStyle="\APASixthEditionOfficeOnline.xsl"/>
</file>

<file path=customXml/itemProps1.xml><?xml version="1.0" encoding="utf-8"?>
<ds:datastoreItem xmlns:ds="http://schemas.openxmlformats.org/officeDocument/2006/customXml" ds:itemID="{3D61F007-C060-EC41-B3F9-29ECB8C08031}">
  <ds:schemaRefs/>
</ds:datastoreItem>
</file>

<file path=docProps/app.xml><?xml version="1.0" encoding="utf-8"?>
<Properties xmlns="http://schemas.openxmlformats.org/officeDocument/2006/extended-properties" xmlns:vt="http://schemas.openxmlformats.org/officeDocument/2006/docPropsVTypes">
  <Template>Normal.dotm</Template>
  <Company>深信服科技股份有限公司</Company>
  <Pages>17</Pages>
  <Words>8209</Words>
  <Characters>8634</Characters>
  <Lines>175</Lines>
  <Paragraphs>49</Paragraphs>
  <TotalTime>6</TotalTime>
  <ScaleCrop>false</ScaleCrop>
  <LinksUpToDate>false</LinksUpToDate>
  <CharactersWithSpaces>20531</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2023-08-31T00:26:00Z</dcterms:created>
  <dc:creator>深信服科技</dc:creator>
  <cp:lastModifiedBy>王世先</cp:lastModifiedBy>
  <dcterms:modified xsi:type="dcterms:W3CDTF">2026-03-31T13:38:59Z</dcterms:modified>
  <dc:subject>模板</dc:subject>
  <dc:title>深信服科技word模板</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ICV">
    <vt:lpwstr>6F63FFE70C5545DEAE7DAD4F7110D735_13</vt:lpwstr>
  </property>
  <property fmtid="{D5CDD505-2E9C-101B-9397-08002B2CF9AE}" pid="4" name="KSOTemplateDocerSaveRecord">
    <vt:lpwstr>eyJoZGlkIjoiMDk1ZmRmMzFlMjE0MGIwOWIzMWM4ZTM3MzgxNmRkODIiLCJ1c2VySWQiOiIxNTgyNzc2NjQ3In0=</vt:lpwstr>
  </property>
</Properties>
</file>