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A09A">
      <w:pPr>
        <w:spacing w:before="156" w:beforeLines="50" w:after="156" w:afterLines="50" w:line="360" w:lineRule="auto"/>
        <w:ind w:left="861" w:hanging="861" w:hangingChars="286"/>
        <w:outlineLvl w:val="2"/>
        <w:rPr>
          <w:rFonts w:hint="eastAsia" w:ascii="宋体" w:hAnsi="宋体"/>
          <w:b/>
          <w:sz w:val="30"/>
          <w:szCs w:val="30"/>
        </w:rPr>
      </w:pPr>
      <w:r>
        <w:rPr>
          <w:rFonts w:hint="eastAsia" w:ascii="宋体" w:hAnsi="宋体"/>
          <w:b/>
          <w:sz w:val="30"/>
          <w:szCs w:val="30"/>
        </w:rPr>
        <w:t>一、项目</w:t>
      </w:r>
      <w:r>
        <w:rPr>
          <w:rFonts w:ascii="宋体" w:hAnsi="宋体"/>
          <w:b/>
          <w:sz w:val="30"/>
          <w:szCs w:val="30"/>
        </w:rPr>
        <w:t>概况</w:t>
      </w:r>
    </w:p>
    <w:p w14:paraId="18C0BCCB">
      <w:pPr>
        <w:spacing w:before="156" w:beforeLines="50" w:after="156" w:afterLines="50" w:line="360" w:lineRule="auto"/>
        <w:ind w:left="804" w:hanging="804" w:hangingChars="286"/>
        <w:outlineLvl w:val="3"/>
        <w:rPr>
          <w:rFonts w:hint="eastAsia" w:ascii="宋体" w:hAnsi="宋体"/>
          <w:sz w:val="24"/>
        </w:rPr>
      </w:pPr>
      <w:r>
        <w:rPr>
          <w:rFonts w:ascii="宋体" w:hAnsi="宋体"/>
          <w:b/>
          <w:sz w:val="28"/>
        </w:rPr>
        <w:t>1</w:t>
      </w:r>
      <w:r>
        <w:rPr>
          <w:rFonts w:hint="eastAsia" w:ascii="宋体" w:hAnsi="宋体"/>
          <w:b/>
          <w:sz w:val="28"/>
        </w:rPr>
        <w:t>.1项目</w:t>
      </w:r>
      <w:r>
        <w:rPr>
          <w:rFonts w:ascii="宋体" w:hAnsi="宋体"/>
          <w:b/>
          <w:sz w:val="28"/>
        </w:rPr>
        <w:t>背景</w:t>
      </w:r>
    </w:p>
    <w:p w14:paraId="44031557">
      <w:pPr>
        <w:spacing w:before="156" w:beforeLines="50" w:after="156" w:afterLines="50" w:line="360" w:lineRule="auto"/>
        <w:ind w:firstLine="480" w:firstLineChars="200"/>
        <w:rPr>
          <w:rFonts w:ascii="宋体" w:hAnsi="宋体"/>
          <w:sz w:val="24"/>
          <w:szCs w:val="24"/>
        </w:rPr>
      </w:pPr>
      <w:r>
        <w:rPr>
          <w:rFonts w:ascii="宋体" w:hAnsi="宋体"/>
          <w:sz w:val="24"/>
          <w:szCs w:val="24"/>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14:paraId="5D11E2D7">
      <w:pPr>
        <w:spacing w:before="156" w:beforeLines="50" w:after="156" w:afterLines="50" w:line="360" w:lineRule="auto"/>
        <w:ind w:firstLine="480" w:firstLineChars="200"/>
        <w:rPr>
          <w:rFonts w:ascii="宋体" w:hAnsi="宋体"/>
          <w:sz w:val="24"/>
          <w:szCs w:val="24"/>
        </w:rPr>
      </w:pPr>
      <w:r>
        <w:rPr>
          <w:rFonts w:hint="eastAsia" w:ascii="宋体" w:hAnsi="宋体"/>
          <w:sz w:val="24"/>
          <w:szCs w:val="24"/>
        </w:rPr>
        <w:t>公司I</w:t>
      </w:r>
      <w:r>
        <w:rPr>
          <w:rFonts w:ascii="宋体" w:hAnsi="宋体"/>
          <w:sz w:val="24"/>
          <w:szCs w:val="24"/>
        </w:rPr>
        <w:t>T</w:t>
      </w:r>
      <w:r>
        <w:rPr>
          <w:rFonts w:hint="eastAsia" w:ascii="宋体" w:hAnsi="宋体"/>
          <w:sz w:val="24"/>
          <w:szCs w:val="24"/>
        </w:rPr>
        <w:t>机房设在城隍国际B座8层，面积6m</w:t>
      </w:r>
      <w:r>
        <w:rPr>
          <w:rFonts w:ascii="宋体" w:hAnsi="宋体"/>
          <w:sz w:val="24"/>
          <w:szCs w:val="24"/>
        </w:rPr>
        <w:t>*4</w:t>
      </w:r>
      <w:r>
        <w:rPr>
          <w:rFonts w:hint="eastAsia" w:ascii="宋体" w:hAnsi="宋体"/>
          <w:sz w:val="24"/>
          <w:szCs w:val="24"/>
        </w:rPr>
        <w:t>m，铺设防静电地板，其中服务器机柜2台、网络机柜2台，服务器1</w:t>
      </w:r>
      <w:r>
        <w:rPr>
          <w:rFonts w:ascii="宋体" w:hAnsi="宋体"/>
          <w:sz w:val="24"/>
          <w:szCs w:val="24"/>
        </w:rPr>
        <w:t>2</w:t>
      </w:r>
      <w:r>
        <w:rPr>
          <w:rFonts w:hint="eastAsia" w:ascii="宋体" w:hAnsi="宋体"/>
          <w:sz w:val="24"/>
          <w:szCs w:val="24"/>
        </w:rPr>
        <w:t>台、存储3台、网络设备1</w:t>
      </w:r>
      <w:r>
        <w:rPr>
          <w:rFonts w:ascii="宋体" w:hAnsi="宋体"/>
          <w:sz w:val="24"/>
          <w:szCs w:val="24"/>
        </w:rPr>
        <w:t>0</w:t>
      </w:r>
      <w:r>
        <w:rPr>
          <w:rFonts w:hint="eastAsia" w:ascii="宋体" w:hAnsi="宋体"/>
          <w:sz w:val="24"/>
          <w:szCs w:val="24"/>
        </w:rPr>
        <w:t>台，U</w:t>
      </w:r>
      <w:r>
        <w:rPr>
          <w:rFonts w:ascii="宋体" w:hAnsi="宋体"/>
          <w:sz w:val="24"/>
          <w:szCs w:val="24"/>
        </w:rPr>
        <w:t>PS1</w:t>
      </w:r>
      <w:r>
        <w:rPr>
          <w:rFonts w:hint="eastAsia" w:ascii="宋体" w:hAnsi="宋体"/>
          <w:sz w:val="24"/>
          <w:szCs w:val="24"/>
        </w:rPr>
        <w:t>台、立式空调1部；</w:t>
      </w:r>
    </w:p>
    <w:p w14:paraId="0C9AC0B7">
      <w:pPr>
        <w:spacing w:before="156" w:beforeLines="50" w:after="156" w:afterLines="50" w:line="360" w:lineRule="auto"/>
        <w:ind w:firstLine="480" w:firstLineChars="200"/>
        <w:rPr>
          <w:rFonts w:ascii="宋体" w:hAnsi="宋体"/>
          <w:sz w:val="24"/>
          <w:szCs w:val="24"/>
        </w:rPr>
      </w:pPr>
      <w:r>
        <w:rPr>
          <w:rFonts w:hint="eastAsia" w:ascii="宋体" w:hAnsi="宋体"/>
          <w:sz w:val="24"/>
          <w:szCs w:val="24"/>
        </w:rPr>
        <w:t>业务系统</w:t>
      </w:r>
      <w:r>
        <w:rPr>
          <w:rFonts w:ascii="宋体" w:hAnsi="宋体"/>
          <w:sz w:val="24"/>
          <w:szCs w:val="24"/>
        </w:rPr>
        <w:t>5</w:t>
      </w:r>
      <w:r>
        <w:rPr>
          <w:rFonts w:hint="eastAsia" w:ascii="宋体" w:hAnsi="宋体"/>
          <w:sz w:val="24"/>
          <w:szCs w:val="24"/>
        </w:rPr>
        <w:t>套， 主要部署在物理服务器及部分vmware虚拟化平台上；</w:t>
      </w:r>
    </w:p>
    <w:p w14:paraId="0175C5E6">
      <w:pPr>
        <w:spacing w:before="156" w:beforeLines="50" w:after="156" w:afterLines="50" w:line="360" w:lineRule="auto"/>
        <w:ind w:firstLine="480" w:firstLineChars="200"/>
        <w:rPr>
          <w:rFonts w:ascii="宋体" w:hAnsi="宋体"/>
          <w:sz w:val="24"/>
          <w:szCs w:val="24"/>
        </w:rPr>
      </w:pPr>
      <w:r>
        <w:rPr>
          <w:rFonts w:hint="eastAsia" w:ascii="宋体" w:hAnsi="宋体"/>
          <w:sz w:val="24"/>
          <w:szCs w:val="24"/>
        </w:rPr>
        <w:t>核心数据库数据量约</w:t>
      </w:r>
      <w:r>
        <w:rPr>
          <w:rFonts w:hint="eastAsia" w:ascii="宋体" w:hAnsi="宋体"/>
          <w:sz w:val="24"/>
          <w:szCs w:val="24"/>
          <w:lang w:val="en-US" w:eastAsia="zh-CN"/>
        </w:rPr>
        <w:t>5</w:t>
      </w:r>
      <w:r>
        <w:rPr>
          <w:rFonts w:ascii="宋体" w:hAnsi="宋体"/>
          <w:sz w:val="24"/>
          <w:szCs w:val="24"/>
        </w:rPr>
        <w:t>00GB</w:t>
      </w:r>
      <w:r>
        <w:rPr>
          <w:rFonts w:hint="eastAsia" w:ascii="宋体" w:hAnsi="宋体"/>
          <w:sz w:val="24"/>
          <w:szCs w:val="24"/>
        </w:rPr>
        <w:t>、论文资料P</w:t>
      </w:r>
      <w:r>
        <w:rPr>
          <w:rFonts w:ascii="宋体" w:hAnsi="宋体"/>
          <w:sz w:val="24"/>
          <w:szCs w:val="24"/>
        </w:rPr>
        <w:t>DF</w:t>
      </w:r>
      <w:r>
        <w:rPr>
          <w:rFonts w:hint="eastAsia" w:ascii="宋体" w:hAnsi="宋体"/>
          <w:sz w:val="24"/>
          <w:szCs w:val="24"/>
        </w:rPr>
        <w:t>格式约</w:t>
      </w:r>
      <w:r>
        <w:rPr>
          <w:rFonts w:hint="eastAsia" w:ascii="宋体" w:hAnsi="宋体"/>
          <w:sz w:val="24"/>
          <w:szCs w:val="24"/>
          <w:lang w:val="en-US" w:eastAsia="zh-CN"/>
        </w:rPr>
        <w:t>10</w:t>
      </w:r>
      <w:r>
        <w:rPr>
          <w:rFonts w:hint="eastAsia" w:ascii="宋体" w:hAnsi="宋体"/>
          <w:sz w:val="24"/>
          <w:szCs w:val="24"/>
        </w:rPr>
        <w:t>TB、办公及邮件附件约</w:t>
      </w:r>
      <w:r>
        <w:rPr>
          <w:rFonts w:ascii="宋体" w:hAnsi="宋体"/>
          <w:sz w:val="24"/>
          <w:szCs w:val="24"/>
        </w:rPr>
        <w:t>2</w:t>
      </w:r>
      <w:r>
        <w:rPr>
          <w:rFonts w:hint="eastAsia" w:ascii="宋体" w:hAnsi="宋体"/>
          <w:sz w:val="24"/>
          <w:szCs w:val="24"/>
        </w:rPr>
        <w:t>TB；</w:t>
      </w:r>
    </w:p>
    <w:p w14:paraId="659430C1">
      <w:pPr>
        <w:spacing w:before="156" w:beforeLines="50" w:after="156" w:afterLines="50" w:line="360" w:lineRule="auto"/>
        <w:ind w:firstLine="480" w:firstLineChars="200"/>
        <w:rPr>
          <w:rFonts w:ascii="宋体" w:hAnsi="宋体"/>
          <w:sz w:val="24"/>
          <w:szCs w:val="24"/>
        </w:rPr>
      </w:pPr>
      <w:r>
        <w:rPr>
          <w:rFonts w:hint="eastAsia" w:ascii="宋体" w:hAnsi="宋体"/>
          <w:sz w:val="24"/>
          <w:szCs w:val="24"/>
        </w:rPr>
        <w:t>员工（</w:t>
      </w:r>
      <w:r>
        <w:rPr>
          <w:rFonts w:ascii="宋体" w:hAnsi="宋体"/>
          <w:sz w:val="24"/>
          <w:szCs w:val="24"/>
        </w:rPr>
        <w:t>100</w:t>
      </w:r>
      <w:r>
        <w:rPr>
          <w:rFonts w:hint="eastAsia" w:ascii="宋体" w:hAnsi="宋体"/>
          <w:sz w:val="24"/>
          <w:szCs w:val="24"/>
        </w:rPr>
        <w:t>人左右）通过有线和无线两种方式接入公司网络，出口带宽</w:t>
      </w:r>
      <w:r>
        <w:rPr>
          <w:rFonts w:ascii="宋体" w:hAnsi="宋体"/>
          <w:sz w:val="24"/>
          <w:szCs w:val="24"/>
        </w:rPr>
        <w:t>1</w:t>
      </w:r>
      <w:r>
        <w:rPr>
          <w:rFonts w:hint="eastAsia" w:ascii="宋体" w:hAnsi="宋体"/>
          <w:sz w:val="24"/>
          <w:szCs w:val="24"/>
          <w:lang w:val="en-US" w:eastAsia="zh-CN"/>
        </w:rPr>
        <w:t>5</w:t>
      </w:r>
      <w:r>
        <w:rPr>
          <w:rFonts w:ascii="宋体" w:hAnsi="宋体"/>
          <w:sz w:val="24"/>
          <w:szCs w:val="24"/>
        </w:rPr>
        <w:t>0Mbps</w:t>
      </w:r>
      <w:r>
        <w:rPr>
          <w:rFonts w:hint="eastAsia" w:ascii="宋体" w:hAnsi="宋体"/>
          <w:sz w:val="24"/>
          <w:szCs w:val="24"/>
        </w:rPr>
        <w:t>；</w:t>
      </w:r>
      <w:r>
        <w:rPr>
          <w:rFonts w:hint="eastAsia" w:ascii="宋体" w:hAnsi="宋体"/>
          <w:sz w:val="24"/>
          <w:szCs w:val="24"/>
          <w:lang w:val="en-US" w:eastAsia="zh-CN"/>
        </w:rPr>
        <w:t>望京分支通过点对点专线与本部互联；</w:t>
      </w:r>
      <w:r>
        <w:rPr>
          <w:rFonts w:hint="eastAsia" w:ascii="宋体" w:hAnsi="宋体"/>
          <w:sz w:val="24"/>
          <w:szCs w:val="24"/>
        </w:rPr>
        <w:t>武汉分公司员工</w:t>
      </w:r>
      <w:r>
        <w:rPr>
          <w:rFonts w:ascii="宋体" w:hAnsi="宋体"/>
          <w:sz w:val="24"/>
          <w:szCs w:val="24"/>
        </w:rPr>
        <w:t>5-10</w:t>
      </w:r>
      <w:r>
        <w:rPr>
          <w:rFonts w:hint="eastAsia" w:ascii="宋体" w:hAnsi="宋体"/>
          <w:sz w:val="24"/>
          <w:szCs w:val="24"/>
        </w:rPr>
        <w:t>人，通过</w:t>
      </w:r>
      <w:r>
        <w:rPr>
          <w:rFonts w:ascii="宋体" w:hAnsi="宋体"/>
          <w:sz w:val="24"/>
          <w:szCs w:val="24"/>
        </w:rPr>
        <w:t>ADSL</w:t>
      </w:r>
      <w:r>
        <w:rPr>
          <w:rFonts w:hint="eastAsia" w:ascii="宋体" w:hAnsi="宋体"/>
          <w:sz w:val="24"/>
          <w:szCs w:val="24"/>
        </w:rPr>
        <w:t>拨号接入互联网，访问公司业务系统。</w:t>
      </w:r>
    </w:p>
    <w:p w14:paraId="32179935">
      <w:pPr>
        <w:spacing w:line="360" w:lineRule="auto"/>
        <w:ind w:firstLine="480" w:firstLineChars="200"/>
        <w:rPr>
          <w:sz w:val="24"/>
          <w:szCs w:val="30"/>
        </w:rPr>
      </w:pPr>
    </w:p>
    <w:p w14:paraId="4AA6A783">
      <w:pPr>
        <w:spacing w:before="156" w:beforeLines="50" w:after="156" w:afterLines="50" w:line="360" w:lineRule="auto"/>
        <w:ind w:left="804" w:hanging="804" w:hangingChars="286"/>
        <w:outlineLvl w:val="3"/>
        <w:rPr>
          <w:rFonts w:hint="eastAsia" w:ascii="宋体" w:hAnsi="宋体"/>
          <w:b/>
          <w:sz w:val="28"/>
        </w:rPr>
      </w:pPr>
      <w:r>
        <w:rPr>
          <w:rFonts w:ascii="宋体" w:hAnsi="宋体"/>
          <w:b/>
          <w:sz w:val="28"/>
        </w:rPr>
        <w:t>1.</w:t>
      </w:r>
      <w:r>
        <w:rPr>
          <w:rFonts w:hint="eastAsia" w:ascii="宋体" w:hAnsi="宋体"/>
          <w:b/>
          <w:sz w:val="28"/>
        </w:rPr>
        <w:t>2建设内容</w:t>
      </w:r>
    </w:p>
    <w:p w14:paraId="47D842B6">
      <w:pPr>
        <w:spacing w:before="156" w:beforeLines="50" w:after="156" w:afterLines="50" w:line="360" w:lineRule="auto"/>
        <w:ind w:firstLine="480" w:firstLineChars="200"/>
        <w:rPr>
          <w:rFonts w:ascii="宋体" w:hAnsi="宋体"/>
          <w:sz w:val="24"/>
          <w:szCs w:val="24"/>
        </w:rPr>
      </w:pPr>
      <w:r>
        <w:rPr>
          <w:rFonts w:ascii="宋体" w:hAnsi="宋体"/>
          <w:sz w:val="24"/>
          <w:szCs w:val="24"/>
        </w:rPr>
        <w:t>北京中科进出口有限责任公司</w:t>
      </w:r>
      <w:r>
        <w:rPr>
          <w:rFonts w:hint="eastAsia" w:ascii="宋体" w:hAnsi="宋体"/>
          <w:sz w:val="24"/>
          <w:szCs w:val="24"/>
        </w:rPr>
        <w:t>承担着</w:t>
      </w:r>
      <w:r>
        <w:rPr>
          <w:rFonts w:ascii="宋体" w:hAnsi="宋体"/>
          <w:sz w:val="24"/>
          <w:szCs w:val="24"/>
        </w:rPr>
        <w:t>图书、期刊、电子文献进出口业务的出口</w:t>
      </w:r>
      <w:r>
        <w:rPr>
          <w:rFonts w:hint="eastAsia" w:ascii="宋体" w:hAnsi="宋体"/>
          <w:sz w:val="24"/>
          <w:szCs w:val="24"/>
        </w:rPr>
        <w:t>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14:paraId="568B860D">
      <w:pPr>
        <w:spacing w:before="156" w:beforeLines="50" w:after="156" w:afterLines="50" w:line="360" w:lineRule="auto"/>
        <w:rPr>
          <w:rFonts w:ascii="宋体" w:hAnsi="宋体"/>
          <w:sz w:val="24"/>
          <w:szCs w:val="24"/>
        </w:rPr>
      </w:pPr>
      <w:r>
        <w:rPr>
          <w:rFonts w:hint="eastAsia" w:ascii="宋体" w:hAnsi="宋体"/>
          <w:b/>
          <w:bCs/>
          <w:sz w:val="24"/>
          <w:szCs w:val="24"/>
        </w:rPr>
        <w:t>目前急需改善及建设的内容包括：</w:t>
      </w:r>
    </w:p>
    <w:p w14:paraId="65C36593">
      <w:pPr>
        <w:pStyle w:val="2"/>
        <w:numPr>
          <w:ilvl w:val="0"/>
          <w:numId w:val="1"/>
        </w:numPr>
        <w:jc w:val="left"/>
      </w:pPr>
      <w:r>
        <w:rPr>
          <w:rFonts w:hint="eastAsia"/>
        </w:rPr>
        <w:t xml:space="preserve"> 机房环境改造：</w:t>
      </w:r>
    </w:p>
    <w:p w14:paraId="5B7759A5">
      <w:pPr>
        <w:pStyle w:val="5"/>
        <w:spacing w:before="156" w:beforeLines="50" w:after="156" w:afterLines="50" w:line="360" w:lineRule="auto"/>
        <w:rPr>
          <w:rFonts w:hint="eastAsia" w:ascii="宋体" w:hAnsi="宋体"/>
          <w:sz w:val="24"/>
          <w:szCs w:val="24"/>
        </w:rPr>
      </w:pPr>
      <w:r>
        <w:rPr>
          <w:rFonts w:hint="eastAsia" w:ascii="宋体" w:hAnsi="宋体"/>
          <w:sz w:val="24"/>
          <w:szCs w:val="24"/>
        </w:rPr>
        <w:t>目前机房环境不满足等保要求，存在影响业务运行的风险（防静电地板、线缆、U</w:t>
      </w:r>
      <w:r>
        <w:rPr>
          <w:rFonts w:ascii="宋体" w:hAnsi="宋体"/>
          <w:sz w:val="24"/>
          <w:szCs w:val="24"/>
        </w:rPr>
        <w:t>PS</w:t>
      </w:r>
      <w:r>
        <w:rPr>
          <w:rFonts w:hint="eastAsia" w:ascii="宋体" w:hAnsi="宋体"/>
          <w:sz w:val="24"/>
          <w:szCs w:val="24"/>
        </w:rPr>
        <w:t>老化，机柜空间不足，整体功率超负载运行），需要：</w:t>
      </w:r>
    </w:p>
    <w:p w14:paraId="4A4B45D7">
      <w:pPr>
        <w:pStyle w:val="5"/>
        <w:spacing w:before="156" w:beforeLines="50" w:after="156" w:afterLines="50" w:line="360" w:lineRule="auto"/>
        <w:ind w:left="780" w:firstLine="0" w:firstLineChars="0"/>
        <w:rPr>
          <w:rFonts w:hint="eastAsia" w:ascii="宋体" w:hAnsi="宋体"/>
          <w:sz w:val="24"/>
          <w:szCs w:val="24"/>
        </w:rPr>
      </w:pPr>
    </w:p>
    <w:p w14:paraId="2377AEC5">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lang w:val="en-US" w:eastAsia="zh-CN"/>
        </w:rPr>
        <w:t>机房装修</w:t>
      </w:r>
    </w:p>
    <w:p w14:paraId="7F9232E8">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lang w:val="en-US" w:eastAsia="zh-CN"/>
        </w:rPr>
        <w:t>电气工程</w:t>
      </w:r>
    </w:p>
    <w:p w14:paraId="47ABF862">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lang w:val="en-US" w:eastAsia="zh-CN"/>
        </w:rPr>
        <w:t>防雷接地</w:t>
      </w:r>
    </w:p>
    <w:p w14:paraId="5F53091E">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rPr>
        <w:t>窗户封堵</w:t>
      </w:r>
    </w:p>
    <w:p w14:paraId="3F7CFE23">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lang w:val="en-US" w:eastAsia="zh-CN"/>
        </w:rPr>
        <w:t>新风排风</w:t>
      </w:r>
    </w:p>
    <w:p w14:paraId="3BFB0DA4">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lang w:val="en-US" w:eastAsia="zh-CN"/>
        </w:rPr>
        <w:t>精密空调</w:t>
      </w:r>
    </w:p>
    <w:p w14:paraId="1D23F415">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lang w:val="en-US" w:eastAsia="zh-CN"/>
        </w:rPr>
        <w:t>消防气灭</w:t>
      </w:r>
    </w:p>
    <w:p w14:paraId="781859E5">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lang w:val="en-US" w:eastAsia="zh-CN"/>
        </w:rPr>
        <w:t>UPS电力</w:t>
      </w:r>
    </w:p>
    <w:p w14:paraId="4D27A7A1">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lang w:val="en-US" w:eastAsia="zh-CN"/>
        </w:rPr>
        <w:t>机柜、布线</w:t>
      </w:r>
    </w:p>
    <w:p w14:paraId="05BD91D1">
      <w:pPr>
        <w:pStyle w:val="2"/>
        <w:numPr>
          <w:ilvl w:val="0"/>
          <w:numId w:val="1"/>
        </w:numPr>
        <w:jc w:val="left"/>
      </w:pPr>
      <w:r>
        <w:rPr>
          <w:rFonts w:hint="eastAsia"/>
        </w:rPr>
        <w:t xml:space="preserve"> 基础网络环境改造</w:t>
      </w:r>
    </w:p>
    <w:p w14:paraId="55018CD1">
      <w:pPr>
        <w:spacing w:before="156" w:beforeLines="50" w:after="156" w:afterLines="50" w:line="360" w:lineRule="auto"/>
        <w:ind w:firstLine="480" w:firstLineChars="200"/>
        <w:rPr>
          <w:rFonts w:ascii="宋体" w:hAnsi="宋体"/>
          <w:sz w:val="24"/>
          <w:szCs w:val="24"/>
        </w:rPr>
      </w:pPr>
      <w:r>
        <w:rPr>
          <w:rFonts w:hint="eastAsia" w:ascii="宋体" w:hAnsi="宋体"/>
          <w:sz w:val="24"/>
          <w:szCs w:val="24"/>
        </w:rPr>
        <w:t>目前北京办公区员工通过无线和有线两种方式接入网络，有线网大约1</w:t>
      </w:r>
      <w:r>
        <w:rPr>
          <w:rFonts w:ascii="宋体" w:hAnsi="宋体"/>
          <w:sz w:val="24"/>
          <w:szCs w:val="24"/>
        </w:rPr>
        <w:t>0</w:t>
      </w:r>
      <w:r>
        <w:rPr>
          <w:rFonts w:hint="eastAsia" w:ascii="宋体" w:hAnsi="宋体"/>
          <w:sz w:val="24"/>
          <w:szCs w:val="24"/>
        </w:rPr>
        <w:t>年前铺设，线缆老化，部分链路不通，日常运维困难，出现链路问题时无法定位故障点；无线网络分2期建设，分别是6年前（4个ap）和</w:t>
      </w:r>
      <w:r>
        <w:rPr>
          <w:rFonts w:ascii="宋体" w:hAnsi="宋体"/>
          <w:sz w:val="24"/>
          <w:szCs w:val="24"/>
        </w:rPr>
        <w:t>2</w:t>
      </w:r>
      <w:r>
        <w:rPr>
          <w:rFonts w:hint="eastAsia" w:ascii="宋体" w:hAnsi="宋体"/>
          <w:sz w:val="24"/>
          <w:szCs w:val="24"/>
        </w:rPr>
        <w:t>年前（4个华为ap）建设，目前已经实现无死角覆盖，但存在信号干扰和速度满的情况；需要：</w:t>
      </w:r>
    </w:p>
    <w:p w14:paraId="5C0B2166">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rPr>
        <w:t>接入交换机和核心交换机更换（7台</w:t>
      </w:r>
      <w:r>
        <w:rPr>
          <w:rFonts w:ascii="宋体" w:hAnsi="宋体"/>
          <w:sz w:val="24"/>
          <w:szCs w:val="24"/>
        </w:rPr>
        <w:t>24</w:t>
      </w:r>
      <w:r>
        <w:rPr>
          <w:rFonts w:hint="eastAsia" w:ascii="宋体" w:hAnsi="宋体"/>
          <w:sz w:val="24"/>
          <w:szCs w:val="24"/>
        </w:rPr>
        <w:t>口接入、1台万兆核心）；</w:t>
      </w:r>
    </w:p>
    <w:p w14:paraId="269B67F9">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rPr>
        <w:t>网络地址段规划及划分；（办公区、服务器区、互联网出口区等）</w:t>
      </w:r>
    </w:p>
    <w:p w14:paraId="2F21CC70">
      <w:pPr>
        <w:pStyle w:val="5"/>
        <w:numPr>
          <w:ilvl w:val="0"/>
          <w:numId w:val="2"/>
        </w:numPr>
        <w:spacing w:before="156" w:beforeLines="50" w:after="156" w:afterLines="50" w:line="360" w:lineRule="auto"/>
        <w:ind w:firstLineChars="0"/>
        <w:rPr>
          <w:rFonts w:ascii="宋体" w:hAnsi="宋体"/>
          <w:sz w:val="24"/>
          <w:szCs w:val="24"/>
        </w:rPr>
      </w:pPr>
      <w:r>
        <w:rPr>
          <w:rFonts w:hint="eastAsia" w:ascii="宋体" w:hAnsi="宋体"/>
          <w:sz w:val="24"/>
          <w:szCs w:val="24"/>
        </w:rPr>
        <w:t>基础网管功能启用，实现端口、链路状态可视，能快速定位风险及故障；</w:t>
      </w:r>
    </w:p>
    <w:p w14:paraId="5508658F">
      <w:pPr>
        <w:pStyle w:val="5"/>
        <w:numPr>
          <w:ilvl w:val="0"/>
          <w:numId w:val="2"/>
        </w:numPr>
        <w:spacing w:before="156" w:beforeLines="50" w:after="156" w:afterLines="50" w:line="360" w:lineRule="auto"/>
        <w:ind w:firstLineChars="0"/>
      </w:pPr>
      <w:r>
        <w:rPr>
          <w:rFonts w:hint="eastAsia" w:ascii="宋体" w:hAnsi="宋体"/>
          <w:sz w:val="24"/>
          <w:szCs w:val="24"/>
        </w:rPr>
        <w:t>武汉分支机构安全、稳定接入北京办公区网络；</w:t>
      </w:r>
    </w:p>
    <w:p w14:paraId="58DFF5A4">
      <w:pPr>
        <w:pStyle w:val="5"/>
        <w:numPr>
          <w:ilvl w:val="0"/>
          <w:numId w:val="2"/>
        </w:numPr>
        <w:spacing w:before="156" w:beforeLines="50" w:after="156" w:afterLines="50" w:line="360" w:lineRule="auto"/>
        <w:ind w:firstLineChars="0"/>
      </w:pPr>
      <w:r>
        <w:rPr>
          <w:rFonts w:hint="eastAsia"/>
          <w:lang w:val="en-US" w:eastAsia="zh-CN"/>
        </w:rPr>
        <w:t>无线覆盖更新，AC一套、AP 8台；</w:t>
      </w:r>
    </w:p>
    <w:p w14:paraId="7A7EB600">
      <w:pPr>
        <w:pStyle w:val="2"/>
        <w:numPr>
          <w:ilvl w:val="0"/>
          <w:numId w:val="1"/>
        </w:numPr>
        <w:jc w:val="left"/>
        <w:rPr>
          <w:rFonts w:hint="eastAsia"/>
        </w:rPr>
      </w:pPr>
      <w:r>
        <w:rPr>
          <w:rFonts w:hint="eastAsia"/>
          <w:lang w:val="en-US" w:eastAsia="zh-CN"/>
        </w:rPr>
        <w:t>内线电话（工作座机）更新</w:t>
      </w:r>
      <w:r>
        <w:rPr>
          <w:rFonts w:hint="eastAsia"/>
        </w:rPr>
        <w:t xml:space="preserve"> </w:t>
      </w:r>
    </w:p>
    <w:p w14:paraId="4C733337">
      <w:pPr>
        <w:spacing w:before="156" w:beforeLines="50" w:after="156" w:afterLines="50" w:line="360" w:lineRule="auto"/>
        <w:ind w:firstLine="480" w:firstLineChars="200"/>
        <w:rPr>
          <w:rFonts w:hint="eastAsia" w:ascii="宋体" w:hAnsi="宋体"/>
          <w:sz w:val="24"/>
          <w:szCs w:val="24"/>
        </w:rPr>
      </w:pPr>
      <w:r>
        <w:rPr>
          <w:rFonts w:hint="eastAsia" w:ascii="宋体" w:hAnsi="宋体"/>
          <w:sz w:val="24"/>
          <w:szCs w:val="24"/>
          <w:lang w:val="en-US" w:eastAsia="zh-CN"/>
        </w:rPr>
        <w:t>电话</w:t>
      </w:r>
      <w:r>
        <w:rPr>
          <w:rFonts w:hint="eastAsia" w:ascii="宋体" w:hAnsi="宋体"/>
          <w:sz w:val="24"/>
          <w:szCs w:val="24"/>
        </w:rPr>
        <w:t>网大约10年前铺设，线缆老化，部分链路不通，日常运维困难，出现链路问题时无法定位故障点；</w:t>
      </w:r>
    </w:p>
    <w:p w14:paraId="5F6A975D">
      <w:pPr>
        <w:spacing w:before="156" w:beforeLines="50" w:after="156" w:afterLines="50" w:line="360" w:lineRule="auto"/>
        <w:ind w:firstLine="480" w:firstLineChars="200"/>
        <w:rPr>
          <w:rFonts w:hint="default" w:ascii="宋体" w:hAnsi="宋体"/>
          <w:sz w:val="24"/>
          <w:szCs w:val="24"/>
          <w:lang w:val="en-US" w:eastAsia="zh-CN"/>
        </w:rPr>
      </w:pPr>
      <w:r>
        <w:rPr>
          <w:rFonts w:hint="eastAsia" w:ascii="宋体" w:hAnsi="宋体"/>
          <w:sz w:val="24"/>
          <w:szCs w:val="24"/>
          <w:lang w:val="en-US" w:eastAsia="zh-CN"/>
        </w:rPr>
        <w:t>本次建设使用无线wifi座机替换现有座机，满足日常内部通讯需求。</w:t>
      </w:r>
    </w:p>
    <w:p w14:paraId="4DAE7CDC">
      <w:pPr>
        <w:pStyle w:val="5"/>
        <w:numPr>
          <w:ilvl w:val="0"/>
          <w:numId w:val="0"/>
        </w:numPr>
        <w:spacing w:before="156" w:beforeLines="50" w:after="156" w:afterLines="50" w:line="360" w:lineRule="auto"/>
      </w:pPr>
    </w:p>
    <w:p w14:paraId="6C53BD21">
      <w:pPr>
        <w:pStyle w:val="2"/>
        <w:numPr>
          <w:ilvl w:val="0"/>
          <w:numId w:val="1"/>
        </w:numPr>
        <w:jc w:val="left"/>
        <w:rPr>
          <w:highlight w:val="yellow"/>
        </w:rPr>
      </w:pPr>
      <w:r>
        <w:rPr>
          <w:rFonts w:hint="eastAsia"/>
          <w:highlight w:val="yellow"/>
        </w:rPr>
        <w:t xml:space="preserve"> </w:t>
      </w:r>
      <w:r>
        <w:rPr>
          <w:rFonts w:hint="eastAsia"/>
          <w:highlight w:val="yellow"/>
          <w:lang w:val="en-US" w:eastAsia="zh-CN"/>
        </w:rPr>
        <w:t>私有云</w:t>
      </w:r>
      <w:r>
        <w:rPr>
          <w:rFonts w:hint="eastAsia"/>
          <w:highlight w:val="yellow"/>
        </w:rPr>
        <w:t>平台建设</w:t>
      </w:r>
    </w:p>
    <w:p w14:paraId="255975B4">
      <w:pPr>
        <w:spacing w:before="156" w:beforeLines="50" w:after="156" w:afterLines="50" w:line="360" w:lineRule="auto"/>
        <w:ind w:firstLine="480" w:firstLineChars="200"/>
        <w:rPr>
          <w:rFonts w:hint="eastAsia" w:ascii="宋体" w:hAnsi="宋体"/>
          <w:sz w:val="24"/>
          <w:szCs w:val="24"/>
        </w:rPr>
      </w:pPr>
      <w:r>
        <w:rPr>
          <w:rFonts w:hint="eastAsia" w:ascii="宋体" w:hAnsi="宋体"/>
          <w:sz w:val="24"/>
          <w:szCs w:val="24"/>
        </w:rPr>
        <w:t>现有服务器老化，大部分服务器已在线运行5年以上，有些甚至超过8年；传统烟囱式的硬件建设，导致服务器资源利用率低下、冗余度差，给业务运行带来很大安全隐患；新业务上线，无法再增加物理服务器，空间不足、电力不足；各种文件无统一管理平台，分布在各系统和存储上，效率低、风险高；需要：</w:t>
      </w:r>
    </w:p>
    <w:p w14:paraId="0E40CA42">
      <w:pPr>
        <w:spacing w:before="156" w:beforeLines="50" w:after="156" w:afterLines="50" w:line="360" w:lineRule="auto"/>
        <w:ind w:firstLine="480" w:firstLineChars="200"/>
        <w:rPr>
          <w:rFonts w:hint="eastAsia" w:ascii="宋体" w:hAnsi="宋体"/>
          <w:sz w:val="24"/>
          <w:szCs w:val="24"/>
          <w:lang w:eastAsia="zh-CN"/>
        </w:rPr>
      </w:pPr>
      <w:r>
        <w:rPr>
          <w:rFonts w:hint="eastAsia" w:ascii="宋体" w:hAnsi="宋体"/>
          <w:sz w:val="24"/>
          <w:szCs w:val="24"/>
          <w:lang w:val="en-US" w:eastAsia="zh-CN"/>
        </w:rPr>
        <w:t>建设一套私有云平台，采用存算分离的架构，前端采用</w:t>
      </w:r>
      <w:r>
        <w:rPr>
          <w:rFonts w:hint="eastAsia" w:ascii="宋体" w:hAnsi="宋体"/>
          <w:sz w:val="24"/>
          <w:szCs w:val="24"/>
        </w:rPr>
        <w:t>服务器虚拟化、</w:t>
      </w:r>
      <w:r>
        <w:rPr>
          <w:rFonts w:hint="eastAsia" w:ascii="宋体" w:hAnsi="宋体"/>
          <w:sz w:val="24"/>
          <w:szCs w:val="24"/>
          <w:lang w:val="en-US" w:eastAsia="zh-CN"/>
        </w:rPr>
        <w:t>网络</w:t>
      </w:r>
      <w:r>
        <w:rPr>
          <w:rFonts w:hint="eastAsia" w:ascii="宋体" w:hAnsi="宋体"/>
          <w:sz w:val="24"/>
          <w:szCs w:val="24"/>
        </w:rPr>
        <w:t>虚拟化</w:t>
      </w:r>
      <w:r>
        <w:rPr>
          <w:rFonts w:hint="eastAsia" w:ascii="宋体" w:hAnsi="宋体"/>
          <w:sz w:val="24"/>
          <w:szCs w:val="24"/>
          <w:lang w:val="en-US" w:eastAsia="zh-CN"/>
        </w:rPr>
        <w:t>技术提供算力平台，后端存储采用分布式存储架构（支持块、文件、对象存储等多种协议</w:t>
      </w:r>
      <w:r>
        <w:rPr>
          <w:rFonts w:hint="eastAsia" w:ascii="宋体" w:hAnsi="宋体"/>
          <w:sz w:val="24"/>
          <w:szCs w:val="24"/>
        </w:rPr>
        <w:t>）</w:t>
      </w:r>
      <w:r>
        <w:rPr>
          <w:rFonts w:hint="eastAsia" w:ascii="宋体" w:hAnsi="宋体"/>
          <w:sz w:val="24"/>
          <w:szCs w:val="24"/>
          <w:lang w:eastAsia="zh-CN"/>
        </w:rPr>
        <w:t>；</w:t>
      </w:r>
    </w:p>
    <w:p w14:paraId="3A3414F9">
      <w:pPr>
        <w:spacing w:before="156" w:beforeLines="50" w:after="156" w:afterLines="50" w:line="360" w:lineRule="auto"/>
        <w:ind w:firstLine="480" w:firstLineChars="200"/>
        <w:rPr>
          <w:rFonts w:hint="eastAsia" w:ascii="宋体" w:hAnsi="宋体"/>
          <w:sz w:val="24"/>
          <w:szCs w:val="24"/>
          <w:lang w:val="en-US" w:eastAsia="zh-CN"/>
        </w:rPr>
      </w:pPr>
      <w:r>
        <w:rPr>
          <w:rFonts w:hint="eastAsia" w:ascii="宋体" w:hAnsi="宋体"/>
          <w:sz w:val="24"/>
          <w:szCs w:val="24"/>
          <w:lang w:val="en-US" w:eastAsia="zh-CN"/>
        </w:rPr>
        <w:t>部署云管平台对计算、网络、存储资源进行高效管理；</w:t>
      </w:r>
    </w:p>
    <w:p w14:paraId="3D69403F">
      <w:pPr>
        <w:spacing w:before="156" w:beforeLines="50" w:after="156" w:afterLines="50" w:line="360" w:lineRule="auto"/>
        <w:ind w:firstLine="480" w:firstLineChars="200"/>
        <w:rPr>
          <w:rFonts w:hint="default" w:ascii="宋体" w:hAnsi="宋体"/>
          <w:sz w:val="24"/>
          <w:szCs w:val="24"/>
          <w:lang w:val="en-US" w:eastAsia="zh-CN"/>
        </w:rPr>
      </w:pPr>
      <w:r>
        <w:rPr>
          <w:rFonts w:hint="eastAsia" w:ascii="宋体" w:hAnsi="宋体"/>
          <w:sz w:val="24"/>
          <w:szCs w:val="24"/>
          <w:lang w:val="en-US" w:eastAsia="zh-CN"/>
        </w:rPr>
        <w:t>支持云上、云下快速迁移，对于私有云平台的资源可快速备份到托管云平台，实现应用机容灾；对于私有云平台上的互联网类型业务可平滑迁移到托管云平台，实现私有云、托管云统一资源管理、调配。</w:t>
      </w:r>
      <w:bookmarkStart w:id="0" w:name="_GoBack"/>
      <w:bookmarkEnd w:id="0"/>
    </w:p>
    <w:p w14:paraId="152B4156">
      <w:pPr>
        <w:pStyle w:val="2"/>
        <w:numPr>
          <w:ilvl w:val="0"/>
          <w:numId w:val="1"/>
        </w:numPr>
        <w:jc w:val="left"/>
        <w:rPr>
          <w:highlight w:val="yellow"/>
        </w:rPr>
      </w:pPr>
      <w:r>
        <w:rPr>
          <w:rFonts w:hint="eastAsia"/>
          <w:highlight w:val="yellow"/>
        </w:rPr>
        <w:t xml:space="preserve"> 信息安全建设</w:t>
      </w:r>
    </w:p>
    <w:p w14:paraId="1BC1FDCF">
      <w:pPr>
        <w:spacing w:before="156" w:beforeLines="50" w:after="156" w:afterLines="50" w:line="360" w:lineRule="auto"/>
        <w:ind w:left="420" w:firstLine="480" w:firstLineChars="200"/>
        <w:rPr>
          <w:rFonts w:ascii="宋体" w:hAnsi="宋体"/>
          <w:sz w:val="24"/>
          <w:szCs w:val="24"/>
        </w:rPr>
      </w:pPr>
      <w:r>
        <w:rPr>
          <w:rFonts w:hint="eastAsia" w:ascii="宋体" w:hAnsi="宋体"/>
          <w:sz w:val="24"/>
          <w:szCs w:val="24"/>
        </w:rPr>
        <w:t>随着5</w:t>
      </w:r>
      <w:r>
        <w:rPr>
          <w:rFonts w:ascii="宋体" w:hAnsi="宋体"/>
          <w:sz w:val="24"/>
          <w:szCs w:val="24"/>
        </w:rPr>
        <w:t>G</w:t>
      </w:r>
      <w:r>
        <w:rPr>
          <w:rFonts w:hint="eastAsia" w:ascii="宋体" w:hAnsi="宋体"/>
          <w:sz w:val="24"/>
          <w:szCs w:val="24"/>
        </w:rPr>
        <w:t>、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w:t>
      </w:r>
      <w:r>
        <w:rPr>
          <w:rFonts w:hint="eastAsia" w:ascii="宋体" w:hAnsi="宋体"/>
          <w:sz w:val="24"/>
          <w:szCs w:val="24"/>
          <w:lang w:val="en-US" w:eastAsia="zh-CN"/>
        </w:rPr>
        <w:t>按照二级等保标准进行安全建设</w:t>
      </w:r>
      <w:r>
        <w:rPr>
          <w:rFonts w:hint="eastAsia" w:ascii="宋体" w:hAnsi="宋体"/>
          <w:sz w:val="24"/>
          <w:szCs w:val="24"/>
        </w:rPr>
        <w:t>：</w:t>
      </w:r>
    </w:p>
    <w:p w14:paraId="5560641C">
      <w:pPr>
        <w:pStyle w:val="5"/>
        <w:numPr>
          <w:ilvl w:val="0"/>
          <w:numId w:val="3"/>
        </w:numPr>
        <w:spacing w:before="156" w:beforeLines="50" w:after="156" w:afterLines="50" w:line="360" w:lineRule="auto"/>
        <w:ind w:firstLineChars="0"/>
        <w:rPr>
          <w:rFonts w:ascii="宋体" w:hAnsi="宋体"/>
          <w:sz w:val="24"/>
          <w:szCs w:val="24"/>
        </w:rPr>
      </w:pPr>
      <w:r>
        <w:rPr>
          <w:rFonts w:hint="eastAsia" w:ascii="宋体" w:hAnsi="宋体"/>
          <w:sz w:val="24"/>
          <w:szCs w:val="24"/>
        </w:rPr>
        <w:t>部署互联网出口防火墙</w:t>
      </w:r>
    </w:p>
    <w:p w14:paraId="6E96F1A3">
      <w:pPr>
        <w:pStyle w:val="5"/>
        <w:numPr>
          <w:ilvl w:val="0"/>
          <w:numId w:val="3"/>
        </w:numPr>
        <w:spacing w:before="156" w:beforeLines="50" w:after="156" w:afterLines="50" w:line="360" w:lineRule="auto"/>
        <w:ind w:firstLineChars="0"/>
        <w:rPr>
          <w:rFonts w:ascii="宋体" w:hAnsi="宋体"/>
          <w:sz w:val="24"/>
          <w:szCs w:val="24"/>
        </w:rPr>
      </w:pPr>
      <w:r>
        <w:rPr>
          <w:rFonts w:hint="eastAsia" w:ascii="宋体" w:hAnsi="宋体"/>
          <w:sz w:val="24"/>
          <w:szCs w:val="24"/>
        </w:rPr>
        <w:t>部署</w:t>
      </w:r>
      <w:r>
        <w:rPr>
          <w:rFonts w:hint="eastAsia" w:ascii="宋体" w:hAnsi="宋体"/>
          <w:sz w:val="24"/>
          <w:szCs w:val="24"/>
          <w:lang w:val="en-US" w:eastAsia="zh-CN"/>
        </w:rPr>
        <w:t>上网行为管理</w:t>
      </w:r>
    </w:p>
    <w:p w14:paraId="7F1EFCC9">
      <w:pPr>
        <w:pStyle w:val="5"/>
        <w:numPr>
          <w:ilvl w:val="0"/>
          <w:numId w:val="3"/>
        </w:numPr>
        <w:spacing w:before="156" w:beforeLines="50" w:after="156" w:afterLines="50" w:line="360" w:lineRule="auto"/>
        <w:ind w:firstLineChars="0"/>
        <w:rPr>
          <w:rFonts w:ascii="宋体" w:hAnsi="宋体"/>
          <w:sz w:val="24"/>
          <w:szCs w:val="24"/>
        </w:rPr>
      </w:pPr>
      <w:r>
        <w:rPr>
          <w:rFonts w:hint="eastAsia" w:ascii="宋体" w:hAnsi="宋体"/>
          <w:sz w:val="24"/>
          <w:szCs w:val="24"/>
          <w:lang w:val="en-US" w:eastAsia="zh-CN"/>
        </w:rPr>
        <w:t>在云平台中部署安全资源池，提供日志审计、堡垒机、零信任、区域防火墙、入侵检测等功能组件</w:t>
      </w:r>
    </w:p>
    <w:p w14:paraId="0573135E">
      <w:pPr>
        <w:pStyle w:val="5"/>
        <w:numPr>
          <w:ilvl w:val="0"/>
          <w:numId w:val="3"/>
        </w:numPr>
        <w:spacing w:before="156" w:beforeLines="50" w:after="156" w:afterLines="50" w:line="360" w:lineRule="auto"/>
        <w:ind w:firstLineChars="0"/>
        <w:rPr>
          <w:rFonts w:ascii="宋体" w:hAnsi="宋体"/>
          <w:sz w:val="24"/>
          <w:szCs w:val="24"/>
        </w:rPr>
      </w:pPr>
      <w:r>
        <w:rPr>
          <w:rFonts w:hint="eastAsia" w:ascii="宋体" w:hAnsi="宋体"/>
          <w:sz w:val="24"/>
          <w:szCs w:val="24"/>
        </w:rPr>
        <w:t>部署E</w:t>
      </w:r>
      <w:r>
        <w:rPr>
          <w:rFonts w:ascii="宋体" w:hAnsi="宋体"/>
          <w:sz w:val="24"/>
          <w:szCs w:val="24"/>
        </w:rPr>
        <w:t>DR</w:t>
      </w:r>
      <w:r>
        <w:rPr>
          <w:rFonts w:hint="eastAsia" w:ascii="宋体" w:hAnsi="宋体"/>
          <w:sz w:val="24"/>
          <w:szCs w:val="24"/>
        </w:rPr>
        <w:t>终端安全管理模块</w:t>
      </w:r>
    </w:p>
    <w:p w14:paraId="58286466">
      <w:pPr>
        <w:pStyle w:val="5"/>
        <w:numPr>
          <w:ilvl w:val="0"/>
          <w:numId w:val="3"/>
        </w:numPr>
        <w:spacing w:before="156" w:beforeLines="50" w:after="156" w:afterLines="50" w:line="360" w:lineRule="auto"/>
        <w:ind w:firstLineChars="0"/>
        <w:rPr>
          <w:rFonts w:ascii="宋体" w:hAnsi="宋体"/>
          <w:sz w:val="24"/>
          <w:szCs w:val="24"/>
        </w:rPr>
      </w:pPr>
      <w:r>
        <w:rPr>
          <w:rFonts w:hint="eastAsia" w:ascii="宋体" w:hAnsi="宋体"/>
          <w:sz w:val="24"/>
          <w:szCs w:val="24"/>
        </w:rPr>
        <w:t xml:space="preserve">部署备份平台，定期进行恢复测试 </w:t>
      </w:r>
    </w:p>
    <w:p w14:paraId="2E15BDA1">
      <w:pPr>
        <w:pStyle w:val="5"/>
        <w:numPr>
          <w:ilvl w:val="0"/>
          <w:numId w:val="3"/>
        </w:numPr>
        <w:spacing w:before="156" w:beforeLines="50" w:after="156" w:afterLines="50" w:line="360" w:lineRule="auto"/>
        <w:ind w:firstLineChars="0"/>
        <w:rPr>
          <w:rFonts w:ascii="宋体" w:hAnsi="宋体"/>
          <w:sz w:val="24"/>
          <w:szCs w:val="24"/>
        </w:rPr>
      </w:pPr>
      <w:r>
        <w:rPr>
          <w:rFonts w:hint="eastAsia" w:ascii="宋体" w:hAnsi="宋体"/>
          <w:sz w:val="24"/>
          <w:szCs w:val="24"/>
        </w:rPr>
        <w:t xml:space="preserve">引入漏洞扫描、风险评估等安全服务 </w:t>
      </w:r>
    </w:p>
    <w:p w14:paraId="7D4C862A">
      <w:pPr>
        <w:spacing w:line="360" w:lineRule="auto"/>
        <w:rPr>
          <w:sz w:val="24"/>
        </w:rPr>
      </w:pPr>
    </w:p>
    <w:p w14:paraId="0439EB4B">
      <w:pPr>
        <w:spacing w:before="156" w:beforeLines="50" w:after="156" w:afterLines="50" w:line="360" w:lineRule="auto"/>
        <w:ind w:left="861" w:hanging="861" w:hangingChars="286"/>
        <w:outlineLvl w:val="2"/>
        <w:rPr>
          <w:rFonts w:hint="eastAsia" w:ascii="宋体" w:hAnsi="宋体" w:eastAsia="宋体" w:cs="Times New Roman"/>
          <w:b/>
          <w:sz w:val="30"/>
          <w:szCs w:val="30"/>
          <w:lang w:val="en-US" w:eastAsia="zh-CN"/>
        </w:rPr>
      </w:pPr>
      <w:r>
        <w:rPr>
          <w:rFonts w:hint="eastAsia" w:ascii="宋体" w:hAnsi="宋体" w:eastAsia="宋体" w:cs="Times New Roman"/>
          <w:b/>
          <w:sz w:val="30"/>
          <w:szCs w:val="30"/>
          <w:lang w:val="en-US" w:eastAsia="zh-CN"/>
        </w:rPr>
        <w:t>三、需求清单</w:t>
      </w:r>
    </w:p>
    <w:p w14:paraId="48E8F0E1">
      <w:pPr>
        <w:spacing w:line="360" w:lineRule="auto"/>
        <w:rPr>
          <w:rFonts w:hint="eastAsia"/>
          <w:sz w:val="24"/>
          <w:lang w:val="en-US" w:eastAsia="zh-CN"/>
        </w:rPr>
      </w:pPr>
      <w:r>
        <w:rPr>
          <w:rFonts w:hint="eastAsia"/>
          <w:sz w:val="24"/>
          <w:lang w:val="en-US" w:eastAsia="zh-CN"/>
        </w:rPr>
        <w:t>3.1 交换机</w:t>
      </w:r>
    </w:p>
    <w:tbl>
      <w:tblPr>
        <w:tblStyle w:val="3"/>
        <w:tblW w:w="823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8"/>
        <w:gridCol w:w="2174"/>
        <w:gridCol w:w="4414"/>
        <w:gridCol w:w="548"/>
        <w:gridCol w:w="548"/>
      </w:tblGrid>
      <w:tr w14:paraId="08B9C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220D9802">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序号</w:t>
            </w:r>
          </w:p>
        </w:tc>
        <w:tc>
          <w:tcPr>
            <w:tcW w:w="2177"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5E5C8245">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产品名称</w:t>
            </w:r>
          </w:p>
        </w:tc>
        <w:tc>
          <w:tcPr>
            <w:tcW w:w="441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A984A90">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产品说明</w:t>
            </w:r>
          </w:p>
        </w:tc>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4DBB29F4">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数量</w:t>
            </w:r>
          </w:p>
        </w:tc>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DC3549D">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单位</w:t>
            </w:r>
          </w:p>
        </w:tc>
      </w:tr>
      <w:tr w14:paraId="19A8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151D8C9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036215F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2284471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3F5374C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AB29AD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台</w:t>
            </w:r>
          </w:p>
        </w:tc>
      </w:tr>
      <w:tr w14:paraId="17B7B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7E0B850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2F6CD2B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接入交换机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B01D47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55BB6E7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2E2329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台</w:t>
            </w:r>
          </w:p>
        </w:tc>
      </w:tr>
      <w:tr w14:paraId="682F0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52096CC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458D79A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核心交换机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4FCFB4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484B1BE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6D37583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台</w:t>
            </w:r>
          </w:p>
        </w:tc>
      </w:tr>
      <w:tr w14:paraId="73450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6D7DDD2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31E8995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POE交换机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635399F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65F78F0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07B98ED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台</w:t>
            </w:r>
          </w:p>
        </w:tc>
      </w:tr>
      <w:tr w14:paraId="397AD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2B2FE59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76BF237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无线AC控制器</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3D92188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5E0D2B4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18CC870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台</w:t>
            </w:r>
          </w:p>
        </w:tc>
      </w:tr>
      <w:tr w14:paraId="776A1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1C1ACF4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3E8DE02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无线AP</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CBAFC6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E9615D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5CCE56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台</w:t>
            </w:r>
          </w:p>
        </w:tc>
      </w:tr>
    </w:tbl>
    <w:p w14:paraId="6673EA7E">
      <w:pPr>
        <w:spacing w:line="360" w:lineRule="auto"/>
        <w:rPr>
          <w:rFonts w:hint="eastAsia"/>
          <w:sz w:val="24"/>
          <w:lang w:val="en-US" w:eastAsia="zh-CN"/>
        </w:rPr>
      </w:pPr>
      <w:r>
        <w:rPr>
          <w:rFonts w:hint="eastAsia"/>
          <w:sz w:val="24"/>
          <w:lang w:val="en-US" w:eastAsia="zh-CN"/>
        </w:rPr>
        <w:t xml:space="preserve"> </w:t>
      </w:r>
    </w:p>
    <w:p w14:paraId="45DF5784">
      <w:pPr>
        <w:numPr>
          <w:ilvl w:val="0"/>
          <w:numId w:val="0"/>
        </w:numPr>
        <w:spacing w:line="360" w:lineRule="auto"/>
        <w:ind w:leftChars="0"/>
        <w:rPr>
          <w:rFonts w:hint="eastAsia"/>
          <w:sz w:val="24"/>
          <w:lang w:val="en-US" w:eastAsia="zh-CN"/>
        </w:rPr>
      </w:pPr>
      <w:r>
        <w:rPr>
          <w:rFonts w:hint="eastAsia"/>
          <w:sz w:val="24"/>
          <w:lang w:val="en-US" w:eastAsia="zh-CN"/>
        </w:rPr>
        <w:t>3.2 语音电话</w:t>
      </w:r>
    </w:p>
    <w:tbl>
      <w:tblPr>
        <w:tblStyle w:val="3"/>
        <w:tblW w:w="849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9"/>
        <w:gridCol w:w="5245"/>
        <w:gridCol w:w="634"/>
        <w:gridCol w:w="716"/>
      </w:tblGrid>
      <w:tr w14:paraId="22256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899" w:type="dxa"/>
            <w:tcBorders>
              <w:top w:val="single" w:color="000000" w:sz="4" w:space="0"/>
              <w:left w:val="single" w:color="000000" w:sz="4" w:space="0"/>
              <w:bottom w:val="single" w:color="000000" w:sz="4" w:space="0"/>
              <w:right w:val="single" w:color="000000" w:sz="4" w:space="0"/>
            </w:tcBorders>
            <w:shd w:val="clear" w:color="auto" w:fill="C0C0C0"/>
            <w:noWrap w:val="0"/>
            <w:vAlign w:val="center"/>
          </w:tcPr>
          <w:p w14:paraId="43EB9DAD">
            <w:pPr>
              <w:keepNext w:val="0"/>
              <w:keepLines w:val="0"/>
              <w:widowControl/>
              <w:suppressLineNumbers w:val="0"/>
              <w:jc w:val="center"/>
              <w:textAlignment w:val="center"/>
              <w:rPr>
                <w:rFonts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产品名称</w:t>
            </w:r>
          </w:p>
        </w:tc>
        <w:tc>
          <w:tcPr>
            <w:tcW w:w="5245" w:type="dxa"/>
            <w:tcBorders>
              <w:top w:val="single" w:color="000000" w:sz="4" w:space="0"/>
              <w:left w:val="single" w:color="000000" w:sz="4" w:space="0"/>
              <w:bottom w:val="single" w:color="000000" w:sz="4" w:space="0"/>
              <w:right w:val="single" w:color="000000" w:sz="4" w:space="0"/>
            </w:tcBorders>
            <w:shd w:val="clear" w:color="auto" w:fill="C0C0C0"/>
            <w:noWrap w:val="0"/>
            <w:vAlign w:val="center"/>
          </w:tcPr>
          <w:p w14:paraId="06879AB1">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产品描述</w:t>
            </w:r>
          </w:p>
        </w:tc>
        <w:tc>
          <w:tcPr>
            <w:tcW w:w="634" w:type="dxa"/>
            <w:tcBorders>
              <w:top w:val="single" w:color="000000" w:sz="4" w:space="0"/>
              <w:left w:val="single" w:color="000000" w:sz="4" w:space="0"/>
              <w:bottom w:val="single" w:color="000000" w:sz="4" w:space="0"/>
              <w:right w:val="single" w:color="000000" w:sz="4" w:space="0"/>
            </w:tcBorders>
            <w:shd w:val="clear" w:color="auto" w:fill="C0C0C0"/>
            <w:noWrap w:val="0"/>
            <w:vAlign w:val="center"/>
          </w:tcPr>
          <w:p w14:paraId="33BD791B">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单位</w:t>
            </w:r>
          </w:p>
        </w:tc>
        <w:tc>
          <w:tcPr>
            <w:tcW w:w="716" w:type="dxa"/>
            <w:tcBorders>
              <w:top w:val="single" w:color="000000" w:sz="4" w:space="0"/>
              <w:left w:val="single" w:color="000000" w:sz="4" w:space="0"/>
              <w:bottom w:val="single" w:color="000000" w:sz="4" w:space="0"/>
              <w:right w:val="single" w:color="000000" w:sz="4" w:space="0"/>
            </w:tcBorders>
            <w:shd w:val="clear" w:color="auto" w:fill="C0C0C0"/>
            <w:noWrap w:val="0"/>
            <w:vAlign w:val="center"/>
          </w:tcPr>
          <w:p w14:paraId="4E577D5B">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数量</w:t>
            </w:r>
          </w:p>
        </w:tc>
      </w:tr>
      <w:tr w14:paraId="1D3D9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0" w:hRule="atLeast"/>
        </w:trPr>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198CF4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统一通信网关</w:t>
            </w:r>
          </w:p>
        </w:tc>
        <w:tc>
          <w:tcPr>
            <w:tcW w:w="5245" w:type="dxa"/>
            <w:tcBorders>
              <w:top w:val="single" w:color="000000" w:sz="4" w:space="0"/>
              <w:left w:val="single" w:color="000000" w:sz="4" w:space="0"/>
              <w:bottom w:val="single" w:color="000000" w:sz="4" w:space="0"/>
              <w:right w:val="single" w:color="000000" w:sz="4" w:space="0"/>
            </w:tcBorders>
            <w:noWrap w:val="0"/>
            <w:vAlign w:val="center"/>
          </w:tcPr>
          <w:p w14:paraId="66E91956">
            <w:pPr>
              <w:keepNext w:val="0"/>
              <w:keepLines w:val="0"/>
              <w:widowControl/>
              <w:suppressLineNumbers w:val="0"/>
              <w:jc w:val="left"/>
              <w:textAlignment w:val="center"/>
              <w:rPr>
                <w:rFonts w:hint="eastAsia" w:ascii="微软雅黑" w:hAnsi="微软雅黑" w:eastAsia="微软雅黑" w:cs="微软雅黑"/>
                <w:i w:val="0"/>
                <w:iCs w:val="0"/>
                <w:color w:val="000000"/>
                <w:sz w:val="20"/>
                <w:szCs w:val="20"/>
                <w:u w:val="none"/>
              </w:rPr>
            </w:pPr>
            <w:r>
              <w:rPr>
                <w:rStyle w:val="6"/>
                <w:lang w:val="en-US" w:eastAsia="zh-CN" w:bidi="ar"/>
              </w:rPr>
              <w:t>2U中小容量分体式统一通信网关，</w:t>
            </w:r>
            <w:r>
              <w:rPr>
                <w:rStyle w:val="7"/>
                <w:lang w:val="en-US" w:eastAsia="zh-CN" w:bidi="ar"/>
              </w:rPr>
              <w:t>双主控，双电源模块</w:t>
            </w:r>
            <w:r>
              <w:rPr>
                <w:rStyle w:val="6"/>
                <w:lang w:val="en-US" w:eastAsia="zh-CN" w:bidi="ar"/>
              </w:rPr>
              <w:t>，单框最大192个FXS口或32个E1口，也可搭配SU-DT-SDH板卡组成最大126路光口E1，4个千兆网口，用于双主控备份，默认含96个融合通信用户许可，最高支持5000线注册容量，支持500路并发</w:t>
            </w:r>
          </w:p>
        </w:tc>
        <w:tc>
          <w:tcPr>
            <w:tcW w:w="634" w:type="dxa"/>
            <w:tcBorders>
              <w:top w:val="single" w:color="000000" w:sz="4" w:space="0"/>
              <w:left w:val="single" w:color="000000" w:sz="4" w:space="0"/>
              <w:bottom w:val="single" w:color="000000" w:sz="4" w:space="0"/>
              <w:right w:val="single" w:color="000000" w:sz="4" w:space="0"/>
            </w:tcBorders>
            <w:noWrap w:val="0"/>
            <w:vAlign w:val="center"/>
          </w:tcPr>
          <w:p w14:paraId="7B55F6A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台</w:t>
            </w:r>
          </w:p>
        </w:tc>
        <w:tc>
          <w:tcPr>
            <w:tcW w:w="716" w:type="dxa"/>
            <w:tcBorders>
              <w:top w:val="single" w:color="000000" w:sz="4" w:space="0"/>
              <w:left w:val="single" w:color="000000" w:sz="4" w:space="0"/>
              <w:bottom w:val="single" w:color="000000" w:sz="4" w:space="0"/>
              <w:right w:val="single" w:color="000000" w:sz="4" w:space="0"/>
            </w:tcBorders>
            <w:noWrap w:val="0"/>
            <w:vAlign w:val="center"/>
          </w:tcPr>
          <w:p w14:paraId="11C65FA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w:t>
            </w:r>
          </w:p>
        </w:tc>
      </w:tr>
      <w:tr w14:paraId="525F5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899" w:type="dxa"/>
            <w:tcBorders>
              <w:top w:val="single" w:color="000000" w:sz="4" w:space="0"/>
              <w:left w:val="single" w:color="000000" w:sz="4" w:space="0"/>
              <w:bottom w:val="single" w:color="000000" w:sz="4" w:space="0"/>
              <w:right w:val="single" w:color="000000" w:sz="4" w:space="0"/>
            </w:tcBorders>
            <w:noWrap w:val="0"/>
            <w:vAlign w:val="center"/>
          </w:tcPr>
          <w:p w14:paraId="19AFF9D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统一网关模拟用户板</w:t>
            </w:r>
          </w:p>
        </w:tc>
        <w:tc>
          <w:tcPr>
            <w:tcW w:w="5245" w:type="dxa"/>
            <w:tcBorders>
              <w:top w:val="single" w:color="000000" w:sz="4" w:space="0"/>
              <w:left w:val="single" w:color="000000" w:sz="4" w:space="0"/>
              <w:bottom w:val="single" w:color="000000" w:sz="4" w:space="0"/>
              <w:right w:val="single" w:color="000000" w:sz="4" w:space="0"/>
            </w:tcBorders>
            <w:noWrap w:val="0"/>
            <w:vAlign w:val="center"/>
          </w:tcPr>
          <w:p w14:paraId="647EE69B">
            <w:pPr>
              <w:keepNext w:val="0"/>
              <w:keepLines w:val="0"/>
              <w:widowControl/>
              <w:suppressLineNumbers w:val="0"/>
              <w:jc w:val="left"/>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配套模拟用户板，提供16个FXS口和16个FXO口，支持断电逃生，RJ21接口</w:t>
            </w:r>
          </w:p>
        </w:tc>
        <w:tc>
          <w:tcPr>
            <w:tcW w:w="634" w:type="dxa"/>
            <w:tcBorders>
              <w:top w:val="single" w:color="000000" w:sz="4" w:space="0"/>
              <w:left w:val="single" w:color="000000" w:sz="4" w:space="0"/>
              <w:bottom w:val="single" w:color="000000" w:sz="4" w:space="0"/>
              <w:right w:val="single" w:color="000000" w:sz="4" w:space="0"/>
            </w:tcBorders>
            <w:noWrap w:val="0"/>
            <w:vAlign w:val="center"/>
          </w:tcPr>
          <w:p w14:paraId="14D5E1C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块</w:t>
            </w:r>
          </w:p>
        </w:tc>
        <w:tc>
          <w:tcPr>
            <w:tcW w:w="716" w:type="dxa"/>
            <w:tcBorders>
              <w:top w:val="single" w:color="000000" w:sz="4" w:space="0"/>
              <w:left w:val="single" w:color="000000" w:sz="4" w:space="0"/>
              <w:bottom w:val="single" w:color="000000" w:sz="4" w:space="0"/>
              <w:right w:val="single" w:color="000000" w:sz="4" w:space="0"/>
            </w:tcBorders>
            <w:noWrap w:val="0"/>
            <w:vAlign w:val="center"/>
          </w:tcPr>
          <w:p w14:paraId="14F67BD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w:t>
            </w:r>
          </w:p>
        </w:tc>
      </w:tr>
      <w:tr w14:paraId="00425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99" w:type="dxa"/>
            <w:tcBorders>
              <w:top w:val="single" w:color="000000" w:sz="4" w:space="0"/>
              <w:left w:val="single" w:color="000000" w:sz="4" w:space="0"/>
              <w:bottom w:val="single" w:color="000000" w:sz="4" w:space="0"/>
              <w:right w:val="single" w:color="000000" w:sz="4" w:space="0"/>
            </w:tcBorders>
            <w:noWrap w:val="0"/>
            <w:vAlign w:val="center"/>
          </w:tcPr>
          <w:p w14:paraId="271094B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模拟用户线缆-10米</w:t>
            </w:r>
          </w:p>
        </w:tc>
        <w:tc>
          <w:tcPr>
            <w:tcW w:w="5245" w:type="dxa"/>
            <w:tcBorders>
              <w:top w:val="single" w:color="000000" w:sz="4" w:space="0"/>
              <w:left w:val="single" w:color="000000" w:sz="4" w:space="0"/>
              <w:bottom w:val="single" w:color="000000" w:sz="4" w:space="0"/>
              <w:right w:val="single" w:color="000000" w:sz="4" w:space="0"/>
            </w:tcBorders>
            <w:noWrap w:val="0"/>
            <w:vAlign w:val="center"/>
          </w:tcPr>
          <w:p w14:paraId="4E6CE1B4">
            <w:pPr>
              <w:keepNext w:val="0"/>
              <w:keepLines w:val="0"/>
              <w:widowControl/>
              <w:suppressLineNumbers w:val="0"/>
              <w:jc w:val="left"/>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 模拟电话线缆，RJ21接口（24路），10米（，1个RJ21接口（24路电话）使用1根</w:t>
            </w:r>
          </w:p>
        </w:tc>
        <w:tc>
          <w:tcPr>
            <w:tcW w:w="634" w:type="dxa"/>
            <w:tcBorders>
              <w:top w:val="single" w:color="000000" w:sz="4" w:space="0"/>
              <w:left w:val="single" w:color="000000" w:sz="4" w:space="0"/>
              <w:bottom w:val="single" w:color="000000" w:sz="4" w:space="0"/>
              <w:right w:val="single" w:color="000000" w:sz="4" w:space="0"/>
            </w:tcBorders>
            <w:noWrap w:val="0"/>
            <w:vAlign w:val="center"/>
          </w:tcPr>
          <w:p w14:paraId="5A5704F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根</w:t>
            </w:r>
          </w:p>
        </w:tc>
        <w:tc>
          <w:tcPr>
            <w:tcW w:w="716" w:type="dxa"/>
            <w:tcBorders>
              <w:top w:val="single" w:color="000000" w:sz="4" w:space="0"/>
              <w:left w:val="single" w:color="000000" w:sz="4" w:space="0"/>
              <w:bottom w:val="single" w:color="000000" w:sz="4" w:space="0"/>
              <w:right w:val="single" w:color="000000" w:sz="4" w:space="0"/>
            </w:tcBorders>
            <w:noWrap w:val="0"/>
            <w:vAlign w:val="center"/>
          </w:tcPr>
          <w:p w14:paraId="17A8E35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w:t>
            </w:r>
          </w:p>
        </w:tc>
      </w:tr>
      <w:tr w14:paraId="1E0D5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ECA8A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融合通信用户许可</w:t>
            </w:r>
          </w:p>
        </w:tc>
        <w:tc>
          <w:tcPr>
            <w:tcW w:w="524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F22E534">
            <w:pPr>
              <w:keepNext w:val="0"/>
              <w:keepLines w:val="0"/>
              <w:widowControl/>
              <w:suppressLineNumbers w:val="0"/>
              <w:jc w:val="left"/>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IPPBX配套的用户许可授权软件包，每包含10个授权，根据需要购买根据需要配置</w:t>
            </w:r>
          </w:p>
        </w:tc>
        <w:tc>
          <w:tcPr>
            <w:tcW w:w="63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9D09C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个</w:t>
            </w:r>
          </w:p>
        </w:tc>
        <w:tc>
          <w:tcPr>
            <w:tcW w:w="7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28E14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w:t>
            </w:r>
          </w:p>
        </w:tc>
      </w:tr>
      <w:tr w14:paraId="03875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A41D31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经典型IP话机</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（含星网物联视网网终端软件V1.0）</w:t>
            </w:r>
          </w:p>
        </w:tc>
        <w:tc>
          <w:tcPr>
            <w:tcW w:w="524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3BA9C2A">
            <w:pPr>
              <w:keepNext w:val="0"/>
              <w:keepLines w:val="0"/>
              <w:widowControl/>
              <w:suppressLineNumbers w:val="0"/>
              <w:jc w:val="left"/>
              <w:textAlignment w:val="center"/>
              <w:rPr>
                <w:rFonts w:hint="eastAsia" w:ascii="微软雅黑" w:hAnsi="微软雅黑" w:eastAsia="微软雅黑" w:cs="微软雅黑"/>
                <w:i w:val="0"/>
                <w:iCs w:val="0"/>
                <w:color w:val="000000"/>
                <w:sz w:val="20"/>
                <w:szCs w:val="20"/>
                <w:u w:val="none"/>
              </w:rPr>
            </w:pPr>
            <w:r>
              <w:rPr>
                <w:rStyle w:val="8"/>
                <w:lang w:val="en-US" w:eastAsia="zh-CN" w:bidi="ar"/>
              </w:rPr>
              <w:t>经典型IP话机，2.4英寸彩屏，6个SIP账号，双百兆网口，</w:t>
            </w:r>
            <w:r>
              <w:rPr>
                <w:rStyle w:val="7"/>
                <w:lang w:val="en-US" w:eastAsia="zh-CN" w:bidi="ar"/>
              </w:rPr>
              <w:t>支持Wi-Fi接入</w:t>
            </w:r>
            <w:r>
              <w:rPr>
                <w:rStyle w:val="8"/>
                <w:lang w:val="en-US" w:eastAsia="zh-CN" w:bidi="ar"/>
              </w:rPr>
              <w:t>，1个USB接口，1个RJ9耳麦接口，</w:t>
            </w:r>
            <w:r>
              <w:rPr>
                <w:rStyle w:val="7"/>
                <w:lang w:val="en-US" w:eastAsia="zh-CN" w:bidi="ar"/>
              </w:rPr>
              <w:t>支持PoE，带电源适配器</w:t>
            </w:r>
          </w:p>
        </w:tc>
        <w:tc>
          <w:tcPr>
            <w:tcW w:w="63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B99F61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台</w:t>
            </w:r>
          </w:p>
        </w:tc>
        <w:tc>
          <w:tcPr>
            <w:tcW w:w="71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179D45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100</w:t>
            </w:r>
          </w:p>
        </w:tc>
      </w:tr>
    </w:tbl>
    <w:p w14:paraId="7EDF5F18">
      <w:pPr>
        <w:numPr>
          <w:ilvl w:val="0"/>
          <w:numId w:val="0"/>
        </w:numPr>
        <w:spacing w:line="360" w:lineRule="auto"/>
        <w:ind w:leftChars="0"/>
        <w:rPr>
          <w:rFonts w:hint="default"/>
          <w:sz w:val="24"/>
          <w:lang w:val="en-US" w:eastAsia="zh-CN"/>
        </w:rPr>
      </w:pPr>
    </w:p>
    <w:p w14:paraId="6AD038E2">
      <w:pPr>
        <w:spacing w:line="360" w:lineRule="auto"/>
        <w:rPr>
          <w:rFonts w:hint="eastAsia"/>
          <w:sz w:val="24"/>
          <w:lang w:val="en-US" w:eastAsia="zh-CN"/>
        </w:rPr>
      </w:pPr>
      <w:r>
        <w:rPr>
          <w:rFonts w:hint="eastAsia"/>
          <w:sz w:val="24"/>
          <w:lang w:val="en-US" w:eastAsia="zh-CN"/>
        </w:rPr>
        <w:t>3.3 服务器和存储</w:t>
      </w:r>
    </w:p>
    <w:tbl>
      <w:tblPr>
        <w:tblStyle w:val="3"/>
        <w:tblW w:w="918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4"/>
        <w:gridCol w:w="1074"/>
        <w:gridCol w:w="5263"/>
        <w:gridCol w:w="1124"/>
        <w:gridCol w:w="1124"/>
      </w:tblGrid>
      <w:tr w14:paraId="61DDB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04"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2AD58643">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序号</w:t>
            </w:r>
          </w:p>
        </w:tc>
        <w:tc>
          <w:tcPr>
            <w:tcW w:w="1074"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E4EBDF2">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产品名称</w:t>
            </w:r>
          </w:p>
        </w:tc>
        <w:tc>
          <w:tcPr>
            <w:tcW w:w="5263"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39F5A41">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产品说明</w:t>
            </w:r>
          </w:p>
        </w:tc>
        <w:tc>
          <w:tcPr>
            <w:tcW w:w="1124"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37FE5EDB">
            <w:pPr>
              <w:keepNext w:val="0"/>
              <w:keepLines w:val="0"/>
              <w:widowControl/>
              <w:suppressLineNumbers w:val="0"/>
              <w:jc w:val="center"/>
              <w:textAlignment w:val="center"/>
              <w:rPr>
                <w:rFonts w:hint="default" w:ascii="宋体" w:hAnsi="宋体" w:eastAsia="宋体" w:cs="宋体"/>
                <w:b/>
                <w:bCs/>
                <w:i w:val="0"/>
                <w:iCs w:val="0"/>
                <w:color w:val="FFFFFF"/>
                <w:kern w:val="0"/>
                <w:sz w:val="20"/>
                <w:szCs w:val="20"/>
                <w:u w:val="none"/>
                <w:lang w:val="en-US" w:eastAsia="zh-CN" w:bidi="ar"/>
              </w:rPr>
            </w:pPr>
            <w:r>
              <w:rPr>
                <w:rFonts w:hint="eastAsia" w:ascii="宋体" w:hAnsi="宋体" w:eastAsia="宋体" w:cs="宋体"/>
                <w:b/>
                <w:bCs/>
                <w:i w:val="0"/>
                <w:iCs w:val="0"/>
                <w:color w:val="FFFFFF"/>
                <w:kern w:val="0"/>
                <w:sz w:val="20"/>
                <w:szCs w:val="20"/>
                <w:u w:val="none"/>
                <w:lang w:val="en-US" w:eastAsia="zh-CN" w:bidi="ar"/>
              </w:rPr>
              <w:t>单位</w:t>
            </w:r>
          </w:p>
        </w:tc>
        <w:tc>
          <w:tcPr>
            <w:tcW w:w="1124"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8D07D44">
            <w:pPr>
              <w:keepNext w:val="0"/>
              <w:keepLines w:val="0"/>
              <w:widowControl/>
              <w:suppressLineNumbers w:val="0"/>
              <w:jc w:val="center"/>
              <w:textAlignment w:val="center"/>
              <w:rPr>
                <w:rFonts w:hint="default" w:ascii="宋体" w:hAnsi="宋体" w:eastAsia="宋体" w:cs="宋体"/>
                <w:b/>
                <w:bCs/>
                <w:i w:val="0"/>
                <w:iCs w:val="0"/>
                <w:color w:val="FFFFFF"/>
                <w:kern w:val="0"/>
                <w:sz w:val="20"/>
                <w:szCs w:val="20"/>
                <w:u w:val="none"/>
                <w:lang w:val="en-US" w:eastAsia="zh-CN" w:bidi="ar"/>
              </w:rPr>
            </w:pPr>
            <w:r>
              <w:rPr>
                <w:rFonts w:hint="eastAsia" w:ascii="宋体" w:hAnsi="宋体" w:eastAsia="宋体" w:cs="宋体"/>
                <w:b/>
                <w:bCs/>
                <w:i w:val="0"/>
                <w:iCs w:val="0"/>
                <w:color w:val="FFFFFF"/>
                <w:kern w:val="0"/>
                <w:sz w:val="20"/>
                <w:szCs w:val="20"/>
                <w:u w:val="none"/>
                <w:lang w:val="en-US" w:eastAsia="zh-CN" w:bidi="ar"/>
              </w:rPr>
              <w:t>数量</w:t>
            </w:r>
          </w:p>
        </w:tc>
      </w:tr>
      <w:tr w14:paraId="331B2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0" w:hRule="atLeast"/>
        </w:trPr>
        <w:tc>
          <w:tcPr>
            <w:tcW w:w="604" w:type="dxa"/>
            <w:tcBorders>
              <w:top w:val="single" w:color="000000" w:sz="4" w:space="0"/>
              <w:left w:val="single" w:color="000000" w:sz="4" w:space="0"/>
              <w:bottom w:val="single" w:color="000000" w:sz="4" w:space="0"/>
              <w:right w:val="single" w:color="000000" w:sz="4" w:space="0"/>
            </w:tcBorders>
            <w:noWrap w:val="0"/>
            <w:vAlign w:val="center"/>
          </w:tcPr>
          <w:p w14:paraId="4A81539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074" w:type="dxa"/>
            <w:tcBorders>
              <w:top w:val="single" w:color="000000" w:sz="4" w:space="0"/>
              <w:left w:val="single" w:color="000000" w:sz="4" w:space="0"/>
              <w:bottom w:val="single" w:color="000000" w:sz="4" w:space="0"/>
              <w:right w:val="single" w:color="000000" w:sz="4" w:space="0"/>
            </w:tcBorders>
            <w:noWrap w:val="0"/>
            <w:vAlign w:val="center"/>
          </w:tcPr>
          <w:p w14:paraId="5762B11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虚拟化一体机</w:t>
            </w:r>
          </w:p>
        </w:tc>
        <w:tc>
          <w:tcPr>
            <w:tcW w:w="5263" w:type="dxa"/>
            <w:tcBorders>
              <w:top w:val="single" w:color="000000" w:sz="4" w:space="0"/>
              <w:left w:val="single" w:color="000000" w:sz="4" w:space="0"/>
              <w:bottom w:val="single" w:color="000000" w:sz="4" w:space="0"/>
              <w:right w:val="single" w:color="000000" w:sz="4" w:space="0"/>
            </w:tcBorders>
            <w:noWrap w:val="0"/>
            <w:vAlign w:val="center"/>
          </w:tcPr>
          <w:p w14:paraId="39D4C6F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硬件参数：规格：2U，CPU：2颗Intel Xeon Gold 6526Y CPU@2.80GHZ（16C），内存：4*32GB DDR5 5600，系统盘：2*480GB SATA SSD，缓存盘：选配，数据盘：选配，标配盘位数：12，电源：白金，冗余电源，接口：4千兆电口+2万兆光口。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3台* aServer-X5-2205标准产品 ,含：</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6套* 计算服务器虚拟化软件V6.0;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6套* 网络虚拟化软件V6.0;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6套* 安全虚拟化软件V6.0（企业版）;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6套* 云计算管理软件V6.0  高级版;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3年* SDDC基础运维软件V1.0（一体机版）;</w:t>
            </w:r>
          </w:p>
        </w:tc>
        <w:tc>
          <w:tcPr>
            <w:tcW w:w="1124" w:type="dxa"/>
            <w:tcBorders>
              <w:top w:val="single" w:color="000000" w:sz="4" w:space="0"/>
              <w:left w:val="single" w:color="000000" w:sz="4" w:space="0"/>
              <w:bottom w:val="single" w:color="000000" w:sz="4" w:space="0"/>
              <w:right w:val="single" w:color="000000" w:sz="4" w:space="0"/>
            </w:tcBorders>
            <w:noWrap w:val="0"/>
            <w:vAlign w:val="center"/>
          </w:tcPr>
          <w:p w14:paraId="203657C1">
            <w:pPr>
              <w:keepNext w:val="0"/>
              <w:keepLines w:val="0"/>
              <w:widowControl/>
              <w:suppressLineNumbers w:val="0"/>
              <w:jc w:val="left"/>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台</w:t>
            </w:r>
          </w:p>
        </w:tc>
        <w:tc>
          <w:tcPr>
            <w:tcW w:w="1124" w:type="dxa"/>
            <w:tcBorders>
              <w:top w:val="single" w:color="000000" w:sz="4" w:space="0"/>
              <w:left w:val="single" w:color="000000" w:sz="4" w:space="0"/>
              <w:bottom w:val="single" w:color="000000" w:sz="4" w:space="0"/>
              <w:right w:val="single" w:color="000000" w:sz="4" w:space="0"/>
            </w:tcBorders>
            <w:noWrap w:val="0"/>
            <w:vAlign w:val="center"/>
          </w:tcPr>
          <w:p w14:paraId="40AB7D71">
            <w:pPr>
              <w:keepNext w:val="0"/>
              <w:keepLines w:val="0"/>
              <w:widowControl/>
              <w:suppressLineNumbers w:val="0"/>
              <w:jc w:val="left"/>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3</w:t>
            </w:r>
          </w:p>
        </w:tc>
      </w:tr>
      <w:tr w14:paraId="7329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0" w:hRule="atLeast"/>
        </w:trPr>
        <w:tc>
          <w:tcPr>
            <w:tcW w:w="604" w:type="dxa"/>
            <w:tcBorders>
              <w:top w:val="single" w:color="000000" w:sz="4" w:space="0"/>
              <w:left w:val="single" w:color="000000" w:sz="4" w:space="0"/>
              <w:bottom w:val="single" w:color="000000" w:sz="4" w:space="0"/>
              <w:right w:val="single" w:color="000000" w:sz="4" w:space="0"/>
            </w:tcBorders>
            <w:noWrap w:val="0"/>
            <w:vAlign w:val="center"/>
          </w:tcPr>
          <w:p w14:paraId="2FE7458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074" w:type="dxa"/>
            <w:tcBorders>
              <w:top w:val="single" w:color="000000" w:sz="4" w:space="0"/>
              <w:left w:val="single" w:color="000000" w:sz="4" w:space="0"/>
              <w:bottom w:val="single" w:color="000000" w:sz="4" w:space="0"/>
              <w:right w:val="single" w:color="000000" w:sz="4" w:space="0"/>
            </w:tcBorders>
            <w:noWrap w:val="0"/>
            <w:vAlign w:val="center"/>
          </w:tcPr>
          <w:p w14:paraId="58B93CA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企业级分布式存储</w:t>
            </w:r>
          </w:p>
        </w:tc>
        <w:tc>
          <w:tcPr>
            <w:tcW w:w="5263" w:type="dxa"/>
            <w:tcBorders>
              <w:top w:val="single" w:color="000000" w:sz="4" w:space="0"/>
              <w:left w:val="single" w:color="000000" w:sz="4" w:space="0"/>
              <w:bottom w:val="single" w:color="000000" w:sz="4" w:space="0"/>
              <w:right w:val="single" w:color="000000" w:sz="4" w:space="0"/>
            </w:tcBorders>
            <w:noWrap w:val="0"/>
            <w:vAlign w:val="center"/>
          </w:tcPr>
          <w:p w14:paraId="0FEF49B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硬件参数：规格：2U，内存：2*32GB DDR4 3200，系统盘：2*240GB SATA SSD，缓存盘：选配，数据盘：选配，标配盘位数：12，电源：白金，冗余电源，接口：2千兆电口+4万兆光口。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3台* aStor-EDS1250-W标准产品 ,含：</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2套* 企业级安全分布式存储软件V5.0（EDS均衡型存储授权-100T）;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6个* 国产固态硬盘-1.92T-U.2 NVME SSD（读密集型）;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24个* 机械硬盘8T;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3年* EDS基础运维服务;</w:t>
            </w:r>
          </w:p>
        </w:tc>
        <w:tc>
          <w:tcPr>
            <w:tcW w:w="1124" w:type="dxa"/>
            <w:tcBorders>
              <w:top w:val="single" w:color="000000" w:sz="4" w:space="0"/>
              <w:left w:val="single" w:color="000000" w:sz="4" w:space="0"/>
              <w:bottom w:val="single" w:color="000000" w:sz="4" w:space="0"/>
              <w:right w:val="single" w:color="000000" w:sz="4" w:space="0"/>
            </w:tcBorders>
            <w:noWrap w:val="0"/>
            <w:vAlign w:val="center"/>
          </w:tcPr>
          <w:p w14:paraId="7A9669F8">
            <w:pPr>
              <w:keepNext w:val="0"/>
              <w:keepLines w:val="0"/>
              <w:widowControl/>
              <w:suppressLineNumbers w:val="0"/>
              <w:jc w:val="left"/>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台</w:t>
            </w:r>
          </w:p>
        </w:tc>
        <w:tc>
          <w:tcPr>
            <w:tcW w:w="1124" w:type="dxa"/>
            <w:tcBorders>
              <w:top w:val="single" w:color="000000" w:sz="4" w:space="0"/>
              <w:left w:val="single" w:color="000000" w:sz="4" w:space="0"/>
              <w:bottom w:val="single" w:color="000000" w:sz="4" w:space="0"/>
              <w:right w:val="single" w:color="000000" w:sz="4" w:space="0"/>
            </w:tcBorders>
            <w:noWrap w:val="0"/>
            <w:vAlign w:val="center"/>
          </w:tcPr>
          <w:p w14:paraId="4DE9D666">
            <w:pPr>
              <w:keepNext w:val="0"/>
              <w:keepLines w:val="0"/>
              <w:widowControl/>
              <w:suppressLineNumbers w:val="0"/>
              <w:jc w:val="left"/>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3</w:t>
            </w:r>
          </w:p>
        </w:tc>
      </w:tr>
      <w:tr w14:paraId="497AA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0" w:hRule="atLeast"/>
        </w:trPr>
        <w:tc>
          <w:tcPr>
            <w:tcW w:w="604" w:type="dxa"/>
            <w:tcBorders>
              <w:top w:val="single" w:color="000000" w:sz="4" w:space="0"/>
              <w:left w:val="single" w:color="000000" w:sz="4" w:space="0"/>
              <w:bottom w:val="single" w:color="000000" w:sz="4" w:space="0"/>
              <w:right w:val="single" w:color="000000" w:sz="4" w:space="0"/>
            </w:tcBorders>
            <w:noWrap w:val="0"/>
            <w:vAlign w:val="center"/>
          </w:tcPr>
          <w:p w14:paraId="65FACEE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074" w:type="dxa"/>
            <w:tcBorders>
              <w:top w:val="single" w:color="000000" w:sz="4" w:space="0"/>
              <w:left w:val="single" w:color="000000" w:sz="4" w:space="0"/>
              <w:bottom w:val="single" w:color="000000" w:sz="4" w:space="0"/>
              <w:right w:val="single" w:color="000000" w:sz="4" w:space="0"/>
            </w:tcBorders>
            <w:noWrap w:val="0"/>
            <w:vAlign w:val="center"/>
          </w:tcPr>
          <w:p w14:paraId="5C39C49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企业级数据备份与恢复系统</w:t>
            </w:r>
          </w:p>
        </w:tc>
        <w:tc>
          <w:tcPr>
            <w:tcW w:w="5263" w:type="dxa"/>
            <w:tcBorders>
              <w:top w:val="single" w:color="000000" w:sz="4" w:space="0"/>
              <w:left w:val="single" w:color="000000" w:sz="4" w:space="0"/>
              <w:bottom w:val="single" w:color="000000" w:sz="4" w:space="0"/>
              <w:right w:val="single" w:color="000000" w:sz="4" w:space="0"/>
            </w:tcBorders>
            <w:noWrap w:val="0"/>
            <w:vAlign w:val="center"/>
          </w:tcPr>
          <w:p w14:paraId="10539A5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硬件参数：规格：2U，内存：2*32GB DDR4 3200，系统盘：2*240GB SATA SSD，缓存盘：选配，数据盘：选配，标配盘位数：12，电源：白金，冗余电源，接口：2千兆电口+2万兆光口。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1台* aStor-Backup-1250W标准产品 ,含：</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1套* 企业级数据备份与恢复系统软件V3.0（50T)-高级版(EasyProtect）;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1个* 服务器机械硬盘64T（8*8T）;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3年* 备份软件升级服务【含软件升级（适用于(EasyProtect）软件版本）】;</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3年* 产品质保（标准版）;</w:t>
            </w:r>
          </w:p>
        </w:tc>
        <w:tc>
          <w:tcPr>
            <w:tcW w:w="1124" w:type="dxa"/>
            <w:tcBorders>
              <w:top w:val="single" w:color="000000" w:sz="4" w:space="0"/>
              <w:left w:val="single" w:color="000000" w:sz="4" w:space="0"/>
              <w:bottom w:val="single" w:color="000000" w:sz="4" w:space="0"/>
              <w:right w:val="single" w:color="000000" w:sz="4" w:space="0"/>
            </w:tcBorders>
            <w:noWrap w:val="0"/>
            <w:vAlign w:val="center"/>
          </w:tcPr>
          <w:p w14:paraId="303D1536">
            <w:pPr>
              <w:keepNext w:val="0"/>
              <w:keepLines w:val="0"/>
              <w:widowControl/>
              <w:suppressLineNumbers w:val="0"/>
              <w:jc w:val="left"/>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台</w:t>
            </w:r>
          </w:p>
        </w:tc>
        <w:tc>
          <w:tcPr>
            <w:tcW w:w="1124" w:type="dxa"/>
            <w:tcBorders>
              <w:top w:val="single" w:color="000000" w:sz="4" w:space="0"/>
              <w:left w:val="single" w:color="000000" w:sz="4" w:space="0"/>
              <w:bottom w:val="single" w:color="000000" w:sz="4" w:space="0"/>
              <w:right w:val="single" w:color="000000" w:sz="4" w:space="0"/>
            </w:tcBorders>
            <w:noWrap w:val="0"/>
            <w:vAlign w:val="center"/>
          </w:tcPr>
          <w:p w14:paraId="083059E5">
            <w:pPr>
              <w:keepNext w:val="0"/>
              <w:keepLines w:val="0"/>
              <w:widowControl/>
              <w:suppressLineNumbers w:val="0"/>
              <w:jc w:val="left"/>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w:t>
            </w:r>
          </w:p>
        </w:tc>
      </w:tr>
    </w:tbl>
    <w:p w14:paraId="2AA06E24">
      <w:pPr>
        <w:spacing w:line="360" w:lineRule="auto"/>
        <w:rPr>
          <w:rFonts w:hint="eastAsia"/>
          <w:sz w:val="24"/>
          <w:lang w:val="en-US" w:eastAsia="zh-CN"/>
        </w:rPr>
      </w:pPr>
    </w:p>
    <w:p w14:paraId="0B4B56B5">
      <w:pPr>
        <w:spacing w:line="360" w:lineRule="auto"/>
        <w:rPr>
          <w:rFonts w:hint="eastAsia"/>
          <w:sz w:val="24"/>
          <w:lang w:val="en-US" w:eastAsia="zh-CN"/>
        </w:rPr>
      </w:pPr>
      <w:r>
        <w:rPr>
          <w:rFonts w:hint="eastAsia"/>
          <w:sz w:val="24"/>
          <w:lang w:val="en-US" w:eastAsia="zh-CN"/>
        </w:rPr>
        <w:t>3.4 安全</w:t>
      </w:r>
    </w:p>
    <w:tbl>
      <w:tblPr>
        <w:tblStyle w:val="3"/>
        <w:tblW w:w="9163"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7"/>
        <w:gridCol w:w="627"/>
        <w:gridCol w:w="5670"/>
        <w:gridCol w:w="1154"/>
        <w:gridCol w:w="1085"/>
      </w:tblGrid>
      <w:tr w14:paraId="5C161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7"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0C18E979">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序号</w:t>
            </w:r>
          </w:p>
        </w:tc>
        <w:tc>
          <w:tcPr>
            <w:tcW w:w="627"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698CC8E7">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产品名称</w:t>
            </w:r>
          </w:p>
        </w:tc>
        <w:tc>
          <w:tcPr>
            <w:tcW w:w="5670"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51DF72AD">
            <w:pPr>
              <w:keepNext w:val="0"/>
              <w:keepLines w:val="0"/>
              <w:widowControl/>
              <w:suppressLineNumbers w:val="0"/>
              <w:jc w:val="center"/>
              <w:textAlignment w:val="center"/>
              <w:rPr>
                <w:rFonts w:hint="eastAsia" w:ascii="宋体" w:hAnsi="宋体" w:eastAsia="宋体" w:cs="宋体"/>
                <w:b/>
                <w:bCs/>
                <w:i w:val="0"/>
                <w:iCs w:val="0"/>
                <w:color w:val="FFFFFF"/>
                <w:sz w:val="20"/>
                <w:szCs w:val="20"/>
                <w:u w:val="none"/>
              </w:rPr>
            </w:pPr>
            <w:r>
              <w:rPr>
                <w:rFonts w:hint="eastAsia" w:ascii="宋体" w:hAnsi="宋体" w:eastAsia="宋体" w:cs="宋体"/>
                <w:b/>
                <w:bCs/>
                <w:i w:val="0"/>
                <w:iCs w:val="0"/>
                <w:color w:val="FFFFFF"/>
                <w:kern w:val="0"/>
                <w:sz w:val="20"/>
                <w:szCs w:val="20"/>
                <w:u w:val="none"/>
                <w:lang w:val="en-US" w:eastAsia="zh-CN" w:bidi="ar"/>
              </w:rPr>
              <w:t>产品说明</w:t>
            </w:r>
          </w:p>
        </w:tc>
        <w:tc>
          <w:tcPr>
            <w:tcW w:w="1154"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39A68A3">
            <w:pPr>
              <w:keepNext w:val="0"/>
              <w:keepLines w:val="0"/>
              <w:widowControl/>
              <w:suppressLineNumbers w:val="0"/>
              <w:jc w:val="center"/>
              <w:textAlignment w:val="center"/>
              <w:rPr>
                <w:rFonts w:hint="default" w:ascii="宋体" w:hAnsi="宋体" w:eastAsia="宋体" w:cs="宋体"/>
                <w:b/>
                <w:bCs/>
                <w:i w:val="0"/>
                <w:iCs w:val="0"/>
                <w:color w:val="FFFFFF"/>
                <w:kern w:val="0"/>
                <w:sz w:val="20"/>
                <w:szCs w:val="20"/>
                <w:u w:val="none"/>
                <w:lang w:val="en-US" w:eastAsia="zh-CN" w:bidi="ar"/>
              </w:rPr>
            </w:pPr>
            <w:r>
              <w:rPr>
                <w:rFonts w:hint="eastAsia" w:ascii="宋体" w:hAnsi="宋体" w:eastAsia="宋体" w:cs="宋体"/>
                <w:b/>
                <w:bCs/>
                <w:i w:val="0"/>
                <w:iCs w:val="0"/>
                <w:color w:val="FFFFFF"/>
                <w:kern w:val="0"/>
                <w:sz w:val="20"/>
                <w:szCs w:val="20"/>
                <w:u w:val="none"/>
                <w:lang w:val="en-US" w:eastAsia="zh-CN" w:bidi="ar"/>
              </w:rPr>
              <w:t>单位</w:t>
            </w:r>
          </w:p>
        </w:tc>
        <w:tc>
          <w:tcPr>
            <w:tcW w:w="1085"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3F4ACB09">
            <w:pPr>
              <w:keepNext w:val="0"/>
              <w:keepLines w:val="0"/>
              <w:widowControl/>
              <w:suppressLineNumbers w:val="0"/>
              <w:jc w:val="center"/>
              <w:textAlignment w:val="center"/>
              <w:rPr>
                <w:rFonts w:hint="eastAsia" w:ascii="宋体" w:hAnsi="宋体" w:eastAsia="宋体" w:cs="宋体"/>
                <w:b/>
                <w:bCs/>
                <w:i w:val="0"/>
                <w:iCs w:val="0"/>
                <w:color w:val="FFFFFF"/>
                <w:kern w:val="0"/>
                <w:sz w:val="20"/>
                <w:szCs w:val="20"/>
                <w:u w:val="none"/>
                <w:lang w:val="en-US" w:eastAsia="zh-CN" w:bidi="ar"/>
              </w:rPr>
            </w:pPr>
          </w:p>
        </w:tc>
      </w:tr>
      <w:tr w14:paraId="50271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0" w:hRule="atLeast"/>
        </w:trPr>
        <w:tc>
          <w:tcPr>
            <w:tcW w:w="627" w:type="dxa"/>
            <w:tcBorders>
              <w:top w:val="single" w:color="000000" w:sz="4" w:space="0"/>
              <w:left w:val="single" w:color="000000" w:sz="4" w:space="0"/>
              <w:bottom w:val="single" w:color="000000" w:sz="4" w:space="0"/>
              <w:right w:val="single" w:color="000000" w:sz="4" w:space="0"/>
            </w:tcBorders>
            <w:noWrap w:val="0"/>
            <w:vAlign w:val="center"/>
          </w:tcPr>
          <w:p w14:paraId="6260B51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627" w:type="dxa"/>
            <w:tcBorders>
              <w:top w:val="single" w:color="000000" w:sz="4" w:space="0"/>
              <w:left w:val="single" w:color="000000" w:sz="4" w:space="0"/>
              <w:bottom w:val="single" w:color="000000" w:sz="4" w:space="0"/>
              <w:right w:val="single" w:color="000000" w:sz="4" w:space="0"/>
            </w:tcBorders>
            <w:noWrap w:val="0"/>
            <w:vAlign w:val="center"/>
          </w:tcPr>
          <w:p w14:paraId="1CAD1A0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全网行为管理</w:t>
            </w:r>
          </w:p>
        </w:tc>
        <w:tc>
          <w:tcPr>
            <w:tcW w:w="5670" w:type="dxa"/>
            <w:tcBorders>
              <w:top w:val="single" w:color="000000" w:sz="4" w:space="0"/>
              <w:left w:val="single" w:color="000000" w:sz="4" w:space="0"/>
              <w:bottom w:val="single" w:color="000000" w:sz="4" w:space="0"/>
              <w:right w:val="single" w:color="000000" w:sz="4" w:space="0"/>
            </w:tcBorders>
            <w:noWrap w:val="0"/>
            <w:vAlign w:val="center"/>
          </w:tcPr>
          <w:p w14:paraId="50794F1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硬件参数：规格：1U，内存大小：4G，硬盘容量：128G SSD，电源：单电源，接口：6千兆电口。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功能描述：全网行为管理聚焦企事业组织网络行为安全，实现全网资产、身份、行为可视可控，智能感知内部威胁风险，帮助用户构建有效防御体系。</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76EF73F6">
            <w:pPr>
              <w:keepNext w:val="0"/>
              <w:keepLines w:val="0"/>
              <w:widowControl/>
              <w:suppressLineNumbers w:val="0"/>
              <w:jc w:val="left"/>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台</w:t>
            </w:r>
          </w:p>
        </w:tc>
        <w:tc>
          <w:tcPr>
            <w:tcW w:w="1085" w:type="dxa"/>
            <w:tcBorders>
              <w:top w:val="single" w:color="000000" w:sz="4" w:space="0"/>
              <w:left w:val="single" w:color="000000" w:sz="4" w:space="0"/>
              <w:bottom w:val="single" w:color="000000" w:sz="4" w:space="0"/>
              <w:right w:val="single" w:color="000000" w:sz="4" w:space="0"/>
            </w:tcBorders>
            <w:noWrap w:val="0"/>
            <w:vAlign w:val="center"/>
          </w:tcPr>
          <w:p w14:paraId="2B40091F">
            <w:pPr>
              <w:keepNext w:val="0"/>
              <w:keepLines w:val="0"/>
              <w:widowControl/>
              <w:suppressLineNumbers w:val="0"/>
              <w:jc w:val="left"/>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w:t>
            </w:r>
          </w:p>
        </w:tc>
      </w:tr>
      <w:tr w14:paraId="165F9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0" w:hRule="atLeast"/>
        </w:trPr>
        <w:tc>
          <w:tcPr>
            <w:tcW w:w="627" w:type="dxa"/>
            <w:tcBorders>
              <w:top w:val="single" w:color="000000" w:sz="4" w:space="0"/>
              <w:left w:val="single" w:color="000000" w:sz="4" w:space="0"/>
              <w:bottom w:val="single" w:color="000000" w:sz="4" w:space="0"/>
              <w:right w:val="single" w:color="000000" w:sz="4" w:space="0"/>
            </w:tcBorders>
            <w:noWrap w:val="0"/>
            <w:vAlign w:val="center"/>
          </w:tcPr>
          <w:p w14:paraId="1299464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627" w:type="dxa"/>
            <w:tcBorders>
              <w:top w:val="single" w:color="000000" w:sz="4" w:space="0"/>
              <w:left w:val="single" w:color="000000" w:sz="4" w:space="0"/>
              <w:bottom w:val="single" w:color="000000" w:sz="4" w:space="0"/>
              <w:right w:val="single" w:color="000000" w:sz="4" w:space="0"/>
            </w:tcBorders>
            <w:noWrap w:val="0"/>
            <w:vAlign w:val="center"/>
          </w:tcPr>
          <w:p w14:paraId="7F69968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下一代防火墙</w:t>
            </w:r>
          </w:p>
        </w:tc>
        <w:tc>
          <w:tcPr>
            <w:tcW w:w="5670" w:type="dxa"/>
            <w:tcBorders>
              <w:top w:val="single" w:color="000000" w:sz="4" w:space="0"/>
              <w:left w:val="single" w:color="000000" w:sz="4" w:space="0"/>
              <w:bottom w:val="single" w:color="000000" w:sz="4" w:space="0"/>
              <w:right w:val="single" w:color="000000" w:sz="4" w:space="0"/>
            </w:tcBorders>
            <w:noWrap w:val="0"/>
            <w:vAlign w:val="center"/>
          </w:tcPr>
          <w:p w14:paraId="7963B3E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硬件参数：规格：1U，内存大小：4G，硬盘容量：128G SSD，电源：单电源，接口：8千兆电口+2千兆光口SFP。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功能描述：下一代防火墙以保障用户核心资产为目标，提供L2-L7层各类威胁的检测和防护，是一款能够有效应对传统网络攻击和未知威胁攻击的网络安全产品。</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629DDDF3">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台</w:t>
            </w:r>
          </w:p>
        </w:tc>
        <w:tc>
          <w:tcPr>
            <w:tcW w:w="1085" w:type="dxa"/>
            <w:tcBorders>
              <w:top w:val="single" w:color="000000" w:sz="4" w:space="0"/>
              <w:left w:val="single" w:color="000000" w:sz="4" w:space="0"/>
              <w:bottom w:val="single" w:color="000000" w:sz="4" w:space="0"/>
              <w:right w:val="single" w:color="000000" w:sz="4" w:space="0"/>
            </w:tcBorders>
            <w:noWrap w:val="0"/>
            <w:vAlign w:val="center"/>
          </w:tcPr>
          <w:p w14:paraId="5569363E">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w:t>
            </w:r>
          </w:p>
        </w:tc>
      </w:tr>
      <w:tr w14:paraId="63BCD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627" w:type="dxa"/>
            <w:tcBorders>
              <w:top w:val="single" w:color="000000" w:sz="4" w:space="0"/>
              <w:left w:val="single" w:color="000000" w:sz="4" w:space="0"/>
              <w:bottom w:val="single" w:color="000000" w:sz="4" w:space="0"/>
              <w:right w:val="single" w:color="000000" w:sz="4" w:space="0"/>
            </w:tcBorders>
            <w:noWrap w:val="0"/>
            <w:vAlign w:val="center"/>
          </w:tcPr>
          <w:p w14:paraId="7589556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627" w:type="dxa"/>
            <w:tcBorders>
              <w:top w:val="single" w:color="000000" w:sz="4" w:space="0"/>
              <w:left w:val="single" w:color="000000" w:sz="4" w:space="0"/>
              <w:bottom w:val="single" w:color="000000" w:sz="4" w:space="0"/>
              <w:right w:val="single" w:color="000000" w:sz="4" w:space="0"/>
            </w:tcBorders>
            <w:noWrap w:val="0"/>
            <w:vAlign w:val="center"/>
          </w:tcPr>
          <w:p w14:paraId="6C3DC62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日志分析管理系统</w:t>
            </w:r>
          </w:p>
        </w:tc>
        <w:tc>
          <w:tcPr>
            <w:tcW w:w="5670" w:type="dxa"/>
            <w:tcBorders>
              <w:top w:val="single" w:color="000000" w:sz="4" w:space="0"/>
              <w:left w:val="single" w:color="000000" w:sz="4" w:space="0"/>
              <w:bottom w:val="single" w:color="000000" w:sz="4" w:space="0"/>
              <w:right w:val="single" w:color="000000" w:sz="4" w:space="0"/>
            </w:tcBorders>
            <w:noWrap w:val="0"/>
            <w:vAlign w:val="center"/>
          </w:tcPr>
          <w:p w14:paraId="78AF8E1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性能参数：默认包含主机审计许可证书数量：50，最大可扩展审计主机许可数：150，数据盘：2T*2（raid1），平均每秒处理日志数（eps）最大性能：2500。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硬件参数：规格：2U，内存大小：16G，硬盘容量：128G minisata+2T SATA*2，电源：单电源，接口：6千兆电口+2万兆光口SFP+。</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08588F2D">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台</w:t>
            </w:r>
          </w:p>
        </w:tc>
        <w:tc>
          <w:tcPr>
            <w:tcW w:w="1085" w:type="dxa"/>
            <w:tcBorders>
              <w:top w:val="single" w:color="000000" w:sz="4" w:space="0"/>
              <w:left w:val="single" w:color="000000" w:sz="4" w:space="0"/>
              <w:bottom w:val="single" w:color="000000" w:sz="4" w:space="0"/>
              <w:right w:val="single" w:color="000000" w:sz="4" w:space="0"/>
            </w:tcBorders>
            <w:noWrap w:val="0"/>
            <w:vAlign w:val="center"/>
          </w:tcPr>
          <w:p w14:paraId="0F9C20F1">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w:t>
            </w:r>
          </w:p>
        </w:tc>
      </w:tr>
      <w:tr w14:paraId="0F133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20" w:hRule="atLeast"/>
        </w:trPr>
        <w:tc>
          <w:tcPr>
            <w:tcW w:w="627" w:type="dxa"/>
            <w:tcBorders>
              <w:top w:val="single" w:color="000000" w:sz="4" w:space="0"/>
              <w:left w:val="single" w:color="000000" w:sz="4" w:space="0"/>
              <w:bottom w:val="single" w:color="000000" w:sz="4" w:space="0"/>
              <w:right w:val="single" w:color="000000" w:sz="4" w:space="0"/>
            </w:tcBorders>
            <w:noWrap w:val="0"/>
            <w:vAlign w:val="center"/>
          </w:tcPr>
          <w:p w14:paraId="5EF2EAF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627" w:type="dxa"/>
            <w:tcBorders>
              <w:top w:val="single" w:color="000000" w:sz="4" w:space="0"/>
              <w:left w:val="single" w:color="000000" w:sz="4" w:space="0"/>
              <w:bottom w:val="single" w:color="000000" w:sz="4" w:space="0"/>
              <w:right w:val="single" w:color="000000" w:sz="4" w:space="0"/>
            </w:tcBorders>
            <w:noWrap w:val="0"/>
            <w:vAlign w:val="center"/>
          </w:tcPr>
          <w:p w14:paraId="5834A4E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运维安全管理系统</w:t>
            </w:r>
          </w:p>
        </w:tc>
        <w:tc>
          <w:tcPr>
            <w:tcW w:w="5670" w:type="dxa"/>
            <w:tcBorders>
              <w:top w:val="single" w:color="000000" w:sz="4" w:space="0"/>
              <w:left w:val="single" w:color="000000" w:sz="4" w:space="0"/>
              <w:bottom w:val="single" w:color="000000" w:sz="4" w:space="0"/>
              <w:right w:val="single" w:color="000000" w:sz="4" w:space="0"/>
            </w:tcBorders>
            <w:noWrap w:val="0"/>
            <w:vAlign w:val="center"/>
          </w:tcPr>
          <w:p w14:paraId="20AAC5E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性能参数：默认包含运维授权数：50，最大可扩展资产数：150，图形运维最大并发数：100，字符运维最大并发数：200。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硬件参数：规格：1U，内存大小：8G，硬盘容量：4T SATA，电源：单电源，接口：6千兆电口。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功能描述：运维安全管理系统（堡垒机OSM），将运维人员离散维护主机及网络设备的行为统一到该平台进行，加强对系统安全以及运维的控制力。一方面通过集中运维，减少因离散操作导致的失误，提高工作效率，如新的安全策略在主机上的统一应用等；另一方面通过对所有用户在主机上的操作行为进行监控与记录，实时了解用户的操作行为，发现风险及时中止用户的操作，并记录下用户所有的操作行为，便于进行事后的审查与取证。</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5740086E">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台</w:t>
            </w:r>
          </w:p>
        </w:tc>
        <w:tc>
          <w:tcPr>
            <w:tcW w:w="1085" w:type="dxa"/>
            <w:tcBorders>
              <w:top w:val="single" w:color="000000" w:sz="4" w:space="0"/>
              <w:left w:val="single" w:color="000000" w:sz="4" w:space="0"/>
              <w:bottom w:val="single" w:color="000000" w:sz="4" w:space="0"/>
              <w:right w:val="single" w:color="000000" w:sz="4" w:space="0"/>
            </w:tcBorders>
            <w:noWrap w:val="0"/>
            <w:vAlign w:val="center"/>
          </w:tcPr>
          <w:p w14:paraId="7B69D208">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w:t>
            </w:r>
          </w:p>
        </w:tc>
      </w:tr>
      <w:tr w14:paraId="6F69E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0" w:hRule="atLeast"/>
        </w:trPr>
        <w:tc>
          <w:tcPr>
            <w:tcW w:w="627" w:type="dxa"/>
            <w:tcBorders>
              <w:top w:val="single" w:color="000000" w:sz="4" w:space="0"/>
              <w:left w:val="single" w:color="000000" w:sz="4" w:space="0"/>
              <w:bottom w:val="single" w:color="000000" w:sz="4" w:space="0"/>
              <w:right w:val="single" w:color="000000" w:sz="4" w:space="0"/>
            </w:tcBorders>
            <w:noWrap w:val="0"/>
            <w:vAlign w:val="center"/>
          </w:tcPr>
          <w:p w14:paraId="5C7B186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627" w:type="dxa"/>
            <w:tcBorders>
              <w:top w:val="single" w:color="000000" w:sz="4" w:space="0"/>
              <w:left w:val="single" w:color="000000" w:sz="4" w:space="0"/>
              <w:bottom w:val="single" w:color="000000" w:sz="4" w:space="0"/>
              <w:right w:val="single" w:color="000000" w:sz="4" w:space="0"/>
            </w:tcBorders>
            <w:noWrap w:val="0"/>
            <w:vAlign w:val="center"/>
          </w:tcPr>
          <w:p w14:paraId="61A498A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统一端点安全管理系统</w:t>
            </w:r>
          </w:p>
        </w:tc>
        <w:tc>
          <w:tcPr>
            <w:tcW w:w="5670" w:type="dxa"/>
            <w:tcBorders>
              <w:top w:val="single" w:color="000000" w:sz="4" w:space="0"/>
              <w:left w:val="single" w:color="000000" w:sz="4" w:space="0"/>
              <w:bottom w:val="single" w:color="000000" w:sz="4" w:space="0"/>
              <w:right w:val="single" w:color="000000" w:sz="4" w:space="0"/>
            </w:tcBorders>
            <w:noWrap w:val="0"/>
            <w:vAlign w:val="center"/>
          </w:tcPr>
          <w:p w14:paraId="4A62027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性能参数：最大支持管控aES客户端数量：1W点。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安全策略模板一体化设置，全网资产盘点与风险可视，自动化日志可视化报表一键导出，管理账号分权分域，总分平台级联控制；管理平台需搭配客户端软件一齐使用，单独购买无效，含1年升级维护费用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1套* 统一端点安全管理系统软件V6.0（产品控制中心） ,含：</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150套* 端点安全软件V6.0（PC全量版）;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20套* 端点安全软件V6.0（服务器全量版）;</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7A0152E0">
            <w:pPr>
              <w:keepNext w:val="0"/>
              <w:keepLines w:val="0"/>
              <w:widowControl/>
              <w:suppressLineNumbers w:val="0"/>
              <w:jc w:val="left"/>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套</w:t>
            </w:r>
          </w:p>
        </w:tc>
        <w:tc>
          <w:tcPr>
            <w:tcW w:w="1085" w:type="dxa"/>
            <w:tcBorders>
              <w:top w:val="single" w:color="000000" w:sz="4" w:space="0"/>
              <w:left w:val="single" w:color="000000" w:sz="4" w:space="0"/>
              <w:bottom w:val="single" w:color="000000" w:sz="4" w:space="0"/>
              <w:right w:val="single" w:color="000000" w:sz="4" w:space="0"/>
            </w:tcBorders>
            <w:noWrap w:val="0"/>
            <w:vAlign w:val="center"/>
          </w:tcPr>
          <w:p w14:paraId="2A8E1AD8">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w:t>
            </w:r>
          </w:p>
        </w:tc>
      </w:tr>
      <w:tr w14:paraId="4E4EE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0" w:hRule="atLeast"/>
        </w:trPr>
        <w:tc>
          <w:tcPr>
            <w:tcW w:w="627" w:type="dxa"/>
            <w:tcBorders>
              <w:top w:val="single" w:color="000000" w:sz="4" w:space="0"/>
              <w:left w:val="single" w:color="000000" w:sz="4" w:space="0"/>
              <w:bottom w:val="single" w:color="000000" w:sz="4" w:space="0"/>
              <w:right w:val="single" w:color="000000" w:sz="4" w:space="0"/>
            </w:tcBorders>
            <w:noWrap w:val="0"/>
            <w:vAlign w:val="center"/>
          </w:tcPr>
          <w:p w14:paraId="7A7D4AF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627" w:type="dxa"/>
            <w:tcBorders>
              <w:top w:val="single" w:color="000000" w:sz="4" w:space="0"/>
              <w:left w:val="single" w:color="000000" w:sz="4" w:space="0"/>
              <w:bottom w:val="single" w:color="000000" w:sz="4" w:space="0"/>
              <w:right w:val="single" w:color="000000" w:sz="4" w:space="0"/>
            </w:tcBorders>
            <w:noWrap w:val="0"/>
            <w:vAlign w:val="center"/>
          </w:tcPr>
          <w:p w14:paraId="4A867FB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零信任</w:t>
            </w:r>
          </w:p>
        </w:tc>
        <w:tc>
          <w:tcPr>
            <w:tcW w:w="5670" w:type="dxa"/>
            <w:tcBorders>
              <w:top w:val="single" w:color="000000" w:sz="4" w:space="0"/>
              <w:left w:val="single" w:color="000000" w:sz="4" w:space="0"/>
              <w:bottom w:val="single" w:color="000000" w:sz="4" w:space="0"/>
              <w:right w:val="single" w:color="000000" w:sz="4" w:space="0"/>
            </w:tcBorders>
            <w:noWrap w:val="0"/>
            <w:vAlign w:val="center"/>
          </w:tcPr>
          <w:p w14:paraId="3DF5658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SL性能参数：最大理论加密流量（Mbps）：300，最大理论建议并发用户数：400，最大理论https并发连接数（个）：15000，理论https新建连接数（个/秒）：60；IPSEC性能参数：加密最大流量（Mbps）：85，理论并发隧道数（Tunnel）：300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硬件参数：规格：1U，内存大小：16G，硬盘容量：128G SSD，电源：单电源，接口：8千兆电口+2万兆光口SFP+。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1台* aTrust-1000-B1030M标准产品 ,含：</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1套* 零信任访问控制系统软件V2.0;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200套* 零信任接入授权（授权买断）;</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25852239">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台</w:t>
            </w:r>
          </w:p>
        </w:tc>
        <w:tc>
          <w:tcPr>
            <w:tcW w:w="1085" w:type="dxa"/>
            <w:tcBorders>
              <w:top w:val="single" w:color="000000" w:sz="4" w:space="0"/>
              <w:left w:val="single" w:color="000000" w:sz="4" w:space="0"/>
              <w:bottom w:val="single" w:color="000000" w:sz="4" w:space="0"/>
              <w:right w:val="single" w:color="000000" w:sz="4" w:space="0"/>
            </w:tcBorders>
            <w:noWrap w:val="0"/>
            <w:vAlign w:val="center"/>
          </w:tcPr>
          <w:p w14:paraId="3FB01D9F">
            <w:pPr>
              <w:keepNext w:val="0"/>
              <w:keepLines w:val="0"/>
              <w:widowControl/>
              <w:suppressLineNumbers w:val="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1</w:t>
            </w:r>
          </w:p>
        </w:tc>
      </w:tr>
    </w:tbl>
    <w:p w14:paraId="46A34624">
      <w:pPr>
        <w:spacing w:line="360" w:lineRule="auto"/>
        <w:rPr>
          <w:rFonts w:hint="default"/>
          <w:sz w:val="24"/>
          <w:lang w:val="en-US" w:eastAsia="zh-CN"/>
        </w:rPr>
      </w:pPr>
    </w:p>
    <w:p w14:paraId="3955BB18">
      <w:pPr>
        <w:spacing w:line="360" w:lineRule="auto"/>
        <w:rPr>
          <w:rFonts w:hint="eastAsia"/>
          <w:sz w:val="24"/>
          <w:lang w:val="en-US" w:eastAsia="zh-CN"/>
        </w:rPr>
      </w:pPr>
      <w:r>
        <w:rPr>
          <w:rFonts w:hint="eastAsia"/>
          <w:sz w:val="24"/>
          <w:lang w:val="en-US" w:eastAsia="zh-CN"/>
        </w:rPr>
        <w:t>3.5 机房建设</w:t>
      </w:r>
    </w:p>
    <w:p w14:paraId="3F0E9A1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7F5019"/>
    <w:multiLevelType w:val="multilevel"/>
    <w:tmpl w:val="337F501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42126BB7"/>
    <w:multiLevelType w:val="multilevel"/>
    <w:tmpl w:val="42126BB7"/>
    <w:lvl w:ilvl="0" w:tentative="0">
      <w:start w:val="1"/>
      <w:numFmt w:val="bullet"/>
      <w:lvlText w:val=""/>
      <w:lvlJc w:val="left"/>
      <w:pPr>
        <w:ind w:left="1200" w:hanging="420"/>
      </w:pPr>
      <w:rPr>
        <w:rFonts w:hint="default" w:ascii="Wingdings" w:hAnsi="Wingdings"/>
      </w:rPr>
    </w:lvl>
    <w:lvl w:ilvl="1" w:tentative="0">
      <w:start w:val="1"/>
      <w:numFmt w:val="bullet"/>
      <w:lvlText w:val=""/>
      <w:lvlJc w:val="left"/>
      <w:pPr>
        <w:ind w:left="1620" w:hanging="420"/>
      </w:pPr>
      <w:rPr>
        <w:rFonts w:hint="default" w:ascii="Wingdings" w:hAnsi="Wingdings"/>
      </w:rPr>
    </w:lvl>
    <w:lvl w:ilvl="2" w:tentative="0">
      <w:start w:val="1"/>
      <w:numFmt w:val="bullet"/>
      <w:lvlText w:val=""/>
      <w:lvlJc w:val="left"/>
      <w:pPr>
        <w:ind w:left="2040" w:hanging="420"/>
      </w:pPr>
      <w:rPr>
        <w:rFonts w:hint="default" w:ascii="Wingdings" w:hAnsi="Wingdings"/>
      </w:rPr>
    </w:lvl>
    <w:lvl w:ilvl="3" w:tentative="0">
      <w:start w:val="1"/>
      <w:numFmt w:val="bullet"/>
      <w:lvlText w:val=""/>
      <w:lvlJc w:val="left"/>
      <w:pPr>
        <w:ind w:left="2460" w:hanging="420"/>
      </w:pPr>
      <w:rPr>
        <w:rFonts w:hint="default" w:ascii="Wingdings" w:hAnsi="Wingdings"/>
      </w:rPr>
    </w:lvl>
    <w:lvl w:ilvl="4" w:tentative="0">
      <w:start w:val="1"/>
      <w:numFmt w:val="bullet"/>
      <w:lvlText w:val=""/>
      <w:lvlJc w:val="left"/>
      <w:pPr>
        <w:ind w:left="2880" w:hanging="420"/>
      </w:pPr>
      <w:rPr>
        <w:rFonts w:hint="default" w:ascii="Wingdings" w:hAnsi="Wingdings"/>
      </w:rPr>
    </w:lvl>
    <w:lvl w:ilvl="5" w:tentative="0">
      <w:start w:val="1"/>
      <w:numFmt w:val="bullet"/>
      <w:lvlText w:val=""/>
      <w:lvlJc w:val="left"/>
      <w:pPr>
        <w:ind w:left="3300" w:hanging="420"/>
      </w:pPr>
      <w:rPr>
        <w:rFonts w:hint="default" w:ascii="Wingdings" w:hAnsi="Wingdings"/>
      </w:rPr>
    </w:lvl>
    <w:lvl w:ilvl="6" w:tentative="0">
      <w:start w:val="1"/>
      <w:numFmt w:val="bullet"/>
      <w:lvlText w:val=""/>
      <w:lvlJc w:val="left"/>
      <w:pPr>
        <w:ind w:left="3720" w:hanging="420"/>
      </w:pPr>
      <w:rPr>
        <w:rFonts w:hint="default" w:ascii="Wingdings" w:hAnsi="Wingdings"/>
      </w:rPr>
    </w:lvl>
    <w:lvl w:ilvl="7" w:tentative="0">
      <w:start w:val="1"/>
      <w:numFmt w:val="bullet"/>
      <w:lvlText w:val=""/>
      <w:lvlJc w:val="left"/>
      <w:pPr>
        <w:ind w:left="4140" w:hanging="420"/>
      </w:pPr>
      <w:rPr>
        <w:rFonts w:hint="default" w:ascii="Wingdings" w:hAnsi="Wingdings"/>
      </w:rPr>
    </w:lvl>
    <w:lvl w:ilvl="8" w:tentative="0">
      <w:start w:val="1"/>
      <w:numFmt w:val="bullet"/>
      <w:lvlText w:val=""/>
      <w:lvlJc w:val="left"/>
      <w:pPr>
        <w:ind w:left="4560" w:hanging="420"/>
      </w:pPr>
      <w:rPr>
        <w:rFonts w:hint="default" w:ascii="Wingdings" w:hAnsi="Wingdings"/>
      </w:rPr>
    </w:lvl>
  </w:abstractNum>
  <w:abstractNum w:abstractNumId="2">
    <w:nsid w:val="52054E64"/>
    <w:multiLevelType w:val="multilevel"/>
    <w:tmpl w:val="52054E64"/>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27FBF"/>
    <w:rsid w:val="068F565C"/>
    <w:rsid w:val="0B007C59"/>
    <w:rsid w:val="10C45821"/>
    <w:rsid w:val="13505222"/>
    <w:rsid w:val="16C6687E"/>
    <w:rsid w:val="2CD86025"/>
    <w:rsid w:val="384C1410"/>
    <w:rsid w:val="4675458D"/>
    <w:rsid w:val="49C549DB"/>
    <w:rsid w:val="4C6E37F4"/>
    <w:rsid w:val="5D206911"/>
    <w:rsid w:val="5E8C529A"/>
    <w:rsid w:val="63412E03"/>
    <w:rsid w:val="66911DF5"/>
    <w:rsid w:val="744C6D4D"/>
    <w:rsid w:val="74C27FBF"/>
    <w:rsid w:val="750C0740"/>
    <w:rsid w:val="7A144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9"/>
    <w:pPr>
      <w:keepNext/>
      <w:keepLines/>
      <w:autoSpaceDE w:val="0"/>
      <w:autoSpaceDN w:val="0"/>
      <w:adjustRightInd w:val="0"/>
      <w:spacing w:before="120" w:line="300" w:lineRule="auto"/>
      <w:jc w:val="center"/>
      <w:outlineLvl w:val="1"/>
    </w:pPr>
    <w:rPr>
      <w:rFonts w:ascii="Arial" w:hAnsi="Arial" w:eastAsia="黑体"/>
      <w:b/>
      <w:kern w:val="0"/>
      <w:sz w:val="30"/>
      <w:szCs w:val="20"/>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5">
    <w:name w:val="List Paragraph"/>
    <w:basedOn w:val="1"/>
    <w:qFormat/>
    <w:uiPriority w:val="34"/>
    <w:pPr>
      <w:ind w:firstLine="420" w:firstLineChars="200"/>
    </w:pPr>
    <w:rPr>
      <w:rFonts w:ascii="Calibri" w:hAnsi="Calibri"/>
      <w:szCs w:val="22"/>
    </w:rPr>
  </w:style>
  <w:style w:type="character" w:customStyle="1" w:styleId="6">
    <w:name w:val="font41"/>
    <w:basedOn w:val="4"/>
    <w:qFormat/>
    <w:uiPriority w:val="0"/>
    <w:rPr>
      <w:rFonts w:hint="eastAsia" w:ascii="微软雅黑" w:hAnsi="微软雅黑" w:eastAsia="微软雅黑" w:cs="微软雅黑"/>
      <w:color w:val="000000"/>
      <w:sz w:val="20"/>
      <w:szCs w:val="20"/>
      <w:u w:val="none"/>
    </w:rPr>
  </w:style>
  <w:style w:type="character" w:customStyle="1" w:styleId="7">
    <w:name w:val="font81"/>
    <w:basedOn w:val="4"/>
    <w:uiPriority w:val="0"/>
    <w:rPr>
      <w:rFonts w:hint="eastAsia" w:ascii="微软雅黑" w:hAnsi="微软雅黑" w:eastAsia="微软雅黑" w:cs="微软雅黑"/>
      <w:color w:val="FF0000"/>
      <w:sz w:val="20"/>
      <w:szCs w:val="20"/>
      <w:u w:val="none"/>
    </w:rPr>
  </w:style>
  <w:style w:type="character" w:customStyle="1" w:styleId="8">
    <w:name w:val="font31"/>
    <w:basedOn w:val="4"/>
    <w:uiPriority w:val="0"/>
    <w:rPr>
      <w:rFonts w:hint="eastAsia" w:ascii="微软雅黑" w:hAnsi="微软雅黑" w:eastAsia="微软雅黑" w:cs="微软雅黑"/>
      <w:color w:val="000000"/>
      <w:sz w:val="20"/>
      <w:szCs w:val="20"/>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2025-11-26T07:40:00Z</dcterms:created>
  <dc:creator>王世先</dc:creator>
  <cp:lastModifiedBy>王世先</cp:lastModifiedBy>
  <dcterms:modified xsi:type="dcterms:W3CDTF">2025-11-26T07:41:23Z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7C107180BA7C4DA9861A2401FC87AF0E_11</vt:lpwstr>
  </property>
  <property fmtid="{D5CDD505-2E9C-101B-9397-08002B2CF9AE}" pid="4" name="KSOTemplateDocerSaveRecord">
    <vt:lpwstr>eyJoZGlkIjoiMDk1ZmRmMzFlMjE0MGIwOWIzMWM4ZTM3MzgxNmRkODIiLCJ1c2VySWQiOiIxNTgyNzc2NjQ3In0=</vt:lpwstr>
  </property>
</Properties>
</file>