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和豆包的对话_0331</w:t>
      </w:r>
    </w:p>
    <w:p>
      <w:pPr>
        <w:pStyle w:val="Heading1"/>
      </w:pPr>
      <w:r>
        <w:t xml:space="preserve">金诚信矿业终端安全解决方案双版对比及核心能力介绍</w:t>
      </w:r>
    </w:p>
    <w:p>
      <w:pPr>
        <w:pStyle w:val="Heading2"/>
      </w:pPr>
      <w:r>
        <w:t xml:space="preserve">一、两版方案核心差异</w:t>
      </w:r>
    </w:p>
    <w:p>
      <w:pPr>
        <w:pStyle w:val="text"/>
      </w:pPr>
      <w:r>
        <w:t xml:space="preserve">两款方案均围绕金诚信矿业</w:t>
      </w:r>
      <w:r>
        <w:rPr>
          <w:b/>
          <w:bCs/>
        </w:rPr>
        <w:t xml:space="preserve">数据防泄密、终端访问安全</w:t>
      </w:r>
      <w:r>
        <w:t xml:space="preserve">核心需求设计，适配矿业业务特点，核心差异体现在防护范围、预算与落地深度，满足不同阶段建设需求，具体对比如下：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对比维度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方案一（全面防护版）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方案二（轻量化防护版）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核心预算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约500万元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约100万元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防护理念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全链路闭环防护，覆盖终端安全全场景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聚焦核心风险，仅解决终端泄密、未授权访问问题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核心模块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透明加密、DLP、桌管、EDR、零信任、数据安全交换平台、统一管理平台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仅终端DLP+零信任（集成飞书）双核心模块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终端策略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500台核心PC全模块部署，5000台普通PC分级部署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全量终端统一部署DLP+零信任，无差异化配置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防护范围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数据安全、终端安全、访问安全、统一管理全覆盖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仅覆盖数据外发管控、访问身份认证，无独立终端防护与管理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飞书集成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深度联动认证、审批、日志、告警全流程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基础集成，仅实现飞书作为零信任入口+文件外发管控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落地周期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16周，四阶段标准化实施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8-10周，简化流程快速落地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建设目标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满足上市公司全维度合规，构建长期可扩展安全体系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低成本快速落地，满足企业基础合规与核心风险防护</w:t>
            </w:r>
          </w:p>
        </w:tc>
      </w:tr>
    </w:tbl>
    <w:p>
      <w:pPr>
        <w:pStyle w:val="text"/>
      </w:pPr>
      <w:r>
        <w:t xml:space="preserve">两款方案均兼容矿业CAD、工程软件等专业格式及飞书办公场景，不影响核心业务开展。</w:t>
      </w:r>
    </w:p>
    <w:p>
      <w:pPr>
        <w:pStyle w:val="Heading2"/>
      </w:pPr>
      <w:r>
        <w:t xml:space="preserve">二、零信任+DLP核心组合具体功能</w:t>
      </w:r>
    </w:p>
    <w:p>
      <w:pPr>
        <w:pStyle w:val="text"/>
      </w:pPr>
      <w:r>
        <w:t xml:space="preserve">零信任+DLP是两款方案的共性核心模块，协同实现</w:t>
      </w:r>
      <w:r>
        <w:rPr>
          <w:b/>
          <w:bCs/>
        </w:rPr>
        <w:t xml:space="preserve">访问源头管控+数据流转防护</w:t>
      </w:r>
      <w:r>
        <w:t xml:space="preserve">，精准解决矿业终端核心安全风险，深度适配飞书办公场景：</w:t>
      </w:r>
    </w:p>
    <w:p>
      <w:pPr>
        <w:pStyle w:val="Heading3"/>
      </w:pPr>
      <w:r>
        <w:t xml:space="preserve">（一）零信任访问控制（集成飞书）</w:t>
      </w:r>
    </w:p>
    <w:p>
      <w:pPr>
        <w:pStyle w:val="text"/>
        <w:numPr>
          <w:ilvl w:val="0"/>
          <w:numId w:val="2"/>
        </w:numPr>
      </w:pPr>
      <w:r>
        <w:t xml:space="preserve">飞书作为统一身份入口，登录后自动触发零信任认证，无需额外操作，贴合办公习惯；</w:t>
      </w:r>
    </w:p>
    <w:p>
      <w:pPr>
        <w:pStyle w:val="text"/>
        <w:numPr>
          <w:ilvl w:val="0"/>
          <w:numId w:val="2"/>
        </w:numPr>
      </w:pPr>
      <w:r>
        <w:t xml:space="preserve">采用</w:t>
      </w:r>
      <w:r>
        <w:rPr>
          <w:b/>
          <w:bCs/>
        </w:rPr>
        <w:t xml:space="preserve">飞书原生认证+终端安全状态校验</w:t>
      </w:r>
      <w:r>
        <w:t xml:space="preserve">双重机制，仅合规终端可访问内部资源，未授权终端禁止接入；</w:t>
      </w:r>
    </w:p>
    <w:p>
      <w:pPr>
        <w:pStyle w:val="text"/>
        <w:numPr>
          <w:ilvl w:val="0"/>
          <w:numId w:val="2"/>
        </w:numPr>
      </w:pPr>
      <w:r>
        <w:t xml:space="preserve">同步飞书组织架构，按岗位实现最小权限分配，核心资源专人专权，访问核心应用需飞书二次认证；</w:t>
      </w:r>
    </w:p>
    <w:p>
      <w:pPr>
        <w:pStyle w:val="text"/>
        <w:numPr>
          <w:ilvl w:val="0"/>
          <w:numId w:val="2"/>
        </w:numPr>
      </w:pPr>
      <w:r>
        <w:t xml:space="preserve">支持远程办公通过飞书零信任安全接入，替代传统VPN，终端出现风险时动态冻结访问权限。</w:t>
      </w:r>
    </w:p>
    <w:p>
      <w:pPr>
        <w:pStyle w:val="Heading3"/>
      </w:pPr>
      <w:r>
        <w:t xml:space="preserve">（二）终端DLP防护系统</w:t>
      </w:r>
    </w:p>
    <w:p>
      <w:pPr>
        <w:pStyle w:val="text"/>
        <w:numPr>
          <w:ilvl w:val="0"/>
          <w:numId w:val="2"/>
        </w:numPr>
      </w:pPr>
      <w:r>
        <w:t xml:space="preserve">管控邮件、U盘、微信等全外发渠道，</w:t>
      </w:r>
      <w:r>
        <w:rPr>
          <w:b/>
          <w:bCs/>
        </w:rPr>
        <w:t xml:space="preserve">重点聚焦飞书聊天、云文档、邮件</w:t>
      </w:r>
      <w:r>
        <w:t xml:space="preserve">全场景文件外发，实现无死角监控；</w:t>
      </w:r>
    </w:p>
    <w:p>
      <w:pPr>
        <w:pStyle w:val="text"/>
        <w:numPr>
          <w:ilvl w:val="0"/>
          <w:numId w:val="2"/>
        </w:numPr>
      </w:pPr>
      <w:r>
        <w:t xml:space="preserve">支持关键词、正则表达式、文件指纹多维度识别矿业敏感数据（采矿方案、储量数据等），飞书内容实时扫描；</w:t>
      </w:r>
    </w:p>
    <w:p>
      <w:pPr>
        <w:pStyle w:val="text"/>
        <w:numPr>
          <w:ilvl w:val="0"/>
          <w:numId w:val="2"/>
        </w:numPr>
      </w:pPr>
      <w:r>
        <w:t xml:space="preserve">针对违规外发采取</w:t>
      </w:r>
      <w:r>
        <w:rPr>
          <w:b/>
          <w:bCs/>
        </w:rPr>
        <w:t xml:space="preserve">阻断告警、加密外发、审批外发</w:t>
      </w:r>
      <w:r>
        <w:t xml:space="preserve">三种差异化策略，审批流程与飞书联动，线上高效处理；</w:t>
      </w:r>
    </w:p>
    <w:p>
      <w:pPr>
        <w:pStyle w:val="text"/>
        <w:numPr>
          <w:ilvl w:val="0"/>
          <w:numId w:val="2"/>
        </w:numPr>
      </w:pPr>
      <w:r>
        <w:t xml:space="preserve">记录所有数据操作审计日志，支持多维度检索，兼容矿业所有专业文件格式，防护不影响文件正常编辑。</w:t>
      </w:r>
    </w:p>
    <w:p>
      <w:pPr>
        <w:pStyle w:val="Heading3"/>
      </w:pPr>
      <w:r>
        <w:t xml:space="preserve">（三）二者协同联动</w:t>
      </w:r>
    </w:p>
    <w:p>
      <w:pPr>
        <w:pStyle w:val="text"/>
      </w:pPr>
      <w:r>
        <w:t xml:space="preserve"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pPr>
        <w:pStyle w:val="Heading2"/>
      </w:pPr>
      <w:r>
        <w:t xml:space="preserve">三、无感知安装部署，最小化影响终端用户</w:t>
      </w:r>
    </w:p>
    <w:p>
      <w:pPr>
        <w:pStyle w:val="text"/>
      </w:pPr>
      <w:r>
        <w:t xml:space="preserve">部署遵循</w:t>
      </w:r>
      <w:r>
        <w:rPr>
          <w:b/>
          <w:bCs/>
        </w:rPr>
        <w:t xml:space="preserve">业务无感知、操作无影响、防护后台化</w:t>
      </w:r>
      <w:r>
        <w:t xml:space="preserve">原则，针对矿业5000台终端、多岗位、依赖专业软件的特点，分三阶段实施，最大限度降低对用户的影响：</w:t>
      </w:r>
    </w:p>
    <w:p>
      <w:pPr>
        <w:pStyle w:val="Heading3"/>
      </w:pPr>
      <w:r>
        <w:t xml:space="preserve">（一）部署前：充分调研，提前适配</w:t>
      </w:r>
    </w:p>
    <w:p>
      <w:pPr>
        <w:pStyle w:val="text"/>
      </w:pPr>
      <w:r>
        <w:t xml:space="preserve">全量采集终端硬件、系统、专业软件及飞书版本信息，定制化部署包；搭建测试环境，专项验证安全客户端与矿业专业软件、飞书的兼容性，提前解决冲突；按</w:t>
      </w:r>
      <w:r>
        <w:rPr>
          <w:b/>
          <w:bCs/>
        </w:rPr>
        <w:t xml:space="preserve">非核心→一般→核心部门</w:t>
      </w:r>
      <w:r>
        <w:t xml:space="preserve">规划分批次部署，降低核心业务风险。</w:t>
      </w:r>
    </w:p>
    <w:p>
      <w:pPr>
        <w:pStyle w:val="Heading3"/>
      </w:pPr>
      <w:r>
        <w:t xml:space="preserve">（二）部署中：静默安装，错峰实施</w:t>
      </w:r>
    </w:p>
    <w:p>
      <w:pPr>
        <w:pStyle w:val="text"/>
      </w:pPr>
      <w:r>
        <w:t xml:space="preserve"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pPr>
        <w:pStyle w:val="Heading3"/>
      </w:pPr>
      <w:r>
        <w:t xml:space="preserve">（三）部署后：后台运行，轻量化运营</w:t>
      </w:r>
    </w:p>
    <w:p>
      <w:pPr>
        <w:pStyle w:val="text"/>
      </w:pPr>
      <w:r>
        <w:t xml:space="preserve">安全客户端后台静默运行，无桌面图标，防护策略自动执行，用户办公操作与部署前无差异；按核心/普通PC制定差异化防护策略，避免过度管控；采用</w:t>
      </w:r>
      <w:r>
        <w:rPr>
          <w:b/>
          <w:bCs/>
        </w:rPr>
        <w:t xml:space="preserve">线上简易手册+短时长专项培训</w:t>
      </w:r>
      <w:r>
        <w:t xml:space="preserve">，降低用户学习成本，全量员工仅需了解基础安全规则。</w:t>
      </w:r>
    </w:p>
    <w:p>
      <w:pPr>
        <w:pStyle w:val="text"/>
      </w:pPr>
      <w:r>
        <w:t xml:space="preserve"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pPr>
        <w:pStyle w:val="Heading2"/>
      </w:pPr>
      <w:r>
        <w:t xml:space="preserve">四、方案选择建议</w:t>
      </w:r>
    </w:p>
    <w:p>
      <w:pPr>
        <w:pStyle w:val="text"/>
      </w:pPr>
      <w:r>
        <w:t xml:space="preserve">两款方案均贴合金诚信矿业核心安全需求，可根据企业实际灵活选择：</w:t>
      </w:r>
    </w:p>
    <w:p>
      <w:pPr>
        <w:pStyle w:val="text"/>
        <w:numPr>
          <w:ilvl w:val="0"/>
          <w:numId w:val="2"/>
        </w:numPr>
      </w:pPr>
      <w:r>
        <w:t xml:space="preserve">若需</w:t>
      </w:r>
      <w:r>
        <w:rPr>
          <w:b/>
          <w:bCs/>
        </w:rPr>
        <w:t xml:space="preserve">一次性解决所有终端安全风险</w:t>
      </w:r>
      <w:r>
        <w:t xml:space="preserve">，满足上市公司全维度合规要求，构建长期可扩展、可统一管理的安全体系，选择</w:t>
      </w:r>
      <w:r>
        <w:rPr>
          <w:b/>
          <w:bCs/>
        </w:rPr>
        <w:t xml:space="preserve">方案一（全面防护版）</w:t>
      </w:r>
      <w:r>
        <w:t xml:space="preserve">；</w:t>
      </w:r>
    </w:p>
    <w:p>
      <w:pPr>
        <w:pStyle w:val="text"/>
        <w:numPr>
          <w:ilvl w:val="0"/>
          <w:numId w:val="2"/>
        </w:numPr>
      </w:pPr>
      <w:r>
        <w:t xml:space="preserve">若预算有限，需</w:t>
      </w:r>
      <w:r>
        <w:rPr>
          <w:b/>
          <w:bCs/>
        </w:rPr>
        <w:t xml:space="preserve">低成本、短周期快速落地</w:t>
      </w:r>
      <w:r>
        <w:t xml:space="preserve">，仅解决终端泄密与未授权访问核心风险，满足基础合规要求，选择</w:t>
      </w:r>
      <w:r>
        <w:rPr>
          <w:b/>
          <w:bCs/>
        </w:rPr>
        <w:t xml:space="preserve">方案二（轻量化防护版）</w:t>
      </w:r>
      <w:r>
        <w:t xml:space="preserve">。</w:t>
      </w:r>
    </w:p>
    <w:p>
      <w:pPr>
        <w:pStyle w:val="text"/>
      </w:pPr>
      <w:r>
        <w:t xml:space="preserve">两款方案支持无缝升级扩展，若先部署方案二，后续可直接新增加密、EDR、统一管理等模块，无需重新部署，最大限度降低后期建设成本。</w:t>
      </w:r>
    </w:p>
    <w:p>
      <w:pPr>
        <w:pStyle w:val="text"/>
      </w:pPr>
      <w:r>
        <w:t xml:space="preserve">（全文约1480字）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2026-03-31T06:08:42.603Z</dcterms:created>
  <dcterms:modified xsi:type="dcterms:W3CDTF">2026-03-31T06:08:42.603Z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