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A09A">
      <w:pPr>
        <w:spacing w:before="156" w:beforeLines="50" w:after="156" w:afterLines="50" w:line="360" w:lineRule="auto"/>
        <w:ind w:left="861" w:hanging="861" w:hangingChars="286"/>
        <w:outlineLvl w:val="2"/>
        <w:rPr>
          <w:rFonts w:hint="default" w:ascii="Times New Roman Regular" w:hAnsi="Times New Roman Regular" w:cs="Times New Roman Regular"/>
          <w:b/>
          <w:sz w:val="30"/>
          <w:szCs w:val="30"/>
        </w:rPr>
      </w:pPr>
      <w:r>
        <w:rPr>
          <w:rFonts w:hint="default" w:ascii="Times New Roman Regular" w:hAnsi="Times New Roman Regular" w:cs="Times New Roman Regular"/>
          <w:b/>
          <w:sz w:val="30"/>
          <w:szCs w:val="30"/>
        </w:rPr>
        <w:t>一、项目概况</w:t>
      </w:r>
    </w:p>
    <w:p w14:paraId="18C0BCCB">
      <w:pPr>
        <w:spacing w:before="156" w:beforeLines="50" w:after="156" w:afterLines="50" w:line="360" w:lineRule="auto"/>
        <w:ind w:left="804" w:hanging="804" w:hangingChars="286"/>
        <w:outlineLvl w:val="3"/>
        <w:rPr>
          <w:rFonts w:hint="default" w:ascii="Times New Roman Regular" w:hAnsi="Times New Roman Regular" w:cs="Times New Roman Regular"/>
          <w:sz w:val="24"/>
        </w:rPr>
      </w:pPr>
      <w:r>
        <w:rPr>
          <w:rFonts w:hint="default" w:ascii="Times New Roman Regular" w:hAnsi="Times New Roman Regular" w:cs="Times New Roman Regular"/>
          <w:b/>
          <w:sz w:val="28"/>
        </w:rPr>
        <w:t>1.1项目背景</w:t>
      </w:r>
    </w:p>
    <w:p w14:paraId="44031557">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14:paraId="5D11E2D7">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公司IT机房设在城隍国际B座8层，面积6m*4m，铺设防静电地板，其中服务器机柜2台、网络机柜2台，服务器12台、存储3台、网络设备10台，UPS1台、立式空调1部；</w:t>
      </w:r>
    </w:p>
    <w:p w14:paraId="0C9AC0B7">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业务系统5套， 主要部署在物理服务器及部分vmware虚拟化平台上；</w:t>
      </w:r>
    </w:p>
    <w:p w14:paraId="0175C5E6">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核心数据库数据量约</w:t>
      </w:r>
      <w:r>
        <w:rPr>
          <w:rFonts w:hint="default" w:ascii="Times New Roman Regular" w:hAnsi="Times New Roman Regular" w:cs="Times New Roman Regular"/>
          <w:sz w:val="24"/>
          <w:szCs w:val="24"/>
          <w:lang w:val="en-US" w:eastAsia="zh-CN"/>
        </w:rPr>
        <w:t>5</w:t>
      </w:r>
      <w:r>
        <w:rPr>
          <w:rFonts w:hint="default" w:ascii="Times New Roman Regular" w:hAnsi="Times New Roman Regular" w:cs="Times New Roman Regular"/>
          <w:sz w:val="24"/>
          <w:szCs w:val="24"/>
        </w:rPr>
        <w:t>00GB、论文资料PDF格式约</w:t>
      </w:r>
      <w:r>
        <w:rPr>
          <w:rFonts w:hint="default" w:ascii="Times New Roman Regular" w:hAnsi="Times New Roman Regular" w:cs="Times New Roman Regular"/>
          <w:sz w:val="24"/>
          <w:szCs w:val="24"/>
          <w:lang w:val="en-US" w:eastAsia="zh-CN"/>
        </w:rPr>
        <w:t>10</w:t>
      </w:r>
      <w:r>
        <w:rPr>
          <w:rFonts w:hint="default" w:ascii="Times New Roman Regular" w:hAnsi="Times New Roman Regular" w:cs="Times New Roman Regular"/>
          <w:sz w:val="24"/>
          <w:szCs w:val="24"/>
        </w:rPr>
        <w:t>TB、办公及邮件附件约2TB；</w:t>
      </w:r>
    </w:p>
    <w:p w14:paraId="659430C1">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员工（100人左右）通过有线和无线两种方式接入公司网络，出口带宽1</w:t>
      </w:r>
      <w:r>
        <w:rPr>
          <w:rFonts w:hint="default" w:ascii="Times New Roman Regular" w:hAnsi="Times New Roman Regular" w:cs="Times New Roman Regular"/>
          <w:sz w:val="24"/>
          <w:szCs w:val="24"/>
          <w:lang w:val="en-US" w:eastAsia="zh-CN"/>
        </w:rPr>
        <w:t>5</w:t>
      </w:r>
      <w:r>
        <w:rPr>
          <w:rFonts w:hint="default" w:ascii="Times New Roman Regular" w:hAnsi="Times New Roman Regular" w:cs="Times New Roman Regular"/>
          <w:sz w:val="24"/>
          <w:szCs w:val="24"/>
        </w:rPr>
        <w:t>0Mbps；</w:t>
      </w:r>
      <w:r>
        <w:rPr>
          <w:rFonts w:hint="default" w:ascii="Times New Roman Regular" w:hAnsi="Times New Roman Regular" w:cs="Times New Roman Regular"/>
          <w:sz w:val="24"/>
          <w:szCs w:val="24"/>
          <w:lang w:val="en-US" w:eastAsia="zh-CN"/>
        </w:rPr>
        <w:t>望京分支通过点对点专线与本部互联；</w:t>
      </w:r>
      <w:r>
        <w:rPr>
          <w:rFonts w:hint="default" w:ascii="Times New Roman Regular" w:hAnsi="Times New Roman Regular" w:cs="Times New Roman Regular"/>
          <w:sz w:val="24"/>
          <w:szCs w:val="24"/>
        </w:rPr>
        <w:t>武汉分公司员工5-10人，通过ADSL拨号接入互联网，访问公司业务系统。</w:t>
      </w:r>
    </w:p>
    <w:p w14:paraId="32179935">
      <w:pPr>
        <w:spacing w:line="360" w:lineRule="auto"/>
        <w:ind w:firstLine="480" w:firstLineChars="200"/>
        <w:rPr>
          <w:rFonts w:hint="default" w:ascii="Times New Roman Regular" w:hAnsi="Times New Roman Regular" w:cs="Times New Roman Regular"/>
          <w:sz w:val="24"/>
          <w:szCs w:val="30"/>
        </w:rPr>
      </w:pPr>
    </w:p>
    <w:p w14:paraId="4AA6A783">
      <w:pPr>
        <w:spacing w:before="156" w:beforeLines="50" w:after="156" w:afterLines="50" w:line="360" w:lineRule="auto"/>
        <w:ind w:left="804" w:hanging="804" w:hangingChars="286"/>
        <w:outlineLvl w:val="3"/>
        <w:rPr>
          <w:rFonts w:hint="default" w:ascii="Times New Roman Regular" w:hAnsi="Times New Roman Regular" w:cs="Times New Roman Regular"/>
          <w:b/>
          <w:sz w:val="28"/>
        </w:rPr>
      </w:pPr>
      <w:r>
        <w:rPr>
          <w:rFonts w:hint="default" w:ascii="Times New Roman Regular" w:hAnsi="Times New Roman Regular" w:cs="Times New Roman Regular"/>
          <w:b/>
          <w:sz w:val="28"/>
        </w:rPr>
        <w:t>1.2建设内容</w:t>
      </w:r>
    </w:p>
    <w:p w14:paraId="47D842B6">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14:paraId="568B860D">
      <w:pPr>
        <w:spacing w:before="156" w:beforeLines="50" w:after="156" w:afterLines="50"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目前急需改善及建设的内容包括：</w:t>
      </w:r>
    </w:p>
    <w:p w14:paraId="65C36593">
      <w:pPr>
        <w:pStyle w:val="2"/>
        <w:numPr>
          <w:ilvl w:val="0"/>
          <w:numId w:val="1"/>
        </w:numPr>
        <w:jc w:val="left"/>
        <w:rPr>
          <w:rFonts w:hint="default" w:ascii="Times New Roman Regular" w:hAnsi="Times New Roman Regular" w:cs="Times New Roman Regular"/>
        </w:rPr>
      </w:pPr>
      <w:r>
        <w:rPr>
          <w:rFonts w:hint="default" w:ascii="Times New Roman Regular" w:hAnsi="Times New Roman Regular" w:cs="Times New Roman Regular"/>
        </w:rPr>
        <w:t xml:space="preserve"> 机房环境改造：</w:t>
      </w:r>
    </w:p>
    <w:p w14:paraId="5B7759A5">
      <w:pPr>
        <w:pStyle w:val="6"/>
        <w:spacing w:before="156" w:beforeLines="50" w:after="156" w:afterLines="50"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目前机房环境不满足等保要求，存在影响业务运行的风险（防静电地板、线缆、UPS老化，机柜空间不足，整体功率超负载运行），需要：</w:t>
      </w:r>
    </w:p>
    <w:p w14:paraId="4A4B45D7">
      <w:pPr>
        <w:pStyle w:val="6"/>
        <w:spacing w:before="156" w:beforeLines="50" w:after="156" w:afterLines="50" w:line="360" w:lineRule="auto"/>
        <w:ind w:left="780" w:firstLine="0" w:firstLineChars="0"/>
        <w:rPr>
          <w:rFonts w:hint="default" w:ascii="Times New Roman Regular" w:hAnsi="Times New Roman Regular" w:cs="Times New Roman Regular"/>
          <w:sz w:val="24"/>
          <w:szCs w:val="24"/>
        </w:rPr>
      </w:pPr>
    </w:p>
    <w:p w14:paraId="2377AEC5">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机房装修</w:t>
      </w:r>
    </w:p>
    <w:p w14:paraId="7F9232E8">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电气工程</w:t>
      </w:r>
    </w:p>
    <w:p w14:paraId="47ABF862">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防雷接地</w:t>
      </w:r>
    </w:p>
    <w:p w14:paraId="5F53091E">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窗户封堵</w:t>
      </w:r>
    </w:p>
    <w:p w14:paraId="3F7CFE23">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新风排风</w:t>
      </w:r>
    </w:p>
    <w:p w14:paraId="3BFB0DA4">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精密空调</w:t>
      </w:r>
    </w:p>
    <w:p w14:paraId="1D23F415">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消防气灭</w:t>
      </w:r>
    </w:p>
    <w:p w14:paraId="781859E5">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UPS电力</w:t>
      </w:r>
    </w:p>
    <w:p w14:paraId="4D27A7A1">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机柜、布线</w:t>
      </w:r>
    </w:p>
    <w:p w14:paraId="05BD91D1">
      <w:pPr>
        <w:pStyle w:val="2"/>
        <w:numPr>
          <w:ilvl w:val="0"/>
          <w:numId w:val="1"/>
        </w:numPr>
        <w:jc w:val="left"/>
        <w:rPr>
          <w:rFonts w:hint="default" w:ascii="Times New Roman Regular" w:hAnsi="Times New Roman Regular" w:cs="Times New Roman Regular"/>
        </w:rPr>
      </w:pPr>
      <w:r>
        <w:rPr>
          <w:rFonts w:hint="default" w:ascii="Times New Roman Regular" w:hAnsi="Times New Roman Regular" w:cs="Times New Roman Regular"/>
        </w:rPr>
        <w:t xml:space="preserve"> 基础网络环境改造</w:t>
      </w:r>
    </w:p>
    <w:p w14:paraId="55018CD1">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14:paraId="5C0B2166">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接入交换机和核心交换机更换（7台24口接入、1台万兆核心）；</w:t>
      </w:r>
    </w:p>
    <w:p w14:paraId="269B67F9">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网络地址段规划及划分；（办公区、服务器区、互联网出口区等）</w:t>
      </w:r>
    </w:p>
    <w:p w14:paraId="2F21CC70">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基础网管功能启用，实现端口、链路状态可视，能快速定位风险及故障；</w:t>
      </w:r>
    </w:p>
    <w:p w14:paraId="5508658F">
      <w:pPr>
        <w:pStyle w:val="6"/>
        <w:numPr>
          <w:ilvl w:val="0"/>
          <w:numId w:val="2"/>
        </w:numPr>
        <w:spacing w:before="156" w:beforeLines="50" w:after="156" w:afterLines="50" w:line="360" w:lineRule="auto"/>
        <w:ind w:firstLineChars="0"/>
        <w:rPr>
          <w:rFonts w:hint="default" w:ascii="Times New Roman Regular" w:hAnsi="Times New Roman Regular" w:cs="Times New Roman Regular"/>
        </w:rPr>
      </w:pPr>
      <w:r>
        <w:rPr>
          <w:rFonts w:hint="default" w:ascii="Times New Roman Regular" w:hAnsi="Times New Roman Regular" w:cs="Times New Roman Regular"/>
          <w:sz w:val="24"/>
          <w:szCs w:val="24"/>
        </w:rPr>
        <w:t>武汉分支机构安全、稳定接入北京办公区网络；</w:t>
      </w:r>
    </w:p>
    <w:p w14:paraId="58DFF5A4">
      <w:pPr>
        <w:pStyle w:val="6"/>
        <w:numPr>
          <w:ilvl w:val="0"/>
          <w:numId w:val="2"/>
        </w:numPr>
        <w:spacing w:before="156" w:beforeLines="50" w:after="156" w:afterLines="50" w:line="360" w:lineRule="auto"/>
        <w:ind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无线覆盖更新，AC一套、AP 8台；</w:t>
      </w:r>
    </w:p>
    <w:p w14:paraId="7A7EB600">
      <w:pPr>
        <w:pStyle w:val="2"/>
        <w:numPr>
          <w:ilvl w:val="0"/>
          <w:numId w:val="1"/>
        </w:numPr>
        <w:jc w:val="left"/>
        <w:rPr>
          <w:rFonts w:hint="default" w:ascii="Times New Roman Regular" w:hAnsi="Times New Roman Regular" w:cs="Times New Roman Regular"/>
        </w:rPr>
      </w:pPr>
      <w:r>
        <w:rPr>
          <w:rFonts w:hint="default" w:ascii="Times New Roman Regular" w:hAnsi="Times New Roman Regular" w:cs="Times New Roman Regular"/>
          <w:lang w:val="en-US" w:eastAsia="zh-CN"/>
        </w:rPr>
        <w:t>内线电话（工作座机）更新</w:t>
      </w:r>
      <w:r>
        <w:rPr>
          <w:rFonts w:hint="default" w:ascii="Times New Roman Regular" w:hAnsi="Times New Roman Regular" w:cs="Times New Roman Regular"/>
        </w:rPr>
        <w:t xml:space="preserve"> </w:t>
      </w:r>
    </w:p>
    <w:p w14:paraId="4C733337">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电话</w:t>
      </w:r>
      <w:r>
        <w:rPr>
          <w:rFonts w:hint="default" w:ascii="Times New Roman Regular" w:hAnsi="Times New Roman Regular" w:cs="Times New Roman Regular"/>
          <w:sz w:val="24"/>
          <w:szCs w:val="24"/>
        </w:rPr>
        <w:t>网大约10年前铺设，线缆老化，部分链路不通，日常运维困难，出现链路问题时无法定位故障点；</w:t>
      </w:r>
    </w:p>
    <w:p w14:paraId="5F6A975D">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本次建设使用无线wifi座机替换现有座机，满足日常内部通讯需求。</w:t>
      </w:r>
    </w:p>
    <w:p w14:paraId="16B317AD">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p>
    <w:p w14:paraId="11CED360">
      <w:pPr>
        <w:spacing w:before="156" w:beforeLines="50" w:after="156" w:afterLines="50" w:line="360" w:lineRule="auto"/>
        <w:ind w:firstLine="480" w:firstLineChars="200"/>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2.3.1 效果图片</w:t>
      </w:r>
    </w:p>
    <w:p w14:paraId="693CB48D">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bookmarkStart w:id="0" w:name="_GoBack"/>
      <w:r>
        <w:rPr>
          <w:rFonts w:hint="default" w:ascii="Times New Roman Regular" w:hAnsi="Times New Roman Regular" w:cs="Times New Roman Regular"/>
          <w:sz w:val="24"/>
          <w:szCs w:val="24"/>
          <w:lang w:val="en-US" w:eastAsia="zh-CN"/>
        </w:rPr>
        <w:drawing>
          <wp:inline distT="0" distB="0" distL="114300" distR="114300">
            <wp:extent cx="5272405" cy="3954145"/>
            <wp:effectExtent l="0" t="0" r="635" b="8255"/>
            <wp:docPr id="2" name="图片 2" descr="web graphic designer workplace tablet monitors"/>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2614249&quot;,&quot;origin&quot;:0,&quot;type&quot;:&quot;pictures&quot;,&quot;user&quot;:&quot;1582776647&quot;}"/>
                  </s:tag>
                </a:ext>
              </a:extLst>
            </wp:cNvGraphicFramePr>
            <a:graphic xmlns:a="http://schemas.openxmlformats.org/drawingml/2006/main">
              <a:graphicData uri="http://schemas.openxmlformats.org/drawingml/2006/picture">
                <pic:pic xmlns:pic="http://schemas.openxmlformats.org/drawingml/2006/picture">
                  <pic:nvPicPr>
                    <pic:cNvPr id="2" name="图片 2" descr="web graphic designer workplace tablet monitors"/>
                    <pic:cNvPicPr>
                      <a:picLocks noChangeAspect="1"/>
                    </pic:cNvPicPr>
                  </pic:nvPicPr>
                  <pic:blipFill>
                    <a:blip r:embed="rId6"/>
                    <a:stretch>
                      <a:fillRect/>
                    </a:stretch>
                  </pic:blipFill>
                  <pic:spPr>
                    <a:xfrm>
                      <a:off x="0" y="0"/>
                      <a:ext cx="5272405" cy="3954145"/>
                    </a:xfrm>
                    <a:prstGeom prst="rect">
                      <a:avLst/>
                    </a:prstGeom>
                  </pic:spPr>
                </pic:pic>
              </a:graphicData>
            </a:graphic>
          </wp:inline>
        </w:drawing>
      </w:r>
      <w:bookmarkEnd w:id="0"/>
    </w:p>
    <w:p w14:paraId="4DAE7CDC">
      <w:pPr>
        <w:pStyle w:val="6"/>
        <w:numPr>
          <w:ilvl w:val="0"/>
          <w:numId w:val="0"/>
        </w:numPr>
        <w:spacing w:before="156" w:beforeLines="50" w:after="156" w:afterLines="50" w:line="360" w:lineRule="auto"/>
        <w:rPr>
          <w:rFonts w:hint="default" w:ascii="Times New Roman Regular" w:hAnsi="Times New Roman Regular" w:cs="Times New Roman Regular"/>
        </w:rPr>
      </w:pPr>
    </w:p>
    <w:p w14:paraId="6C53BD21">
      <w:pPr>
        <w:pStyle w:val="2"/>
        <w:numPr>
          <w:ilvl w:val="0"/>
          <w:numId w:val="1"/>
        </w:numPr>
        <w:jc w:val="left"/>
        <w:rPr>
          <w:rFonts w:hint="default" w:ascii="Times New Roman Regular" w:hAnsi="Times New Roman Regular" w:cs="Times New Roman Regular"/>
          <w:highlight w:val="yellow"/>
        </w:rPr>
      </w:pPr>
      <w:r>
        <w:rPr>
          <w:rFonts w:hint="default" w:ascii="Times New Roman Regular" w:hAnsi="Times New Roman Regular" w:cs="Times New Roman Regular"/>
          <w:highlight w:val="yellow"/>
        </w:rPr>
        <w:t xml:space="preserve"> </w:t>
      </w:r>
      <w:r>
        <w:rPr>
          <w:rFonts w:hint="default" w:ascii="Times New Roman Regular" w:hAnsi="Times New Roman Regular" w:cs="Times New Roman Regular"/>
          <w:highlight w:val="yellow"/>
          <w:lang w:val="en-US" w:eastAsia="zh-CN"/>
        </w:rPr>
        <w:t>私有云</w:t>
      </w:r>
      <w:r>
        <w:rPr>
          <w:rFonts w:hint="default" w:ascii="Times New Roman Regular" w:hAnsi="Times New Roman Regular" w:cs="Times New Roman Regular"/>
          <w:highlight w:val="yellow"/>
        </w:rPr>
        <w:t>平台建设</w:t>
      </w:r>
    </w:p>
    <w:p w14:paraId="35BCEF08">
      <w:pPr>
        <w:spacing w:before="156" w:beforeLines="50" w:after="156" w:afterLines="50"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一、 项目背景与现状挑战</w:t>
      </w:r>
    </w:p>
    <w:p w14:paraId="069B46A9">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14:paraId="673032D6">
      <w:pPr>
        <w:spacing w:before="156" w:beforeLines="50" w:after="156" w:afterLines="50"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二、 建设目标</w:t>
      </w:r>
    </w:p>
    <w:p w14:paraId="1CA4D50C">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14:paraId="7C083098">
      <w:pPr>
        <w:spacing w:before="156" w:beforeLines="50" w:after="156" w:afterLines="50"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三、 详细建设方案</w:t>
      </w:r>
    </w:p>
    <w:p w14:paraId="3EE5426D">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1. 基础架构重构：存算分离的软件定义数据中心（SDDC）</w:t>
      </w:r>
    </w:p>
    <w:p w14:paraId="6CE4A650">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计算与</w:t>
      </w:r>
      <w:r>
        <w:rPr>
          <w:rFonts w:hint="eastAsia" w:ascii="Times New Roman Regular" w:hAnsi="Times New Roman Regular" w:cs="Times New Roman Regular"/>
          <w:sz w:val="24"/>
          <w:szCs w:val="24"/>
          <w:lang w:val="en-US" w:eastAsia="zh-CN"/>
        </w:rPr>
        <w:t>存储</w:t>
      </w:r>
      <w:r>
        <w:rPr>
          <w:rFonts w:hint="default" w:ascii="Times New Roman Regular" w:hAnsi="Times New Roman Regular" w:cs="Times New Roman Regular"/>
          <w:sz w:val="24"/>
          <w:szCs w:val="24"/>
          <w:lang w:val="en-US" w:eastAsia="zh-CN"/>
        </w:rPr>
        <w:t>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w:t>
      </w:r>
      <w:r>
        <w:rPr>
          <w:rFonts w:hint="eastAsia" w:ascii="Times New Roman Regular" w:hAnsi="Times New Roman Regular" w:cs="Times New Roman Regular"/>
          <w:sz w:val="24"/>
          <w:szCs w:val="24"/>
          <w:lang w:val="en-US" w:eastAsia="zh-CN"/>
        </w:rPr>
        <w:t>存储，</w:t>
      </w:r>
      <w:r>
        <w:rPr>
          <w:rFonts w:hint="default" w:ascii="Times New Roman Regular" w:hAnsi="Times New Roman Regular" w:cs="Times New Roman Regular"/>
          <w:sz w:val="24"/>
          <w:szCs w:val="24"/>
          <w:lang w:val="en-US" w:eastAsia="zh-CN"/>
        </w:rPr>
        <w:t>支持块存储、文件存储</w:t>
      </w:r>
      <w:r>
        <w:rPr>
          <w:rFonts w:hint="eastAsia" w:ascii="Times New Roman Regular" w:hAnsi="Times New Roman Regular" w:cs="Times New Roman Regular"/>
          <w:sz w:val="24"/>
          <w:szCs w:val="24"/>
          <w:lang w:val="en-US" w:eastAsia="zh-CN"/>
        </w:rPr>
        <w:t>、</w:t>
      </w:r>
      <w:r>
        <w:rPr>
          <w:rFonts w:hint="default" w:ascii="Times New Roman Regular" w:hAnsi="Times New Roman Regular" w:cs="Times New Roman Regular"/>
          <w:sz w:val="24"/>
          <w:szCs w:val="24"/>
          <w:lang w:val="en-US" w:eastAsia="zh-CN"/>
        </w:rPr>
        <w:t>对象存储协议，打破数据孤岛</w:t>
      </w:r>
      <w:r>
        <w:rPr>
          <w:rFonts w:hint="eastAsia" w:ascii="Times New Roman Regular" w:hAnsi="Times New Roman Regular" w:cs="Times New Roman Regular"/>
          <w:sz w:val="24"/>
          <w:szCs w:val="24"/>
          <w:lang w:val="en-US" w:eastAsia="zh-CN"/>
        </w:rPr>
        <w:t>，在</w:t>
      </w:r>
      <w:r>
        <w:rPr>
          <w:rFonts w:hint="default" w:ascii="Times New Roman Regular" w:hAnsi="Times New Roman Regular" w:cs="Times New Roman Regular"/>
          <w:sz w:val="24"/>
          <w:szCs w:val="24"/>
          <w:lang w:val="en-US" w:eastAsia="zh-CN"/>
        </w:rPr>
        <w:t>提供高性能存储池以支撑核心数据库的高并发读写需求</w:t>
      </w:r>
      <w:r>
        <w:rPr>
          <w:rFonts w:hint="eastAsia" w:ascii="Times New Roman Regular" w:hAnsi="Times New Roman Regular" w:cs="Times New Roman Regular"/>
          <w:sz w:val="24"/>
          <w:szCs w:val="24"/>
          <w:lang w:val="en-US" w:eastAsia="zh-CN"/>
        </w:rPr>
        <w:t>的</w:t>
      </w:r>
      <w:r>
        <w:rPr>
          <w:rFonts w:hint="default" w:ascii="Times New Roman Regular" w:hAnsi="Times New Roman Regular" w:cs="Times New Roman Regular"/>
          <w:sz w:val="24"/>
          <w:szCs w:val="24"/>
          <w:lang w:val="en-US" w:eastAsia="zh-CN"/>
        </w:rPr>
        <w:t>同时利用大容量存储池为企业邮箱、OA系统及NAS文件服务提供海量归档与备份空间，实现全域数据的统一生命周期管理。</w:t>
      </w:r>
    </w:p>
    <w:p w14:paraId="4AC8795B">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2. 云原生转型：IaaS与PaaS融合的一体化平台</w:t>
      </w:r>
    </w:p>
    <w:p w14:paraId="2EBC1903">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在存算分离的IaaS底座之上，集成容器引擎SKE（Sangfor Kubernetes Engine），实现生产级Kubernetes集群的</w:t>
      </w:r>
      <w:r>
        <w:rPr>
          <w:rFonts w:hint="eastAsia" w:ascii="Times New Roman Regular" w:hAnsi="Times New Roman Regular" w:cs="Times New Roman Regular"/>
          <w:sz w:val="24"/>
          <w:szCs w:val="24"/>
          <w:lang w:val="en-US" w:eastAsia="zh-CN"/>
        </w:rPr>
        <w:t>快速部署</w:t>
      </w:r>
      <w:r>
        <w:rPr>
          <w:rFonts w:hint="default" w:ascii="Times New Roman Regular" w:hAnsi="Times New Roman Regular" w:cs="Times New Roman Regular"/>
          <w:sz w:val="24"/>
          <w:szCs w:val="24"/>
          <w:lang w:val="en-US" w:eastAsia="zh-CN"/>
        </w:rPr>
        <w:t>交付。</w:t>
      </w:r>
      <w:r>
        <w:rPr>
          <w:rFonts w:hint="eastAsia" w:ascii="Times New Roman Regular" w:hAnsi="Times New Roman Regular" w:cs="Times New Roman Regular"/>
          <w:sz w:val="24"/>
          <w:szCs w:val="24"/>
          <w:lang w:val="en-US" w:eastAsia="zh-CN"/>
        </w:rPr>
        <w:t>平台</w:t>
      </w:r>
      <w:r>
        <w:rPr>
          <w:rFonts w:hint="default" w:ascii="Times New Roman Regular" w:hAnsi="Times New Roman Regular" w:cs="Times New Roman Regular"/>
          <w:sz w:val="24"/>
          <w:szCs w:val="24"/>
          <w:lang w:val="en-US" w:eastAsia="zh-CN"/>
        </w:rPr>
        <w:t>提供“所见即所得”的容器管理能力，涵盖容器的创建、自动化编排、弹性伸缩、实时监控、日志采集及事件审计等全流程，构建IaaS+PaaS一体化的敏捷交付体系，加速业务应用的现代化改造与快速迭代。</w:t>
      </w:r>
    </w:p>
    <w:p w14:paraId="0673C8E6">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3. 内生安全体系：云网</w:t>
      </w:r>
      <w:r>
        <w:rPr>
          <w:rFonts w:hint="eastAsia" w:ascii="Times New Roman Regular" w:hAnsi="Times New Roman Regular" w:cs="Times New Roman Regular"/>
          <w:sz w:val="24"/>
          <w:szCs w:val="24"/>
          <w:lang w:val="en-US" w:eastAsia="zh-CN"/>
        </w:rPr>
        <w:t>端</w:t>
      </w:r>
      <w:r>
        <w:rPr>
          <w:rFonts w:hint="default" w:ascii="Times New Roman Regular" w:hAnsi="Times New Roman Regular" w:cs="Times New Roman Regular"/>
          <w:sz w:val="24"/>
          <w:szCs w:val="24"/>
          <w:lang w:val="en-US" w:eastAsia="zh-CN"/>
        </w:rPr>
        <w:t>立体防护</w:t>
      </w:r>
    </w:p>
    <w:p w14:paraId="17833D59">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在私有云平台内部署同品牌的虚拟化安全组件，包括虚拟堡垒机、虚拟日志审计系统等，实现安全能力的按需</w:t>
      </w:r>
      <w:r>
        <w:rPr>
          <w:rFonts w:hint="eastAsia" w:ascii="Times New Roman Regular" w:hAnsi="Times New Roman Regular" w:cs="Times New Roman Regular"/>
          <w:sz w:val="24"/>
          <w:szCs w:val="24"/>
          <w:lang w:val="en-US" w:eastAsia="zh-CN"/>
        </w:rPr>
        <w:t>部署</w:t>
      </w:r>
      <w:r>
        <w:rPr>
          <w:rFonts w:hint="default" w:ascii="Times New Roman Regular" w:hAnsi="Times New Roman Regular" w:cs="Times New Roman Regular"/>
          <w:sz w:val="24"/>
          <w:szCs w:val="24"/>
          <w:lang w:val="en-US" w:eastAsia="zh-CN"/>
        </w:rPr>
        <w:t>与弹性扩展。</w:t>
      </w:r>
      <w:r>
        <w:rPr>
          <w:rFonts w:hint="eastAsia" w:ascii="Times New Roman Regular" w:hAnsi="Times New Roman Regular" w:cs="Times New Roman Regular"/>
          <w:sz w:val="24"/>
          <w:szCs w:val="24"/>
          <w:lang w:val="en-US" w:eastAsia="zh-CN"/>
        </w:rPr>
        <w:t>同时</w:t>
      </w:r>
      <w:r>
        <w:rPr>
          <w:rFonts w:hint="default" w:ascii="Times New Roman Regular" w:hAnsi="Times New Roman Regular" w:cs="Times New Roman Regular"/>
          <w:sz w:val="24"/>
          <w:szCs w:val="24"/>
          <w:lang w:val="en-US" w:eastAsia="zh-CN"/>
        </w:rPr>
        <w:t>依托虚拟化底层的微隔离技术与流量牵引能力，实现从网络边界到主机内部的纵深防御体系。通过云平台与安全组件的深度联动，实现威胁的主动感知与自动阻断，完成从被动防御到主动安全加固的转变。</w:t>
      </w:r>
    </w:p>
    <w:p w14:paraId="4BF14613">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4. 统一</w:t>
      </w:r>
      <w:r>
        <w:rPr>
          <w:rFonts w:hint="eastAsia" w:ascii="Times New Roman Regular" w:hAnsi="Times New Roman Regular" w:cs="Times New Roman Regular"/>
          <w:sz w:val="24"/>
          <w:szCs w:val="24"/>
          <w:lang w:val="en-US" w:eastAsia="zh-CN"/>
        </w:rPr>
        <w:t>云</w:t>
      </w:r>
      <w:r>
        <w:rPr>
          <w:rFonts w:hint="default" w:ascii="Times New Roman Regular" w:hAnsi="Times New Roman Regular" w:cs="Times New Roman Regular"/>
          <w:sz w:val="24"/>
          <w:szCs w:val="24"/>
          <w:lang w:val="en-US" w:eastAsia="zh-CN"/>
        </w:rPr>
        <w:t>管平台</w:t>
      </w:r>
      <w:r>
        <w:rPr>
          <w:rFonts w:hint="eastAsia" w:ascii="Times New Roman Regular" w:hAnsi="Times New Roman Regular" w:cs="Times New Roman Regular"/>
          <w:sz w:val="24"/>
          <w:szCs w:val="24"/>
          <w:lang w:val="en-US" w:eastAsia="zh-CN"/>
        </w:rPr>
        <w:t>与</w:t>
      </w:r>
      <w:r>
        <w:rPr>
          <w:rFonts w:hint="default" w:ascii="Times New Roman Regular" w:hAnsi="Times New Roman Regular" w:cs="Times New Roman Regular"/>
          <w:sz w:val="24"/>
          <w:szCs w:val="24"/>
          <w:lang w:val="en-US" w:eastAsia="zh-CN"/>
        </w:rPr>
        <w:t>智能运维数据库</w:t>
      </w:r>
    </w:p>
    <w:p w14:paraId="29B57914">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部署统一的云管理平台（</w:t>
      </w:r>
      <w:r>
        <w:rPr>
          <w:rFonts w:hint="eastAsia" w:ascii="Times New Roman Regular" w:hAnsi="Times New Roman Regular" w:cs="Times New Roman Regular"/>
          <w:sz w:val="24"/>
          <w:szCs w:val="24"/>
          <w:lang w:val="en-US" w:eastAsia="zh-CN"/>
        </w:rPr>
        <w:t>SCP</w:t>
      </w:r>
      <w:r>
        <w:rPr>
          <w:rFonts w:hint="default" w:ascii="Times New Roman Regular" w:hAnsi="Times New Roman Regular" w:cs="Times New Roman Regular"/>
          <w:sz w:val="24"/>
          <w:szCs w:val="24"/>
          <w:lang w:val="en-US" w:eastAsia="zh-CN"/>
        </w:rPr>
        <w:t>），对计算、网络、存储资源进行全局可视化监控与精细化配额管理。依托数据库管理组件，提供标准化、自动化的数据库服务能力</w:t>
      </w:r>
      <w:r>
        <w:rPr>
          <w:rFonts w:hint="eastAsia" w:ascii="Times New Roman Regular" w:hAnsi="Times New Roman Regular" w:cs="Times New Roman Regular"/>
          <w:sz w:val="24"/>
          <w:szCs w:val="24"/>
          <w:lang w:val="en-US" w:eastAsia="zh-CN"/>
        </w:rPr>
        <w:t>，</w:t>
      </w:r>
      <w:r>
        <w:rPr>
          <w:rFonts w:hint="default" w:ascii="Times New Roman Regular" w:hAnsi="Times New Roman Regular" w:cs="Times New Roman Regular"/>
          <w:sz w:val="24"/>
          <w:szCs w:val="24"/>
          <w:lang w:val="en-US" w:eastAsia="zh-CN"/>
        </w:rPr>
        <w:t>涵盖数据库的自动化部署、异构数据库迁移、定时/实时备份、性能监控告警等。</w:t>
      </w:r>
      <w:r>
        <w:rPr>
          <w:rFonts w:hint="eastAsia" w:ascii="Times New Roman Regular" w:hAnsi="Times New Roman Regular" w:cs="Times New Roman Regular"/>
          <w:sz w:val="24"/>
          <w:szCs w:val="24"/>
          <w:lang w:val="en-US" w:eastAsia="zh-CN"/>
        </w:rPr>
        <w:t>提升</w:t>
      </w:r>
      <w:r>
        <w:rPr>
          <w:rFonts w:hint="default" w:ascii="Times New Roman Regular" w:hAnsi="Times New Roman Regular" w:cs="Times New Roman Regular"/>
          <w:sz w:val="24"/>
          <w:szCs w:val="24"/>
          <w:lang w:val="en-US" w:eastAsia="zh-CN"/>
        </w:rPr>
        <w:t>数据库自治运维能力，通过智能分析解决可靠性难题，大幅降低数据库运维门槛与人力成本。</w:t>
      </w:r>
    </w:p>
    <w:p w14:paraId="7363149B">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5. 混合云容灾与演进：构建无界云生态</w:t>
      </w:r>
    </w:p>
    <w:p w14:paraId="1D057EEF">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14:paraId="3DFBD176">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6</w:t>
      </w:r>
      <w:r>
        <w:rPr>
          <w:rFonts w:hint="default" w:ascii="Times New Roman Regular" w:hAnsi="Times New Roman Regular" w:cs="Times New Roman Regular"/>
          <w:sz w:val="24"/>
          <w:szCs w:val="24"/>
          <w:lang w:val="en-US" w:eastAsia="zh-CN"/>
        </w:rPr>
        <w:t xml:space="preserve">. </w:t>
      </w:r>
      <w:r>
        <w:rPr>
          <w:rFonts w:hint="eastAsia" w:ascii="Times New Roman Regular" w:hAnsi="Times New Roman Regular" w:cs="Times New Roman Regular"/>
          <w:sz w:val="24"/>
          <w:szCs w:val="24"/>
          <w:lang w:val="en-US" w:eastAsia="zh-CN"/>
        </w:rPr>
        <w:t>安全办公桌面统一发布</w:t>
      </w:r>
    </w:p>
    <w:p w14:paraId="368FE112">
      <w:pPr>
        <w:spacing w:before="156" w:beforeLines="50" w:after="156" w:afterLines="50" w:line="360" w:lineRule="auto"/>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14:paraId="58B63C79">
      <w:pPr>
        <w:spacing w:before="156" w:beforeLines="50" w:after="156" w:afterLines="50" w:line="360" w:lineRule="auto"/>
        <w:rPr>
          <w:rFonts w:hint="default" w:ascii="Times New Roman Regular" w:hAnsi="Times New Roman Regular" w:cs="Times New Roman Regular"/>
          <w:sz w:val="24"/>
          <w:szCs w:val="24"/>
          <w:lang w:val="en-US" w:eastAsia="zh-CN"/>
        </w:rPr>
      </w:pPr>
    </w:p>
    <w:p w14:paraId="152B4156">
      <w:pPr>
        <w:pStyle w:val="2"/>
        <w:numPr>
          <w:ilvl w:val="0"/>
          <w:numId w:val="1"/>
        </w:numPr>
        <w:jc w:val="left"/>
        <w:rPr>
          <w:rFonts w:hint="default" w:ascii="Times New Roman Regular" w:hAnsi="Times New Roman Regular" w:cs="Times New Roman Regular"/>
          <w:highlight w:val="yellow"/>
        </w:rPr>
      </w:pPr>
      <w:r>
        <w:rPr>
          <w:rFonts w:hint="default" w:ascii="Times New Roman Regular" w:hAnsi="Times New Roman Regular" w:cs="Times New Roman Regular"/>
          <w:highlight w:val="yellow"/>
        </w:rPr>
        <w:t xml:space="preserve"> 信息安全建设</w:t>
      </w:r>
    </w:p>
    <w:p w14:paraId="1BC1FDCF">
      <w:pPr>
        <w:spacing w:before="156" w:beforeLines="50" w:after="156" w:afterLines="50" w:line="360" w:lineRule="auto"/>
        <w:ind w:left="420"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w:t>
      </w:r>
      <w:r>
        <w:rPr>
          <w:rFonts w:hint="default" w:ascii="Times New Roman Regular" w:hAnsi="Times New Roman Regular" w:cs="Times New Roman Regular"/>
          <w:sz w:val="24"/>
          <w:szCs w:val="24"/>
          <w:lang w:val="en-US" w:eastAsia="zh-CN"/>
        </w:rPr>
        <w:t>按照二级等保标准进行安全建设</w:t>
      </w:r>
      <w:r>
        <w:rPr>
          <w:rFonts w:hint="default" w:ascii="Times New Roman Regular" w:hAnsi="Times New Roman Regular" w:cs="Times New Roman Regular"/>
          <w:sz w:val="24"/>
          <w:szCs w:val="24"/>
        </w:rPr>
        <w:t>：</w:t>
      </w:r>
    </w:p>
    <w:p w14:paraId="5560641C">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部署互联网出口防火墙</w:t>
      </w:r>
    </w:p>
    <w:p w14:paraId="6E96F1A3">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部署</w:t>
      </w:r>
      <w:r>
        <w:rPr>
          <w:rFonts w:hint="default" w:ascii="Times New Roman Regular" w:hAnsi="Times New Roman Regular" w:cs="Times New Roman Regular"/>
          <w:sz w:val="24"/>
          <w:szCs w:val="24"/>
          <w:lang w:val="en-US" w:eastAsia="zh-CN"/>
        </w:rPr>
        <w:t>上网行为管理</w:t>
      </w:r>
    </w:p>
    <w:p w14:paraId="7F1EFCC9">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在云平台中部署安全资源池，提供日志审计、堡垒机、零信任、区域防火墙、入侵检测等功能组件</w:t>
      </w:r>
    </w:p>
    <w:p w14:paraId="71DFB5E5">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综合分析管理平台（XDR）</w:t>
      </w:r>
    </w:p>
    <w:p w14:paraId="0573135E">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部署EDR终端安全管理模块</w:t>
      </w:r>
    </w:p>
    <w:p w14:paraId="58286466">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部署备份平台，定期进行恢复测试 </w:t>
      </w:r>
    </w:p>
    <w:p w14:paraId="2E15BDA1">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引入漏洞扫描、风险评估等安全服务 </w:t>
      </w:r>
    </w:p>
    <w:p w14:paraId="7D4C862A">
      <w:pPr>
        <w:spacing w:line="360" w:lineRule="auto"/>
        <w:rPr>
          <w:rFonts w:hint="default" w:ascii="Times New Roman Regular" w:hAnsi="Times New Roman Regular" w:cs="Times New Roman Regular"/>
          <w:sz w:val="24"/>
        </w:rPr>
      </w:pPr>
    </w:p>
    <w:p w14:paraId="0439EB4B">
      <w:pPr>
        <w:spacing w:before="156" w:beforeLines="50" w:after="156" w:afterLines="50" w:line="360" w:lineRule="auto"/>
        <w:ind w:left="861" w:hanging="861" w:hangingChars="286"/>
        <w:outlineLvl w:val="2"/>
        <w:rPr>
          <w:rFonts w:hint="default" w:ascii="Times New Roman Regular" w:hAnsi="Times New Roman Regular" w:eastAsia="宋体" w:cs="Times New Roman Regular"/>
          <w:b/>
          <w:sz w:val="30"/>
          <w:szCs w:val="30"/>
          <w:lang w:val="en-US" w:eastAsia="zh-CN"/>
        </w:rPr>
      </w:pPr>
      <w:r>
        <w:rPr>
          <w:rFonts w:hint="default" w:ascii="Times New Roman Regular" w:hAnsi="Times New Roman Regular" w:eastAsia="宋体" w:cs="Times New Roman Regular"/>
          <w:b/>
          <w:sz w:val="30"/>
          <w:szCs w:val="30"/>
          <w:lang w:val="en-US" w:eastAsia="zh-CN"/>
        </w:rPr>
        <w:t>三、需求清单</w:t>
      </w:r>
    </w:p>
    <w:p w14:paraId="48E8F0E1">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3.1 交换机</w:t>
      </w:r>
    </w:p>
    <w:tbl>
      <w:tblPr>
        <w:tblStyle w:val="4"/>
        <w:tblW w:w="823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8"/>
        <w:gridCol w:w="2174"/>
        <w:gridCol w:w="4414"/>
        <w:gridCol w:w="548"/>
        <w:gridCol w:w="548"/>
      </w:tblGrid>
      <w:tr w14:paraId="08B9C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220D9802">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序号</w:t>
            </w:r>
          </w:p>
        </w:tc>
        <w:tc>
          <w:tcPr>
            <w:tcW w:w="2177"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5E5C8245">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产品名称</w:t>
            </w:r>
          </w:p>
        </w:tc>
        <w:tc>
          <w:tcPr>
            <w:tcW w:w="441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A984A90">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产品说明</w:t>
            </w:r>
          </w:p>
        </w:tc>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4DBB29F4">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数量</w:t>
            </w:r>
          </w:p>
        </w:tc>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DC3549D">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单位</w:t>
            </w:r>
          </w:p>
        </w:tc>
      </w:tr>
      <w:tr w14:paraId="19A8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151D8C9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036215FC">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2284471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3F5374CA">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AB29AD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r w14:paraId="17B7B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7E0B850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2F6CD2B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接入交换机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B01D47B">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55BB6E7F">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6</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2E2329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r w14:paraId="682F0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52096CC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3</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458D79A2">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核心交换机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4FCFB49">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484B1BE0">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6D37583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r w14:paraId="73450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6D7DDD2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4</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31E8995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POE交换机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635399F9">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65F78F0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07B98ED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r w14:paraId="397AD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2B2FE591">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5</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76BF237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无线AC控制器</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3D92188D">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5E0D2B4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18CC870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r w14:paraId="776A1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1C1ACF43">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6</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3E8DE02A">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无线AP</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CBAFC64">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E9615D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8</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5CCE56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bl>
    <w:p w14:paraId="6673EA7E">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 xml:space="preserve"> </w:t>
      </w:r>
    </w:p>
    <w:p w14:paraId="45DF5784">
      <w:pPr>
        <w:numPr>
          <w:ilvl w:val="0"/>
          <w:numId w:val="0"/>
        </w:numPr>
        <w:spacing w:line="360" w:lineRule="auto"/>
        <w:ind w:leftChars="0"/>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3.2 语音电话</w:t>
      </w:r>
    </w:p>
    <w:p w14:paraId="112182D2">
      <w:pPr>
        <w:numPr>
          <w:ilvl w:val="0"/>
          <w:numId w:val="0"/>
        </w:numPr>
        <w:spacing w:line="360" w:lineRule="auto"/>
        <w:ind w:leftChars="0"/>
        <w:rPr>
          <w:rFonts w:hint="default" w:ascii="Times New Roman Regular" w:hAnsi="Times New Roman Regular" w:cs="Times New Roman Regular"/>
          <w:sz w:val="24"/>
          <w:lang w:val="en-US" w:eastAsia="zh-CN"/>
        </w:rPr>
      </w:pPr>
    </w:p>
    <w:p w14:paraId="75E3C48A">
      <w:pPr>
        <w:numPr>
          <w:ilvl w:val="0"/>
          <w:numId w:val="0"/>
        </w:numPr>
        <w:spacing w:line="360" w:lineRule="auto"/>
        <w:ind w:leftChars="0"/>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drawing>
          <wp:inline distT="0" distB="0" distL="114300" distR="114300">
            <wp:extent cx="5272405" cy="3011170"/>
            <wp:effectExtent l="0" t="0" r="635" b="6350"/>
            <wp:docPr id="1" name="图片 1" descr="商人手持带有智能家居图标的手机-自动控制元宇宙系统概念"/>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199648335&quot;,&quot;origin&quot;:0,&quot;type&quot;:&quot;pictures&quot;,&quot;user&quot;:&quot;1582776647&quot;}"/>
                  </s:tag>
                </a:ext>
              </a:extLst>
            </wp:cNvGraphicFramePr>
            <a:graphic xmlns:a="http://schemas.openxmlformats.org/drawingml/2006/main">
              <a:graphicData uri="http://schemas.openxmlformats.org/drawingml/2006/picture">
                <pic:pic xmlns:pic="http://schemas.openxmlformats.org/drawingml/2006/picture">
                  <pic:nvPicPr>
                    <pic:cNvPr id="1" name="图片 1" descr="商人手持带有智能家居图标的手机-自动控制元宇宙系统概念"/>
                    <pic:cNvPicPr>
                      <a:picLocks noChangeAspect="1"/>
                    </pic:cNvPicPr>
                  </pic:nvPicPr>
                  <pic:blipFill>
                    <a:blip r:embed="rId7"/>
                    <a:stretch>
                      <a:fillRect/>
                    </a:stretch>
                  </pic:blipFill>
                  <pic:spPr>
                    <a:xfrm>
                      <a:off x="0" y="0"/>
                      <a:ext cx="5272405" cy="3011170"/>
                    </a:xfrm>
                    <a:prstGeom prst="rect">
                      <a:avLst/>
                    </a:prstGeom>
                  </pic:spPr>
                </pic:pic>
              </a:graphicData>
            </a:graphic>
          </wp:inline>
        </w:drawing>
      </w:r>
    </w:p>
    <w:p w14:paraId="0837D56C">
      <w:pPr>
        <w:numPr>
          <w:ilvl w:val="0"/>
          <w:numId w:val="0"/>
        </w:numPr>
        <w:spacing w:line="360" w:lineRule="auto"/>
        <w:ind w:leftChars="0"/>
        <w:rPr>
          <w:rFonts w:hint="default" w:ascii="Times New Roman Regular" w:hAnsi="Times New Roman Regular" w:cs="Times New Roman Regular"/>
          <w:sz w:val="24"/>
          <w:lang w:val="en-US" w:eastAsia="zh-CN"/>
        </w:rPr>
      </w:pPr>
    </w:p>
    <w:tbl>
      <w:tblPr>
        <w:tblStyle w:val="4"/>
        <w:tblW w:w="836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38"/>
        <w:gridCol w:w="1301"/>
        <w:gridCol w:w="1084"/>
        <w:gridCol w:w="4180"/>
        <w:gridCol w:w="579"/>
        <w:gridCol w:w="685"/>
      </w:tblGrid>
      <w:tr w14:paraId="25B90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5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6FCA78">
            <w:pPr>
              <w:snapToGrid w:val="0"/>
              <w:ind w:left="0" w:leftChars="0" w:right="0" w:rightChars="0" w:firstLine="0" w:firstLineChars="0"/>
              <w:jc w:val="center"/>
              <w:rPr>
                <w:rFonts w:hint="eastAsia" w:ascii="宋体" w:hAnsi="宋体" w:eastAsia="宋体" w:cs="宋体"/>
                <w:b/>
                <w:i w:val="0"/>
                <w:iCs w:val="0"/>
                <w:color w:val="000000"/>
                <w:sz w:val="18"/>
                <w:szCs w:val="18"/>
                <w:u w:val="none"/>
              </w:rPr>
            </w:pPr>
          </w:p>
        </w:tc>
        <w:tc>
          <w:tcPr>
            <w:tcW w:w="13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1D29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18"/>
                <w:szCs w:val="18"/>
                <w:u w:val="none"/>
              </w:rPr>
            </w:pPr>
            <w:r>
              <w:rPr>
                <w:rFonts w:hint="eastAsia" w:ascii="宋体" w:hAnsi="宋体" w:eastAsia="宋体" w:cs="宋体"/>
                <w:b/>
                <w:i w:val="0"/>
                <w:iCs w:val="0"/>
                <w:color w:val="000000"/>
                <w:kern w:val="0"/>
                <w:sz w:val="18"/>
                <w:szCs w:val="18"/>
                <w:u w:val="none"/>
                <w:lang w:val="en-US" w:eastAsia="zh-CN" w:bidi="ar"/>
              </w:rPr>
              <w:t>项目名称</w:t>
            </w:r>
          </w:p>
        </w:tc>
        <w:tc>
          <w:tcPr>
            <w:tcW w:w="1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BE58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18"/>
                <w:szCs w:val="18"/>
                <w:u w:val="none"/>
              </w:rPr>
            </w:pPr>
            <w:r>
              <w:rPr>
                <w:rFonts w:hint="eastAsia" w:ascii="宋体" w:hAnsi="宋体" w:eastAsia="宋体" w:cs="宋体"/>
                <w:b/>
                <w:i w:val="0"/>
                <w:iCs w:val="0"/>
                <w:color w:val="000000"/>
                <w:kern w:val="0"/>
                <w:sz w:val="18"/>
                <w:szCs w:val="18"/>
                <w:u w:val="none"/>
                <w:lang w:val="en-US" w:eastAsia="zh-CN" w:bidi="ar"/>
              </w:rPr>
              <w:t>型号</w:t>
            </w:r>
          </w:p>
        </w:tc>
        <w:tc>
          <w:tcPr>
            <w:tcW w:w="4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2939F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18"/>
                <w:szCs w:val="18"/>
                <w:u w:val="none"/>
              </w:rPr>
            </w:pPr>
            <w:r>
              <w:rPr>
                <w:rFonts w:hint="eastAsia" w:ascii="宋体" w:hAnsi="宋体" w:eastAsia="宋体" w:cs="宋体"/>
                <w:b/>
                <w:i w:val="0"/>
                <w:iCs w:val="0"/>
                <w:color w:val="000000"/>
                <w:kern w:val="0"/>
                <w:sz w:val="18"/>
                <w:szCs w:val="18"/>
                <w:u w:val="none"/>
                <w:lang w:val="en-US" w:eastAsia="zh-CN" w:bidi="ar"/>
              </w:rPr>
              <w:t>规格</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3DF4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18"/>
                <w:szCs w:val="18"/>
                <w:u w:val="none"/>
              </w:rPr>
            </w:pPr>
            <w:r>
              <w:rPr>
                <w:rFonts w:hint="eastAsia" w:ascii="宋体" w:hAnsi="宋体" w:eastAsia="宋体" w:cs="宋体"/>
                <w:b/>
                <w:i w:val="0"/>
                <w:iCs w:val="0"/>
                <w:color w:val="000000"/>
                <w:kern w:val="0"/>
                <w:sz w:val="18"/>
                <w:szCs w:val="18"/>
                <w:u w:val="none"/>
                <w:lang w:val="en-US" w:eastAsia="zh-CN" w:bidi="ar"/>
              </w:rPr>
              <w:t>单位</w:t>
            </w:r>
          </w:p>
        </w:tc>
        <w:tc>
          <w:tcPr>
            <w:tcW w:w="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8EA1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18"/>
                <w:szCs w:val="18"/>
                <w:u w:val="none"/>
              </w:rPr>
            </w:pPr>
            <w:r>
              <w:rPr>
                <w:rFonts w:hint="eastAsia" w:ascii="宋体" w:hAnsi="宋体" w:eastAsia="宋体" w:cs="宋体"/>
                <w:b/>
                <w:i w:val="0"/>
                <w:iCs w:val="0"/>
                <w:color w:val="000000"/>
                <w:kern w:val="0"/>
                <w:sz w:val="18"/>
                <w:szCs w:val="18"/>
                <w:u w:val="none"/>
                <w:lang w:val="en-US" w:eastAsia="zh-CN" w:bidi="ar"/>
              </w:rPr>
              <w:t>数量</w:t>
            </w:r>
          </w:p>
        </w:tc>
      </w:tr>
      <w:tr w14:paraId="2C619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1B1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3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D411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软交换服务器</w:t>
            </w: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5F899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服务器</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55ECF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2颗英特尔至强金牌5120（2.20GHZ，14核28线程）/64GB 内存/硬盘容量1.2T*4  SAS2 .5 10K（RAID）/XR150ARAID控制器(支持RAID 0/1/5/6)/ 主板集成2口千兆网卡 2口万兆光口（不含模块）/双交流电源900W/导轨/ 三年保修服务  </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9753D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68285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r>
      <w:tr w14:paraId="4CCEA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4927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13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01D6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IP话机</w:t>
            </w: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79E45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T53W</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EB31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3.7 英寸 360x160 像素，可调节角度的显示屏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8 个线路键，12 个 SIP 帐号，21 个记忆键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内置蓝牙、WIFI（T53W）*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双端口千兆以太网</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1 个USB 端口，可用于通话录音和无线 USB 耳机</w:t>
            </w:r>
          </w:p>
        </w:tc>
        <w:tc>
          <w:tcPr>
            <w:tcW w:w="5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DFB0B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台</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BED58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100</w:t>
            </w:r>
          </w:p>
        </w:tc>
      </w:tr>
      <w:tr w14:paraId="21429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668D4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1.3</w:t>
            </w:r>
          </w:p>
        </w:tc>
        <w:tc>
          <w:tcPr>
            <w:tcW w:w="13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009AF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网关机框</w:t>
            </w:r>
          </w:p>
        </w:tc>
        <w:tc>
          <w:tcPr>
            <w:tcW w:w="1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B739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TGW96-24-2G-C</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E72E4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提供4个插槽</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2852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台</w:t>
            </w:r>
          </w:p>
        </w:tc>
        <w:tc>
          <w:tcPr>
            <w:tcW w:w="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A875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1</w:t>
            </w:r>
          </w:p>
        </w:tc>
      </w:tr>
      <w:tr w14:paraId="25CF8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571754">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86999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卡板</w:t>
            </w:r>
          </w:p>
        </w:tc>
        <w:tc>
          <w:tcPr>
            <w:tcW w:w="1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A2DC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 xml:space="preserve">TGW96-2G-24FXO-IF </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28FCC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24个模拟中继接口</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2714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块</w:t>
            </w:r>
          </w:p>
        </w:tc>
        <w:tc>
          <w:tcPr>
            <w:tcW w:w="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A4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2</w:t>
            </w:r>
          </w:p>
        </w:tc>
      </w:tr>
      <w:tr w14:paraId="0D4F7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82FA6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1.4</w:t>
            </w:r>
          </w:p>
        </w:tc>
        <w:tc>
          <w:tcPr>
            <w:tcW w:w="130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A6FEA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软件包</w:t>
            </w: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98B48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主服务器授权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326ED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Aeonix Server License</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AB4A5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FFA3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r>
      <w:tr w14:paraId="72301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A7736D">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814E22">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19B5C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集群服务器授权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B0489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Aeonix Additional Server License</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60C46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0486F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r>
      <w:tr w14:paraId="5F7BF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3889C8">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F61CAA">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744F4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IP电话授权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9A7B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Advanced user license </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9962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364E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100</w:t>
            </w:r>
          </w:p>
        </w:tc>
      </w:tr>
      <w:tr w14:paraId="3A604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6BC154">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D690B4">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E3753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三方终端授权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9DCC1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Non-Tadiran device license</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9E65E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9CA1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100</w:t>
            </w:r>
          </w:p>
        </w:tc>
      </w:tr>
      <w:tr w14:paraId="532C9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9120DC">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E4A906">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75A3F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SIP中继授权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BC203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Aeonix SIP Trunk/Gateway License </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EE8E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E3E4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32</w:t>
            </w:r>
          </w:p>
        </w:tc>
      </w:tr>
      <w:tr w14:paraId="0A0B2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82A633">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97F387">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9A10C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3年服务费</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AD821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Partner Support  (3 Years, SW Only)</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9DED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E5A87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r>
      <w:tr w14:paraId="3A921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DDA20D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w:t>
            </w:r>
          </w:p>
        </w:tc>
        <w:tc>
          <w:tcPr>
            <w:tcW w:w="130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69D1E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配套线缆</w:t>
            </w:r>
          </w:p>
        </w:tc>
        <w:tc>
          <w:tcPr>
            <w:tcW w:w="1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96B58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安装材料</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F17C7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安装辅材</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E16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根</w:t>
            </w:r>
          </w:p>
        </w:tc>
        <w:tc>
          <w:tcPr>
            <w:tcW w:w="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996F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r>
      <w:tr w14:paraId="38C83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D904B9">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CC9985">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5CE7B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技术资料</w:t>
            </w:r>
          </w:p>
        </w:tc>
        <w:tc>
          <w:tcPr>
            <w:tcW w:w="4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09FF0E">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2E035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项</w:t>
            </w:r>
          </w:p>
        </w:tc>
        <w:tc>
          <w:tcPr>
            <w:tcW w:w="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875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r>
    </w:tbl>
    <w:p w14:paraId="0A0BAD27">
      <w:pPr>
        <w:numPr>
          <w:ilvl w:val="0"/>
          <w:numId w:val="0"/>
        </w:numPr>
        <w:spacing w:line="360" w:lineRule="auto"/>
        <w:ind w:leftChars="0"/>
        <w:rPr>
          <w:rFonts w:hint="default" w:ascii="Times New Roman Regular" w:hAnsi="Times New Roman Regular" w:cs="Times New Roman Regular"/>
          <w:sz w:val="24"/>
          <w:lang w:val="en-US" w:eastAsia="zh-CN"/>
        </w:rPr>
      </w:pPr>
    </w:p>
    <w:p w14:paraId="2D1994E0">
      <w:pPr>
        <w:numPr>
          <w:ilvl w:val="0"/>
          <w:numId w:val="0"/>
        </w:numPr>
        <w:spacing w:line="360" w:lineRule="auto"/>
        <w:ind w:leftChars="0"/>
        <w:rPr>
          <w:rFonts w:hint="default" w:ascii="Times New Roman Regular" w:hAnsi="Times New Roman Regular" w:cs="Times New Roman Regular"/>
          <w:sz w:val="24"/>
          <w:lang w:val="en-US" w:eastAsia="zh-CN"/>
        </w:rPr>
      </w:pPr>
    </w:p>
    <w:p w14:paraId="7EDF5F18">
      <w:pPr>
        <w:numPr>
          <w:ilvl w:val="0"/>
          <w:numId w:val="0"/>
        </w:numPr>
        <w:spacing w:line="360" w:lineRule="auto"/>
        <w:ind w:leftChars="0"/>
        <w:rPr>
          <w:rFonts w:hint="default" w:ascii="Times New Roman Regular" w:hAnsi="Times New Roman Regular" w:cs="Times New Roman Regular"/>
          <w:sz w:val="24"/>
          <w:lang w:val="en-US" w:eastAsia="zh-CN"/>
        </w:rPr>
      </w:pPr>
    </w:p>
    <w:p w14:paraId="6AD038E2">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3.3 服务器和存储</w:t>
      </w:r>
    </w:p>
    <w:tbl>
      <w:tblPr>
        <w:tblStyle w:val="4"/>
        <w:tblW w:w="827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4"/>
        <w:gridCol w:w="967"/>
        <w:gridCol w:w="4742"/>
        <w:gridCol w:w="1012"/>
        <w:gridCol w:w="1012"/>
      </w:tblGrid>
      <w:tr w14:paraId="61DDB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trPr>
        <w:tc>
          <w:tcPr>
            <w:tcW w:w="544"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2AD58643">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序号</w:t>
            </w:r>
          </w:p>
        </w:tc>
        <w:tc>
          <w:tcPr>
            <w:tcW w:w="967"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E4EBDF2">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产品名称</w:t>
            </w:r>
          </w:p>
        </w:tc>
        <w:tc>
          <w:tcPr>
            <w:tcW w:w="4742"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39F5A41">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产品说明</w:t>
            </w:r>
          </w:p>
        </w:tc>
        <w:tc>
          <w:tcPr>
            <w:tcW w:w="1012"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37FE5EDB">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kern w:val="0"/>
                <w:sz w:val="20"/>
                <w:szCs w:val="20"/>
                <w:u w:val="none"/>
                <w:lang w:val="en-US" w:eastAsia="zh-CN" w:bidi="ar"/>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单位</w:t>
            </w:r>
          </w:p>
        </w:tc>
        <w:tc>
          <w:tcPr>
            <w:tcW w:w="1012"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8D07D44">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kern w:val="0"/>
                <w:sz w:val="20"/>
                <w:szCs w:val="20"/>
                <w:u w:val="none"/>
                <w:lang w:val="en-US" w:eastAsia="zh-CN" w:bidi="ar"/>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数量</w:t>
            </w:r>
          </w:p>
        </w:tc>
      </w:tr>
      <w:tr w14:paraId="331B2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59"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4A81539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5762B11F">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虚拟化一体机</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1C53A8AC">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硬件参数：规格：2U，CPU：2颗Intel Xeon Gold 6526Y CPU@2.80GHZ（16C），内存：4*32GB DDR5 5600，系统盘：2*480GB SATA SSD，缓存盘：选配，数据盘：选配，标配盘位数：12，电源：白金，冗余电源，接口：4千兆电口+2万兆光口。</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3台* aServer-X5-2205标准产品 ,含：</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6套* 计算服务器虚拟化软件V6.0;</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6套* 网络虚拟化软件V6.0;</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6套* 安全虚拟化软件V6.0（企业版）;</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6套* 云计算管理软件V6.0  高级版;</w:t>
            </w:r>
          </w:p>
          <w:p w14:paraId="50A1C0D8">
            <w:pPr>
              <w:keepNext w:val="0"/>
              <w:keepLines w:val="0"/>
              <w:widowControl/>
              <w:suppressLineNumbers w:val="0"/>
              <w:jc w:val="left"/>
              <w:textAlignment w:val="center"/>
              <w:rPr>
                <w:rFonts w:hint="default" w:ascii="Times New Roman Regular" w:hAnsi="Times New Roman Regular"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 xml:space="preserve">6套*  VDI云桌面管理软件 </w:t>
            </w:r>
          </w:p>
          <w:p w14:paraId="39D4C6F4">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20台* 云桌面授权</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3年* SDDC基础运维软件V1.0（一体机版）;</w:t>
            </w:r>
          </w:p>
          <w:p w14:paraId="7B29020A">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24条* 五代服务器选配内存32G(DDR5);</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203657C1">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0AB7D7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3</w:t>
            </w:r>
          </w:p>
        </w:tc>
      </w:tr>
      <w:tr w14:paraId="73293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6"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2FE7458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58B93CA5">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企业级分布式存储</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7BC4AB9A">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硬件参数：规格：2U，内存：2*32GB DDR4 3200，系统盘：2*240GB SATA SSD，缓存盘：选配，数据盘：选配，标配盘位数：12，电源：白金，冗余电源，接口：2千兆电口+4万兆光口。</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3台* aStor-EDS1250-W标准产品 ,含：</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2套* 企业级安全分布式存储软件V5.0（EDS均衡型存储授权-100T）;</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6个* 国产固态硬盘-3.84T-U.2 NVME SSD(读密集型);</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24个* 机械硬盘8T;</w:t>
            </w:r>
          </w:p>
          <w:p w14:paraId="0FEF49BE">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6条* 服务器选配内存32G（X86架构通用）;</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3年* EDS基础运维服务;</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7A9669F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DE9D66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3</w:t>
            </w:r>
          </w:p>
        </w:tc>
      </w:tr>
      <w:tr w14:paraId="29D8C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9"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57C13FBE">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3</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3D42FF0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容器引擎</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2CD22670">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含：</w:t>
            </w:r>
          </w:p>
          <w:p w14:paraId="5B690CC7">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200套* 深信服容器引擎软件V1.0;</w:t>
            </w:r>
          </w:p>
          <w:p w14:paraId="0E46D445">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3年* 软件升级(适用于深信服容器引擎（SKE）);</w:t>
            </w:r>
          </w:p>
          <w:p w14:paraId="3D01AC0B">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5人天* 部署服务;</w:t>
            </w:r>
          </w:p>
          <w:p w14:paraId="5447452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C3162A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套</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5946BD95">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1</w:t>
            </w:r>
          </w:p>
        </w:tc>
      </w:tr>
      <w:tr w14:paraId="18690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9"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059A0C2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4</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20B69BBF">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数据库管理平台</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529F28DB">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含：</w:t>
            </w:r>
          </w:p>
          <w:p w14:paraId="3D9C0299">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1套* 数据库负载组件;</w:t>
            </w:r>
          </w:p>
          <w:p w14:paraId="58CED83E">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5套* 深信服数据库管理平台软件V2.0;</w:t>
            </w:r>
          </w:p>
          <w:p w14:paraId="53E4AA6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3年* 软件升级;</w:t>
            </w:r>
          </w:p>
          <w:p w14:paraId="5738385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5套* DMP平台部署实施服务;</w:t>
            </w:r>
          </w:p>
          <w:p w14:paraId="2560F7A3">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24B5045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套</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1A7941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1</w:t>
            </w:r>
          </w:p>
        </w:tc>
      </w:tr>
      <w:tr w14:paraId="497AA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4"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65FACEEA">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eastAsia" w:ascii="Times New Roman Regular" w:hAnsi="Times New Roman Regular" w:cs="Times New Roman Regular"/>
                <w:i w:val="0"/>
                <w:iCs w:val="0"/>
                <w:color w:val="000000"/>
                <w:kern w:val="0"/>
                <w:sz w:val="20"/>
                <w:szCs w:val="20"/>
                <w:u w:val="none"/>
                <w:lang w:val="en-US" w:eastAsia="zh-CN" w:bidi="ar"/>
              </w:rPr>
              <w:t>5</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5C39C49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企业级数据备份与恢复系统</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6F250243">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硬件参数：规格：2U，内存：2*32GB DDR4 3200，系统盘：2*240GB SATA SSD，缓存盘：选配，数据盘：选配，标配盘位数：12，电源：白金，冗余电源，接口：2千兆电口+2万兆光口。</w:t>
            </w:r>
          </w:p>
          <w:p w14:paraId="2E93CD90">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p>
          <w:p w14:paraId="33A567D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1台* aStor-Backup-1250W标准产品 ,含：</w:t>
            </w:r>
          </w:p>
          <w:p w14:paraId="663EFFC3">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1套* 深信服企业级数据备份与恢复系统软件V3.0（50T)-标准版(SpecialBackup);</w:t>
            </w:r>
          </w:p>
          <w:p w14:paraId="7170834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1个* 服务器机械硬盘64T（8*8T）;</w:t>
            </w:r>
          </w:p>
          <w:p w14:paraId="66427008">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2个* 光纤线-多模-LC-LC-5M;</w:t>
            </w:r>
          </w:p>
          <w:p w14:paraId="4718A3B5">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2个* 万兆多模-850-300m-双纤;</w:t>
            </w:r>
          </w:p>
          <w:p w14:paraId="3000454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3年* 备份软件升级服务【含软件升级（适用于（SpecialBackup）软件版本）】;</w:t>
            </w:r>
          </w:p>
          <w:p w14:paraId="10539A5D">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3年* 产品质保（标准版）;</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303D1536">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083059E5">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bl>
    <w:p w14:paraId="2AA06E24">
      <w:pPr>
        <w:spacing w:line="360" w:lineRule="auto"/>
        <w:rPr>
          <w:rFonts w:hint="default" w:ascii="Times New Roman Regular" w:hAnsi="Times New Roman Regular" w:cs="Times New Roman Regular"/>
          <w:sz w:val="24"/>
          <w:lang w:val="en-US" w:eastAsia="zh-CN"/>
        </w:rPr>
      </w:pPr>
    </w:p>
    <w:p w14:paraId="0B4B56B5">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3.4 安全</w:t>
      </w:r>
    </w:p>
    <w:tbl>
      <w:tblPr>
        <w:tblStyle w:val="4"/>
        <w:tblW w:w="83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913"/>
        <w:gridCol w:w="4188"/>
        <w:gridCol w:w="856"/>
        <w:gridCol w:w="783"/>
      </w:tblGrid>
      <w:tr w14:paraId="5C161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2" w:hRule="atLeast"/>
        </w:trPr>
        <w:tc>
          <w:tcPr>
            <w:tcW w:w="61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0C18E979">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序号</w:t>
            </w:r>
          </w:p>
        </w:tc>
        <w:tc>
          <w:tcPr>
            <w:tcW w:w="1913"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698CC8E7">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产品名称</w:t>
            </w:r>
          </w:p>
        </w:tc>
        <w:tc>
          <w:tcPr>
            <w:tcW w:w="418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51DF72AD">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产品说明</w:t>
            </w:r>
          </w:p>
        </w:tc>
        <w:tc>
          <w:tcPr>
            <w:tcW w:w="856"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39A68A3">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kern w:val="0"/>
                <w:sz w:val="20"/>
                <w:szCs w:val="20"/>
                <w:u w:val="none"/>
                <w:lang w:val="en-US" w:eastAsia="zh-CN" w:bidi="ar"/>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单位</w:t>
            </w:r>
          </w:p>
        </w:tc>
        <w:tc>
          <w:tcPr>
            <w:tcW w:w="783"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3F4ACB09">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kern w:val="0"/>
                <w:sz w:val="20"/>
                <w:szCs w:val="20"/>
                <w:u w:val="none"/>
                <w:lang w:val="en-US" w:eastAsia="zh-CN" w:bidi="ar"/>
              </w:rPr>
            </w:pPr>
          </w:p>
        </w:tc>
      </w:tr>
      <w:tr w14:paraId="50271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9"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6260B51C">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1CAD1A0A">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全网行为管理</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50794F10">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硬件参数：规格：1U，内存大小：4G，硬盘容量：128G SSD，电源：单电源，接口：6千兆电口。</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功能描述：全网行为管理聚焦企事业组织网络行为安全，实现全网资产、身份、行为可视可控，智能感知内部威胁风险，帮助用户构建有效防御体系。</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76EF73F6">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2B40091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r w14:paraId="165F9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2"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1299464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7F69968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下一代防火墙</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7963B3E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硬件参数：规格：1U，内存大小：4G，硬盘容量：128G SSD，电源：单电源，接口：8千兆电口+2千兆光口SFP。</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功能描述：下一代防火墙以保障用户核心资产为目标，提供L2-L7层各类威胁的检测和防护，是一款能够有效应对传统网络攻击和未知威胁攻击的网络安全产品。</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629DDDF3">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5569363E">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r w14:paraId="63BCD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4"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75895560">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3</w:t>
            </w:r>
          </w:p>
        </w:tc>
        <w:tc>
          <w:tcPr>
            <w:tcW w:w="1913"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6C3DC62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日志审计分析管理系统软件</w:t>
            </w:r>
          </w:p>
        </w:tc>
        <w:tc>
          <w:tcPr>
            <w:tcW w:w="4188"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05E99FF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性能参数：包含资产授权数量(个)：50。</w:t>
            </w:r>
          </w:p>
          <w:p w14:paraId="455E4FA8">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1套* 深信服日志审计分析管理系统软件V3.0 ,含：</w:t>
            </w:r>
          </w:p>
          <w:p w14:paraId="78AF8E19">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3年* 软件升级;</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08588F2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套</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0F9C20F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r w14:paraId="0F133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13"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5EF2EAF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4</w:t>
            </w:r>
          </w:p>
        </w:tc>
        <w:tc>
          <w:tcPr>
            <w:tcW w:w="1913"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5834A4E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运维安全管理系统软件</w:t>
            </w:r>
          </w:p>
        </w:tc>
        <w:tc>
          <w:tcPr>
            <w:tcW w:w="4188"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740C748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性能参数：包含资产授权数量(个)：50。</w:t>
            </w:r>
          </w:p>
          <w:p w14:paraId="113032D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提供运维人员单点登录、用户权限细粒度授权及访问控制、运维过程审计等功能，并满足等级保护三级建设要求</w:t>
            </w:r>
          </w:p>
          <w:p w14:paraId="73C00DAE">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1套* 深信服运维安全管理系统软件V3.0(适用于OSM-1000-V50，堡垒主机内控管理平台S50) ,含：</w:t>
            </w:r>
          </w:p>
          <w:p w14:paraId="20AAC5E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3年* 软件升级（OSM-1000-V50);</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5740086E">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套</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7B69D208">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r w14:paraId="6F69E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7"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5C7B186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5</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61A498AE">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统一端点安全管理系统</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4A62027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性能参数：最大支持管控aES客户端数量：1W点。</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安全策略模板一体化设置，全网资产盘点与风险可视，自动化日志可视化报表一键导出，管理账号分权分域，总分平台级联控制；管理平台需搭配客户端软件一齐使用，单独购买无效，含1年升级维护费用</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1套* 统一端点安全管理系统软件V6.0（产品控制中心） ,含：</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150套* 端点安全软件V6.0（PC全量版）;</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20套* 端点安全软件V6.0（服务器全量版）;</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7A0152E0">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套</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2A8E1AD8">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r w14:paraId="4E4EE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22"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7A7D4AF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6</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4A867FB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零信任</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3DF56582">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SSL性能参数：最大理论加密流量（Mbps）：300，最大理论建议并发用户数：400，最大理论https并发连接数（个）：15000，理论https新建连接数（个/秒）：60；IPSEC性能参数：加密最大流量（Mbps）：85，理论并发隧道数（Tunnel）：300。</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硬件参数：规格：1U，内存大小：16G，硬盘容量：128G SSD，电源：单电源，接口：8千兆电口+2万兆光口SFP+。</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1台* aTrust-1000-B1030M标准产品 ,含：</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1套* 零信任访问控制系统软件V2.0;</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200套* 零信任接入授权（授权买断）;</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2585223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3FB01D9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bl>
    <w:p w14:paraId="46A34624">
      <w:pPr>
        <w:spacing w:line="360" w:lineRule="auto"/>
        <w:rPr>
          <w:rFonts w:hint="default" w:ascii="Times New Roman Regular" w:hAnsi="Times New Roman Regular" w:cs="Times New Roman Regular"/>
          <w:sz w:val="24"/>
          <w:lang w:val="en-US" w:eastAsia="zh-CN"/>
        </w:rPr>
      </w:pPr>
    </w:p>
    <w:p w14:paraId="3955BB18">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 xml:space="preserve">3.5 </w:t>
      </w:r>
      <w:r>
        <w:rPr>
          <w:rFonts w:hint="eastAsia" w:ascii="Times New Roman Regular" w:hAnsi="Times New Roman Regular" w:cs="Times New Roman Regular"/>
          <w:sz w:val="24"/>
          <w:lang w:val="en-US" w:eastAsia="zh-CN"/>
        </w:rPr>
        <w:t>招标参数推荐</w:t>
      </w:r>
    </w:p>
    <w:p w14:paraId="1FD59D5D">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防火墙</w:t>
      </w:r>
    </w:p>
    <w:p w14:paraId="34F4B7D7">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1.防火墙防护功能包含但不限于ACL访问控制、应用识别、IDS入侵检测、IPS入侵防御、AV网络病毒过滤、DDos防护、僵尸网络检测、海量实时威胁情报。</w:t>
      </w:r>
      <w:r>
        <w:commentReference w:id="0"/>
      </w:r>
    </w:p>
    <w:p w14:paraId="0510FC27">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r>
        <w:commentReference w:id="1"/>
      </w:r>
    </w:p>
    <w:p w14:paraId="5ACC67C8">
      <w:pPr>
        <w:spacing w:line="360" w:lineRule="auto"/>
        <w:rPr>
          <w:rFonts w:hint="default" w:ascii="Times New Roman Regular" w:hAnsi="Times New Roman Regular" w:cs="Times New Roman Regular"/>
          <w:sz w:val="24"/>
          <w:lang w:val="en-US" w:eastAsia="zh-CN"/>
        </w:rPr>
      </w:pPr>
    </w:p>
    <w:p w14:paraId="06C05810">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行为管理</w:t>
      </w:r>
    </w:p>
    <w:p w14:paraId="25FD3567">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1.行为管理功能包含但不限于入网准入、资产管理、上网认证、上网管控、上网审计、流量管理、业务审计、日志记录。</w:t>
      </w:r>
    </w:p>
    <w:p w14:paraId="31E80642">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r>
        <w:commentReference w:id="2"/>
      </w:r>
    </w:p>
    <w:p w14:paraId="49801B74">
      <w:pPr>
        <w:spacing w:line="360" w:lineRule="auto"/>
        <w:rPr>
          <w:rFonts w:hint="default" w:ascii="Times New Roman Regular" w:hAnsi="Times New Roman Regular" w:cs="Times New Roman Regular"/>
          <w:sz w:val="24"/>
          <w:lang w:val="en-US" w:eastAsia="zh-CN"/>
        </w:rPr>
      </w:pPr>
    </w:p>
    <w:p w14:paraId="3E2563C5">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零信任</w:t>
      </w:r>
    </w:p>
    <w:p w14:paraId="2A04C0B9">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1.零信任具备完善的业务安全接入能力，包含但不限于上线准入、身份认证、加密通信、访问审计、服务隐身、通信优化、智能权限、资源诊断。</w:t>
      </w:r>
      <w:r>
        <w:commentReference w:id="3"/>
      </w:r>
    </w:p>
    <w:p w14:paraId="0376DBD7">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r>
        <w:commentReference w:id="4"/>
      </w:r>
    </w:p>
    <w:p w14:paraId="2E590877">
      <w:pPr>
        <w:spacing w:line="360" w:lineRule="auto"/>
        <w:rPr>
          <w:rFonts w:hint="default" w:ascii="Times New Roman Regular" w:hAnsi="Times New Roman Regular" w:cs="Times New Roman Regular"/>
          <w:sz w:val="24"/>
          <w:lang w:val="en-US" w:eastAsia="zh-CN"/>
        </w:rPr>
      </w:pPr>
    </w:p>
    <w:p w14:paraId="346EF29F">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aES杀毒</w:t>
      </w:r>
    </w:p>
    <w:p w14:paraId="184918B6">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1.终端安全具备完善的端点安全管理能力，包含但不限于资产管理、漏洞修复、病毒查杀、入侵检测、入侵防御、攻击遏制、桌管管控。</w:t>
      </w:r>
      <w:r>
        <w:commentReference w:id="5"/>
      </w:r>
    </w:p>
    <w:p w14:paraId="2CF76231">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r>
        <w:commentReference w:id="6"/>
      </w:r>
    </w:p>
    <w:p w14:paraId="70F403DE">
      <w:pPr>
        <w:spacing w:line="360" w:lineRule="auto"/>
        <w:rPr>
          <w:rFonts w:hint="default" w:ascii="Times New Roman Regular" w:hAnsi="Times New Roman Regular" w:cs="Times New Roman Regular"/>
          <w:sz w:val="24"/>
          <w:lang w:val="en-US" w:eastAsia="zh-CN"/>
        </w:rPr>
      </w:pPr>
    </w:p>
    <w:p w14:paraId="65D82CE5">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日志审计</w:t>
      </w:r>
    </w:p>
    <w:p w14:paraId="285BCFC0">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1.日志审计支持采集汇聚不同厂商不同种类的安全设备、网络设备、主机、操作系统、用户业务系统的日志信息，协助用户进行安全分析及合规审计，及时、有效地发现异常安全事件及审计违规。</w:t>
      </w:r>
      <w:r>
        <w:commentReference w:id="7"/>
      </w:r>
    </w:p>
    <w:p w14:paraId="295B477B">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r>
        <w:commentReference w:id="8"/>
      </w:r>
    </w:p>
    <w:p w14:paraId="2C68AF61">
      <w:pPr>
        <w:spacing w:line="360" w:lineRule="auto"/>
        <w:rPr>
          <w:rFonts w:hint="default" w:ascii="Times New Roman Regular" w:hAnsi="Times New Roman Regular" w:cs="Times New Roman Regular"/>
          <w:sz w:val="24"/>
          <w:lang w:val="en-US" w:eastAsia="zh-CN"/>
        </w:rPr>
      </w:pPr>
    </w:p>
    <w:p w14:paraId="7D3D37A8">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堡垒机</w:t>
      </w:r>
    </w:p>
    <w:p w14:paraId="0570F93D">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1.堡垒机支持提供集账号管理、身份认证、单点登录、资源授权、访问控制和操作审计为一体的运维安全审计服务；能够对服务器、网络设备、安全设备、数据库等资产的运维操作过程进行有效的运维操作审计。</w:t>
      </w:r>
      <w:r>
        <w:commentReference w:id="9"/>
      </w:r>
    </w:p>
    <w:p w14:paraId="22F522A3">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r>
        <w:commentReference w:id="10"/>
      </w:r>
    </w:p>
    <w:p w14:paraId="53148B36">
      <w:pPr>
        <w:spacing w:line="360" w:lineRule="auto"/>
        <w:rPr>
          <w:rFonts w:hint="default" w:ascii="Times New Roman Regular" w:hAnsi="Times New Roman Regular" w:cs="Times New Roman Regular"/>
          <w:sz w:val="24"/>
          <w:lang w:val="en-US" w:eastAsia="zh-CN"/>
        </w:rPr>
      </w:pPr>
    </w:p>
    <w:p w14:paraId="57B7AE99">
      <w:pPr>
        <w:spacing w:line="360" w:lineRule="auto"/>
        <w:rPr>
          <w:rFonts w:hint="default" w:ascii="Times New Roman Regular" w:hAnsi="Times New Roman Regular" w:cs="Times New Roman Regular"/>
          <w:sz w:val="24"/>
          <w:lang w:val="en-US" w:eastAsia="zh-CN"/>
        </w:rPr>
      </w:pPr>
    </w:p>
    <w:p w14:paraId="64F4C867">
      <w:pPr>
        <w:spacing w:line="360" w:lineRule="auto"/>
        <w:rPr>
          <w:rFonts w:hint="default" w:ascii="Times New Roman Regular" w:hAnsi="Times New Roman Regular" w:cs="Times New Roman Regular"/>
          <w:sz w:val="24"/>
          <w:lang w:val="en-US" w:eastAsia="zh-CN"/>
        </w:rPr>
      </w:pPr>
    </w:p>
    <w:p w14:paraId="78729C66">
      <w:pPr>
        <w:spacing w:line="360" w:lineRule="auto"/>
        <w:rPr>
          <w:rFonts w:hint="default" w:ascii="Times New Roman Regular" w:hAnsi="Times New Roman Regular" w:cs="Times New Roman Regular"/>
          <w:sz w:val="24"/>
          <w:lang w:val="en-US" w:eastAsia="zh-CN"/>
        </w:rPr>
      </w:pPr>
    </w:p>
    <w:p w14:paraId="640E0BF8">
      <w:pPr>
        <w:spacing w:line="360" w:lineRule="auto"/>
        <w:rPr>
          <w:rFonts w:hint="default" w:ascii="Times New Roman Regular" w:hAnsi="Times New Roman Regular" w:cs="Times New Roman Regular"/>
          <w:sz w:val="24"/>
          <w:lang w:val="en-US" w:eastAsia="zh-CN"/>
        </w:rPr>
      </w:pPr>
    </w:p>
    <w:p w14:paraId="63B9C6EE">
      <w:pPr>
        <w:spacing w:line="360" w:lineRule="auto"/>
        <w:rPr>
          <w:rFonts w:hint="default" w:ascii="Times New Roman Regular" w:hAnsi="Times New Roman Regular" w:cs="Times New Roman Regular"/>
          <w:sz w:val="24"/>
          <w:lang w:val="en-US" w:eastAsia="zh-CN"/>
        </w:rPr>
      </w:pPr>
    </w:p>
    <w:p w14:paraId="112AE950">
      <w:pPr>
        <w:spacing w:line="360" w:lineRule="auto"/>
        <w:rPr>
          <w:rFonts w:hint="default" w:ascii="Times New Roman Regular" w:hAnsi="Times New Roman Regular" w:cs="Times New Roman Regular"/>
          <w:sz w:val="24"/>
          <w:lang w:val="en-US" w:eastAsia="zh-CN"/>
        </w:rPr>
      </w:pPr>
    </w:p>
    <w:p w14:paraId="4B39E265">
      <w:pPr>
        <w:spacing w:line="360" w:lineRule="auto"/>
        <w:rPr>
          <w:rFonts w:hint="default" w:ascii="Times New Roman Regular" w:hAnsi="Times New Roman Regular" w:cs="Times New Roman Regular"/>
          <w:sz w:val="24"/>
          <w:lang w:val="en-US" w:eastAsia="zh-CN"/>
        </w:rPr>
      </w:pPr>
    </w:p>
    <w:p w14:paraId="2F98FCD6">
      <w:pPr>
        <w:spacing w:line="360" w:lineRule="auto"/>
        <w:rPr>
          <w:rFonts w:hint="default" w:ascii="Times New Roman Regular" w:hAnsi="Times New Roman Regular" w:cs="Times New Roman Regular"/>
          <w:sz w:val="24"/>
          <w:lang w:val="en-US" w:eastAsia="zh-CN"/>
        </w:rPr>
      </w:pPr>
    </w:p>
    <w:p w14:paraId="43B5145E">
      <w:pPr>
        <w:spacing w:line="360" w:lineRule="auto"/>
        <w:rPr>
          <w:rFonts w:hint="default" w:ascii="Times New Roman Regular" w:hAnsi="Times New Roman Regular" w:cs="Times New Roman Regular"/>
          <w:sz w:val="24"/>
          <w:lang w:val="en-US" w:eastAsia="zh-CN"/>
        </w:rPr>
      </w:pPr>
    </w:p>
    <w:p w14:paraId="06302BBF">
      <w:pPr>
        <w:spacing w:line="360" w:lineRule="auto"/>
        <w:rPr>
          <w:rFonts w:hint="default" w:ascii="Times New Roman Regular" w:hAnsi="Times New Roman Regular" w:cs="Times New Roman Regular"/>
          <w:sz w:val="24"/>
          <w:lang w:val="en-US" w:eastAsia="zh-CN"/>
        </w:rPr>
      </w:pPr>
    </w:p>
    <w:p w14:paraId="278B1FFF">
      <w:pPr>
        <w:spacing w:line="360" w:lineRule="auto"/>
        <w:rPr>
          <w:rFonts w:hint="eastAsia" w:ascii="Times New Roman Regular" w:hAnsi="Times New Roman Regular" w:cs="Times New Roman Regular"/>
          <w:sz w:val="24"/>
          <w:lang w:val="en-US" w:eastAsia="zh-CN"/>
        </w:rPr>
      </w:pPr>
      <w:r>
        <w:rPr>
          <w:rFonts w:hint="eastAsia" w:ascii="Times New Roman Regular" w:hAnsi="Times New Roman Regular" w:cs="Times New Roman Regular"/>
          <w:sz w:val="24"/>
          <w:lang w:val="en-US" w:eastAsia="zh-CN"/>
        </w:rPr>
        <w:t>私有云平台</w:t>
      </w:r>
    </w:p>
    <w:p w14:paraId="436D71F8">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为保障平台上运行业务的安全防护和扩展性和兼容性，平台支持扩展同一品牌的虚拟应用防火墙、虚拟应用交付、SSL VPN软件、数据库审计软件等组件</w:t>
      </w:r>
      <w:r>
        <w:commentReference w:id="11"/>
      </w:r>
    </w:p>
    <w:p w14:paraId="15E07CC0">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超融合应支持微隔离策略推荐，自动通过访问关系、历史流量和用户配置来生成最适合的微隔离规则，并且可以预发布策略，预览访问关系和防护状况，在二次确认后发布推荐策略。</w:t>
      </w:r>
      <w:r>
        <w:commentReference w:id="12"/>
      </w:r>
    </w:p>
    <w:p w14:paraId="00A76058">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r>
        <w:commentReference w:id="13"/>
      </w:r>
    </w:p>
    <w:p w14:paraId="14D77076">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r>
        <w:commentReference w:id="14"/>
      </w:r>
    </w:p>
    <w:p w14:paraId="7C6C387D">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支持数据库一键诊断，可覆盖资源、会话、锁、性能分析（包括实时与历史的慢SQL定位和执行计划分析），以便快速了解数据库运行效率，发现性能问题。</w:t>
      </w:r>
      <w:r>
        <w:commentReference w:id="15"/>
      </w:r>
    </w:p>
    <w:p w14:paraId="2E7C7341">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r>
        <w:commentReference w:id="16"/>
      </w:r>
    </w:p>
    <w:p w14:paraId="783E0FDB">
      <w:pPr>
        <w:numPr>
          <w:ilvl w:val="0"/>
          <w:numId w:val="4"/>
        </w:numPr>
        <w:bidi w:val="0"/>
        <w:rPr>
          <w:rFonts w:hint="default" w:ascii="Times New Roman Regular" w:hAnsi="Times New Roman Regular" w:cs="Times New Roman Regular"/>
        </w:rPr>
      </w:pPr>
      <w:r>
        <w:rPr>
          <w:rFonts w:hint="eastAsia" w:ascii="Times New Roman Regular" w:hAnsi="Times New Roman Regular" w:cs="Times New Roman Regular"/>
          <w:lang w:val="en-US" w:eastAsia="zh-CN"/>
        </w:rPr>
        <w:t>在虚拟化平台可以拓展同品牌的虚拟桌面，通过零信任联动实现安全环境访问外网文献，同时可发布具备不同版本投标软件的桌面，满足不同场景的招投标使用</w:t>
      </w:r>
      <w:r>
        <w:commentReference w:id="17"/>
      </w:r>
    </w:p>
    <w:p w14:paraId="00DAF31B">
      <w:pPr>
        <w:spacing w:line="360" w:lineRule="auto"/>
        <w:rPr>
          <w:rFonts w:hint="default" w:ascii="Times New Roman Regular" w:hAnsi="Times New Roman Regular" w:cs="Times New Roman Regular"/>
          <w:sz w:val="24"/>
          <w:lang w:val="en-US" w:eastAsia="zh-CN"/>
        </w:rPr>
      </w:pPr>
    </w:p>
    <w:p w14:paraId="3F0E9A1E">
      <w:pPr>
        <w:rPr>
          <w:rFonts w:hint="default" w:ascii="Times New Roman Regular" w:hAnsi="Times New Roman Regular" w:cs="Times New Roman Regular"/>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unshine^ fjf" w:date="2025-12-01T20:50:32Z" w:initials="">
    <w:p w14:paraId="21E403DE">
      <w:pPr>
        <w:pStyle w:val="3"/>
        <w:rPr>
          <w:rFonts w:hint="eastAsia"/>
        </w:rPr>
      </w:pPr>
      <w:r>
        <w:rPr>
          <w:rFonts w:hint="eastAsia"/>
        </w:rPr>
        <w:t>使用场景： 部署在互联网出口或数据中心边界。当外部黑客尝试利用漏洞攻击内部服务器，或者内部员工下载了含病毒的文件，亦或是内网主机中了木马变成了“僵尸”向外发起攻击时。</w:t>
      </w:r>
    </w:p>
    <w:p w14:paraId="4D72B9A8">
      <w:pPr>
        <w:pStyle w:val="3"/>
      </w:pPr>
      <w:r>
        <w:rPr>
          <w:rFonts w:hint="eastAsia"/>
        </w:rPr>
        <w:t>必要性： 这是基础安全底座。单纯的IP端口限制（传统防火墙）已无法阻挡现代攻击，必须具备应用层识别（知道这是微信流量还是数据库流量）和内容检测（IPS/AV）能力，才能阻断混合型威胁。</w:t>
      </w:r>
    </w:p>
  </w:comment>
  <w:comment w:id="1" w:author="Sunshine^ fjf" w:date="2025-12-01T20:51:09Z" w:initials="">
    <w:p w14:paraId="564C53B3">
      <w:pPr>
        <w:pStyle w:val="3"/>
        <w:rPr>
          <w:rFonts w:hint="eastAsia"/>
        </w:rPr>
      </w:pPr>
      <w:r>
        <w:rPr>
          <w:rFonts w:hint="eastAsia"/>
        </w:rPr>
        <w:t>使用场景：</w:t>
      </w:r>
    </w:p>
    <w:p w14:paraId="06E30474">
      <w:pPr>
        <w:pStyle w:val="3"/>
        <w:rPr>
          <w:rFonts w:hint="eastAsia"/>
        </w:rPr>
      </w:pPr>
      <w:r>
        <w:rPr>
          <w:rFonts w:hint="eastAsia"/>
        </w:rPr>
        <w:t>0-Day漏洞爆发：当全球爆发类似WannaCry的新型勒索病毒时，传统特征库更新慢。威胁情报能在几分钟内同步全球攻击IP和样本指纹。</w:t>
      </w:r>
    </w:p>
    <w:p w14:paraId="4F7D19AD">
      <w:pPr>
        <w:pStyle w:val="3"/>
        <w:rPr>
          <w:rFonts w:hint="eastAsia"/>
        </w:rPr>
      </w:pPr>
      <w:r>
        <w:rPr>
          <w:rFonts w:hint="eastAsia"/>
        </w:rPr>
        <w:t>挖矿/C&amp;C通信： 内部某台电脑被黑客控制，试图连接黑客的指挥服务器。</w:t>
      </w:r>
    </w:p>
    <w:p w14:paraId="6E614F1B">
      <w:pPr>
        <w:pStyle w:val="3"/>
        <w:rPr>
          <w:rFonts w:hint="eastAsia"/>
        </w:rPr>
      </w:pPr>
      <w:r>
        <w:rPr>
          <w:rFonts w:hint="eastAsia"/>
        </w:rPr>
        <w:t>必要性：“变被动为主动”的关键。</w:t>
      </w:r>
    </w:p>
    <w:p w14:paraId="470470C4">
      <w:pPr>
        <w:pStyle w:val="3"/>
      </w:pPr>
      <w:r>
        <w:rPr>
          <w:rFonts w:hint="eastAsia"/>
        </w:rPr>
        <w:t>30+节点：保证情报来源的丰富性（覆盖全球不同区域），避免漏报。</w:t>
      </w:r>
    </w:p>
  </w:comment>
  <w:comment w:id="2" w:author="Sunshine^ fjf" w:date="2025-12-01T20:52:23Z" w:initials="">
    <w:p w14:paraId="00DF4BB0">
      <w:pPr>
        <w:pStyle w:val="3"/>
      </w:pPr>
      <w:r>
        <w:rPr>
          <w:rFonts w:hint="eastAsia"/>
        </w:rPr>
        <w:t>应用更新极快，如果规则库不够庞大且更新不及时，管控就是形同虚设</w:t>
      </w:r>
    </w:p>
  </w:comment>
  <w:comment w:id="3" w:author="Sunshine^ fjf" w:date="2025-12-01T20:53:52Z" w:initials="">
    <w:p w14:paraId="50662012">
      <w:pPr>
        <w:pStyle w:val="3"/>
        <w:rPr>
          <w:rFonts w:hint="eastAsia"/>
        </w:rPr>
      </w:pPr>
      <w:r>
        <w:rPr>
          <w:rFonts w:hint="eastAsia"/>
        </w:rPr>
        <w:t>使用场景： 员工出差在咖啡厅通过公共Wi-Fi访问公司内网ERP；第三方运维人员远程维护服务器。</w:t>
      </w:r>
    </w:p>
    <w:p w14:paraId="5468FE58">
      <w:pPr>
        <w:pStyle w:val="3"/>
      </w:pPr>
      <w:r>
        <w:rPr>
          <w:rFonts w:hint="eastAsia"/>
        </w:rPr>
        <w:t>必要性： 传统的VPN一旦连接，往往能扫描整个内网。零信任通过服务隐身，让黑客在互联网上扫描不到公司的端口，把攻击面降到最低。</w:t>
      </w:r>
    </w:p>
  </w:comment>
  <w:comment w:id="4" w:author="Sunshine^ fjf" w:date="2025-12-01T20:54:35Z" w:initials="">
    <w:p w14:paraId="1476ABD4">
      <w:pPr>
        <w:pStyle w:val="3"/>
        <w:rPr>
          <w:rFonts w:hint="eastAsia"/>
        </w:rPr>
      </w:pPr>
      <w:r>
        <w:rPr>
          <w:rFonts w:hint="eastAsia"/>
        </w:rPr>
        <w:t>SPA（单包授权）： 是零信任的核心黑科技，能够彻底隐藏业务端口，防止针对网关本身的DDoS攻击和漏洞利用。</w:t>
      </w:r>
    </w:p>
    <w:p w14:paraId="028EC4BA">
      <w:pPr>
        <w:pStyle w:val="3"/>
      </w:pPr>
      <w:r>
        <w:rPr>
          <w:rFonts w:hint="eastAsia"/>
        </w:rPr>
        <w:t>安全码多样性： 适应不同场景（员工用一人一码，临时访客用一次一码），兼顾安全与便捷。</w:t>
      </w:r>
    </w:p>
  </w:comment>
  <w:comment w:id="5" w:author="Sunshine^ fjf" w:date="2025-12-01T20:56:20Z" w:initials="">
    <w:p w14:paraId="20234786">
      <w:pPr>
        <w:pStyle w:val="3"/>
        <w:rPr>
          <w:rFonts w:hint="eastAsia"/>
        </w:rPr>
      </w:pPr>
      <w:r>
        <w:rPr>
          <w:rFonts w:hint="eastAsia"/>
        </w:rPr>
        <w:t>使用场景： 统计全公司安装了什么软件、有哪些电脑没打补丁、禁止员工使用U盘拷贝文件。</w:t>
      </w:r>
    </w:p>
    <w:p w14:paraId="1A170644">
      <w:pPr>
        <w:pStyle w:val="3"/>
      </w:pPr>
      <w:r>
        <w:rPr>
          <w:rFonts w:hint="eastAsia"/>
        </w:rPr>
        <w:t>必要性： 基础运维和合规要求，减少因系统老旧或外设滥用导致的入侵风险。</w:t>
      </w:r>
    </w:p>
  </w:comment>
  <w:comment w:id="6" w:author="Sunshine^ fjf" w:date="2025-12-01T20:56:31Z" w:initials="">
    <w:p w14:paraId="3BE7DEC7">
      <w:pPr>
        <w:pStyle w:val="3"/>
        <w:rPr>
          <w:rFonts w:hint="eastAsia"/>
        </w:rPr>
      </w:pPr>
      <w:r>
        <w:rPr>
          <w:rFonts w:hint="eastAsia"/>
        </w:rPr>
        <w:t>勒索攻击进行时： 病毒绕过了防火墙，开始加密文件。它首先触碰了“诱饵文件”（系统埋的雷），aES立马杀掉进程。</w:t>
      </w:r>
    </w:p>
    <w:p w14:paraId="1E52A3FE">
      <w:pPr>
        <w:pStyle w:val="3"/>
      </w:pPr>
      <w:r>
        <w:rPr>
          <w:rFonts w:hint="eastAsia"/>
        </w:rPr>
        <w:t>必要性： 勒索病毒是当前最大的企业安全威胁。传统的基于特征库的杀毒软件对变种勒索病毒无效，必须依靠诱饵和行为AI进行阻断，而自动备份回滚是数据的“保命符”。</w:t>
      </w:r>
    </w:p>
  </w:comment>
  <w:comment w:id="7" w:author="Sunshine^ fjf" w:date="2025-12-01T20:57:00Z" w:initials="">
    <w:p w14:paraId="6348CBB9">
      <w:pPr>
        <w:pStyle w:val="3"/>
        <w:rPr>
          <w:rFonts w:hint="eastAsia"/>
        </w:rPr>
      </w:pPr>
      <w:r>
        <w:rPr>
          <w:rFonts w:hint="eastAsia"/>
        </w:rPr>
        <w:t>使用场景： 发生了安全事件，需要把防火墙日志、服务器日志、数据库日志关联起来看，还原攻击路径。</w:t>
      </w:r>
    </w:p>
    <w:p w14:paraId="6139EEEF">
      <w:pPr>
        <w:pStyle w:val="3"/>
      </w:pPr>
      <w:r>
        <w:rPr>
          <w:rFonts w:hint="eastAsia"/>
        </w:rPr>
        <w:t>必要性： 解决“数据孤岛”问题。如果日志分散在各设备上，存储空间有限且易被黑客删除。集中审计是等保（MLPS）合规的硬性要求。</w:t>
      </w:r>
    </w:p>
  </w:comment>
  <w:comment w:id="8" w:author="Sunshine^ fjf" w:date="2025-12-01T20:57:23Z" w:initials="">
    <w:p w14:paraId="517194FE">
      <w:pPr>
        <w:pStyle w:val="3"/>
        <w:rPr>
          <w:rFonts w:hint="eastAsia"/>
        </w:rPr>
      </w:pPr>
      <w:r>
        <w:rPr>
          <w:rFonts w:hint="eastAsia"/>
        </w:rPr>
        <w:t>复杂环境： 某些老旧业务系统不支持Syslog，需要用Agent或文件读取方式去抓日志。</w:t>
      </w:r>
    </w:p>
    <w:p w14:paraId="5A1D6F76">
      <w:pPr>
        <w:pStyle w:val="3"/>
        <w:rPr>
          <w:rFonts w:hint="eastAsia"/>
        </w:rPr>
      </w:pPr>
      <w:r>
        <w:rPr>
          <w:rFonts w:hint="eastAsia"/>
        </w:rPr>
        <w:t>防扯皮： 部署后，管理员以为日志收上来了，实际没收全。POC工具用于一键自检，证明“我确实在监控”。</w:t>
      </w:r>
    </w:p>
    <w:p w14:paraId="21893668">
      <w:pPr>
        <w:pStyle w:val="3"/>
        <w:rPr>
          <w:rFonts w:hint="eastAsia"/>
        </w:rPr>
      </w:pPr>
      <w:r>
        <w:rPr>
          <w:rFonts w:hint="eastAsia"/>
        </w:rPr>
        <w:t>必要性： 兼容性是日志审计的最大痛点。支持的协议越多，能接入的资产就越全。POC工具则是保障项目交付质量的必要手段。</w:t>
      </w:r>
    </w:p>
    <w:p w14:paraId="73061516">
      <w:pPr>
        <w:pStyle w:val="3"/>
      </w:pPr>
    </w:p>
  </w:comment>
  <w:comment w:id="9" w:author="Sunshine^ fjf" w:date="2025-12-01T20:58:16Z" w:initials="">
    <w:p w14:paraId="51FE366D">
      <w:pPr>
        <w:pStyle w:val="3"/>
        <w:rPr>
          <w:rFonts w:hint="eastAsia"/>
        </w:rPr>
      </w:pPr>
      <w:r>
        <w:rPr>
          <w:rFonts w:hint="eastAsia"/>
        </w:rPr>
        <w:t>使用场景： 运维人员张三需要维护数据库，他不需要知道数据库的真实root密码，而是登录堡垒机，由堡垒机代填密码登录。</w:t>
      </w:r>
    </w:p>
    <w:p w14:paraId="2C8F7774">
      <w:pPr>
        <w:pStyle w:val="3"/>
      </w:pPr>
      <w:r>
        <w:rPr>
          <w:rFonts w:hint="eastAsia"/>
        </w:rPr>
        <w:t>必要性： 防止核心密码泄露（因为人员不知道密码），并对“删库跑路”等高危操作进行全程录屏审计，便于追责。</w:t>
      </w:r>
    </w:p>
  </w:comment>
  <w:comment w:id="10" w:author="Sunshine^ fjf" w:date="2025-12-01T20:58:59Z" w:initials="">
    <w:p w14:paraId="35200305">
      <w:pPr>
        <w:pStyle w:val="3"/>
        <w:rPr>
          <w:rFonts w:hint="eastAsia"/>
        </w:rPr>
      </w:pPr>
      <w:r>
        <w:rPr>
          <w:rFonts w:hint="eastAsia"/>
        </w:rPr>
        <w:t>使用场景：</w:t>
      </w:r>
    </w:p>
    <w:p w14:paraId="31A40CCF">
      <w:pPr>
        <w:pStyle w:val="3"/>
        <w:rPr>
          <w:rFonts w:hint="eastAsia"/>
        </w:rPr>
      </w:pPr>
      <w:r>
        <w:rPr>
          <w:rFonts w:hint="eastAsia"/>
        </w:rPr>
        <w:t>非标应用： 公司有一套自研的BS架构管理系统，登录框很特殊。普通堡垒机无法代填密码，通过“动作流”脚本可以模拟鼠标键盘操作实现自动登录。</w:t>
      </w:r>
    </w:p>
    <w:p w14:paraId="1E7BE83D">
      <w:pPr>
        <w:pStyle w:val="3"/>
        <w:rPr>
          <w:rFonts w:hint="eastAsia"/>
        </w:rPr>
      </w:pPr>
      <w:r>
        <w:rPr>
          <w:rFonts w:hint="eastAsia"/>
        </w:rPr>
        <w:t>高危操作双人复核： 当外包人员要重启核心服务器时，必须触发审批流，由内部主管批准后，操作指令才会下发。</w:t>
      </w:r>
    </w:p>
    <w:p w14:paraId="18C95B22">
      <w:pPr>
        <w:pStyle w:val="3"/>
        <w:rPr>
          <w:rFonts w:hint="eastAsia"/>
        </w:rPr>
      </w:pPr>
      <w:r>
        <w:rPr>
          <w:rFonts w:hint="eastAsia"/>
        </w:rPr>
        <w:t>必要性：</w:t>
      </w:r>
    </w:p>
    <w:p w14:paraId="089706F0">
      <w:pPr>
        <w:pStyle w:val="3"/>
        <w:rPr>
          <w:rFonts w:hint="eastAsia"/>
        </w:rPr>
      </w:pPr>
      <w:r>
        <w:rPr>
          <w:rFonts w:hint="eastAsia"/>
        </w:rPr>
        <w:t>动作流： 解决了“买得起用不起来”的问题，大幅提升对私有/老旧系统的兼容性。</w:t>
      </w:r>
    </w:p>
    <w:p w14:paraId="56CBC65B">
      <w:pPr>
        <w:pStyle w:val="3"/>
      </w:pPr>
      <w:r>
        <w:rPr>
          <w:rFonts w:hint="eastAsia"/>
        </w:rPr>
        <w:t>审批流： 实现了运维操作的事前控制，而不仅仅是事后诸葛亮（审计）。</w:t>
      </w:r>
    </w:p>
  </w:comment>
  <w:comment w:id="11" w:author="Sunshine^ fjf" w:date="2025-12-04T14:38:06Z" w:initials="">
    <w:p w14:paraId="59388CF8">
      <w:pPr>
        <w:pStyle w:val="3"/>
        <w:rPr>
          <w:rFonts w:hint="eastAsia"/>
        </w:rPr>
      </w:pPr>
      <w:r>
        <w:rPr>
          <w:rFonts w:hint="eastAsia"/>
        </w:rPr>
        <w:t>使用场景：</w:t>
      </w:r>
    </w:p>
    <w:p w14:paraId="402AF934">
      <w:pPr>
        <w:pStyle w:val="3"/>
        <w:rPr>
          <w:rFonts w:hint="default"/>
          <w:lang w:val="en-US" w:eastAsia="zh-CN"/>
        </w:rPr>
      </w:pPr>
      <w:r>
        <w:rPr>
          <w:rFonts w:hint="eastAsia"/>
          <w:lang w:val="en-US" w:eastAsia="zh-CN"/>
        </w:rPr>
        <w:t>在虚拟网络内拓展安全组件，实现虚拟网络安全</w:t>
      </w:r>
    </w:p>
    <w:p w14:paraId="40D2220C">
      <w:pPr>
        <w:pStyle w:val="3"/>
        <w:rPr>
          <w:rFonts w:hint="eastAsia"/>
        </w:rPr>
      </w:pPr>
      <w:r>
        <w:rPr>
          <w:rFonts w:hint="eastAsia"/>
        </w:rPr>
        <w:t>必要性：</w:t>
      </w:r>
    </w:p>
    <w:p w14:paraId="66C1FA6F">
      <w:pPr>
        <w:pStyle w:val="3"/>
        <w:rPr>
          <w:rFonts w:hint="eastAsia"/>
        </w:rPr>
      </w:pPr>
      <w:r>
        <w:rPr>
          <w:rFonts w:hint="eastAsia"/>
        </w:rPr>
        <w:t>降低复杂度和成本：软件定义安全（NFV）替代了昂贵的专用硬件堆叠，减少机房空间占用和电力消耗。</w:t>
      </w:r>
    </w:p>
    <w:p w14:paraId="5A670270">
      <w:pPr>
        <w:pStyle w:val="3"/>
      </w:pPr>
      <w:r>
        <w:rPr>
          <w:rFonts w:hint="eastAsia"/>
        </w:rPr>
        <w:t>弹性扩展：随着业务量增长，可以通过增加虚拟资源（CPU/内存）来提升防火墙性能，而无需更换硬件设备。</w:t>
      </w:r>
    </w:p>
  </w:comment>
  <w:comment w:id="12" w:author="Sunshine^ fjf" w:date="2025-12-04T14:43:19Z" w:initials="">
    <w:p w14:paraId="46EA9B33">
      <w:pPr>
        <w:pStyle w:val="3"/>
        <w:rPr>
          <w:rFonts w:hint="eastAsia"/>
        </w:rPr>
      </w:pPr>
      <w:r>
        <w:rPr>
          <w:rFonts w:hint="eastAsia"/>
        </w:rPr>
        <w:t>使用场景：</w:t>
      </w:r>
    </w:p>
    <w:p w14:paraId="5B4050BB">
      <w:pPr>
        <w:pStyle w:val="3"/>
        <w:rPr>
          <w:rFonts w:hint="eastAsia"/>
        </w:rPr>
      </w:pPr>
      <w:r>
        <w:rPr>
          <w:rFonts w:hint="eastAsia"/>
          <w:lang w:val="en-US" w:eastAsia="zh-CN"/>
        </w:rPr>
        <w:t>借助微隔离策略</w:t>
      </w:r>
      <w:r>
        <w:rPr>
          <w:rFonts w:hint="eastAsia"/>
        </w:rPr>
        <w:t>只允许Web服务器访问数据库的3306端口，禁止其他任何横向访问。</w:t>
      </w:r>
    </w:p>
    <w:p w14:paraId="6A528380">
      <w:pPr>
        <w:pStyle w:val="3"/>
        <w:rPr>
          <w:rFonts w:hint="eastAsia"/>
        </w:rPr>
      </w:pPr>
      <w:r>
        <w:rPr>
          <w:rFonts w:hint="eastAsia"/>
        </w:rPr>
        <w:t>必要性：</w:t>
      </w:r>
    </w:p>
    <w:p w14:paraId="57F819A3">
      <w:pPr>
        <w:pStyle w:val="3"/>
      </w:pPr>
      <w:r>
        <w:rPr>
          <w:rFonts w:hint="eastAsia"/>
        </w:rPr>
        <w:t>防止勒索病毒横向扩散：传统防火墙只防边界，微隔离能防止黑客攻破一台虚拟机后感染整个内网。</w:t>
      </w:r>
    </w:p>
  </w:comment>
  <w:comment w:id="13" w:author="Sunshine^ fjf" w:date="2025-12-04T14:44:11Z" w:initials="">
    <w:p w14:paraId="6918C724">
      <w:pPr>
        <w:pStyle w:val="3"/>
        <w:rPr>
          <w:rFonts w:hint="eastAsia"/>
        </w:rPr>
      </w:pPr>
      <w:r>
        <w:rPr>
          <w:rFonts w:hint="eastAsia"/>
        </w:rPr>
        <w:t>使用场景：</w:t>
      </w:r>
    </w:p>
    <w:p w14:paraId="27E1EAFF">
      <w:pPr>
        <w:pStyle w:val="3"/>
        <w:rPr>
          <w:rFonts w:hint="default" w:eastAsia="宋体"/>
          <w:lang w:val="en-US" w:eastAsia="zh-CN"/>
        </w:rPr>
      </w:pPr>
      <w:r>
        <w:rPr>
          <w:rFonts w:hint="eastAsia"/>
          <w:lang w:val="en-US" w:eastAsia="zh-CN"/>
        </w:rPr>
        <w:t>在虚拟化平台上同时使用容器能力</w:t>
      </w:r>
    </w:p>
    <w:p w14:paraId="2ECD3FA7">
      <w:pPr>
        <w:pStyle w:val="3"/>
        <w:rPr>
          <w:rFonts w:hint="eastAsia"/>
        </w:rPr>
      </w:pPr>
      <w:r>
        <w:rPr>
          <w:rFonts w:hint="eastAsia"/>
        </w:rPr>
        <w:t>必要性：</w:t>
      </w:r>
    </w:p>
    <w:p w14:paraId="2FB12A53">
      <w:pPr>
        <w:pStyle w:val="3"/>
        <w:rPr>
          <w:rFonts w:hint="eastAsia"/>
        </w:rPr>
      </w:pPr>
      <w:r>
        <w:rPr>
          <w:rFonts w:hint="eastAsia"/>
        </w:rPr>
        <w:t>虚拟机和容器，统一管理</w:t>
      </w:r>
      <w:r>
        <w:rPr>
          <w:rFonts w:hint="eastAsia"/>
          <w:lang w:eastAsia="zh-CN"/>
        </w:rPr>
        <w:t>，</w:t>
      </w:r>
      <w:r>
        <w:rPr>
          <w:rFonts w:hint="eastAsia"/>
        </w:rPr>
        <w:t>避免了构建两套割裂的基础设施（烟囱式架构）。</w:t>
      </w:r>
    </w:p>
    <w:p w14:paraId="287D4C78">
      <w:pPr>
        <w:pStyle w:val="3"/>
      </w:pPr>
      <w:r>
        <w:rPr>
          <w:rFonts w:hint="eastAsia"/>
        </w:rPr>
        <w:t>降低技术门槛：K8S的学习曲线极陡峭，图形化全生命周期管理让传统虚拟化管理员也能轻松接手容器运维，降低人力转型成本。</w:t>
      </w:r>
    </w:p>
  </w:comment>
  <w:comment w:id="14" w:author="Sunshine^ fjf" w:date="2025-12-04T14:48:21Z" w:initials="">
    <w:p w14:paraId="2BD7056D">
      <w:pPr>
        <w:pStyle w:val="3"/>
        <w:rPr>
          <w:rFonts w:hint="eastAsia"/>
        </w:rPr>
      </w:pPr>
      <w:r>
        <w:rPr>
          <w:rFonts w:hint="eastAsia"/>
        </w:rPr>
        <w:t>使用场景：</w:t>
      </w:r>
    </w:p>
    <w:p w14:paraId="0F2CBD6E">
      <w:pPr>
        <w:pStyle w:val="3"/>
        <w:rPr>
          <w:rFonts w:hint="eastAsia"/>
        </w:rPr>
      </w:pPr>
      <w:r>
        <w:rPr>
          <w:rFonts w:hint="eastAsia"/>
          <w:lang w:val="en-US" w:eastAsia="zh-CN"/>
        </w:rPr>
        <w:t>核心</w:t>
      </w:r>
      <w:r>
        <w:rPr>
          <w:rFonts w:hint="eastAsia"/>
        </w:rPr>
        <w:t>系统的MySQL主节点因内存溢出导致进程崩溃。</w:t>
      </w:r>
    </w:p>
    <w:p w14:paraId="46C7D1D8">
      <w:pPr>
        <w:pStyle w:val="3"/>
        <w:rPr>
          <w:rFonts w:hint="eastAsia"/>
        </w:rPr>
      </w:pPr>
      <w:r>
        <w:rPr>
          <w:rFonts w:hint="eastAsia"/>
        </w:rPr>
        <w:t>无需人工干预，平台检测到异常，首先尝试拉起进程；若失败，自动重启该节点虚拟机；若物理机故障，自动在另一台物理机上拉起该数据库实例，并自动重新加入集群同步数据。</w:t>
      </w:r>
    </w:p>
    <w:p w14:paraId="241736F3">
      <w:pPr>
        <w:pStyle w:val="3"/>
        <w:rPr>
          <w:rFonts w:hint="eastAsia"/>
        </w:rPr>
      </w:pPr>
      <w:r>
        <w:rPr>
          <w:rFonts w:hint="eastAsia"/>
        </w:rPr>
        <w:t>必要性：</w:t>
      </w:r>
    </w:p>
    <w:p w14:paraId="7CB1FC43">
      <w:pPr>
        <w:pStyle w:val="3"/>
        <w:rPr>
          <w:rFonts w:hint="eastAsia" w:eastAsia="宋体"/>
          <w:lang w:eastAsia="zh-CN"/>
        </w:rPr>
      </w:pPr>
      <w:r>
        <w:rPr>
          <w:rFonts w:hint="eastAsia"/>
        </w:rPr>
        <w:t>保障业务连续性（RTO最小化）</w:t>
      </w:r>
      <w:r>
        <w:rPr>
          <w:rFonts w:hint="eastAsia"/>
          <w:lang w:eastAsia="zh-CN"/>
        </w:rPr>
        <w:t>，</w:t>
      </w:r>
      <w:r>
        <w:rPr>
          <w:rFonts w:hint="eastAsia"/>
        </w:rPr>
        <w:t>减少夜间运维压力：通过自动化脚本替代人工排障</w:t>
      </w:r>
      <w:r>
        <w:rPr>
          <w:rFonts w:hint="eastAsia"/>
          <w:lang w:eastAsia="zh-CN"/>
        </w:rPr>
        <w:t>。</w:t>
      </w:r>
    </w:p>
  </w:comment>
  <w:comment w:id="15" w:author="Sunshine^ fjf" w:date="2025-12-04T14:49:59Z" w:initials="">
    <w:p w14:paraId="7D70399B">
      <w:pPr>
        <w:pStyle w:val="3"/>
        <w:rPr>
          <w:rFonts w:hint="eastAsia"/>
        </w:rPr>
      </w:pPr>
      <w:r>
        <w:rPr>
          <w:rFonts w:hint="eastAsia"/>
        </w:rPr>
        <w:t>使用场景：</w:t>
      </w:r>
    </w:p>
    <w:p w14:paraId="6D48402B">
      <w:pPr>
        <w:pStyle w:val="3"/>
        <w:rPr>
          <w:rFonts w:hint="default"/>
          <w:lang w:val="en-US" w:eastAsia="zh-CN"/>
        </w:rPr>
      </w:pPr>
      <w:r>
        <w:rPr>
          <w:rFonts w:hint="eastAsia"/>
          <w:lang w:val="en-US" w:eastAsia="zh-CN"/>
        </w:rPr>
        <w:t>出现慢SQL和卡顿SQL等数据库使用问题时</w:t>
      </w:r>
    </w:p>
    <w:p w14:paraId="48DA14D6">
      <w:pPr>
        <w:pStyle w:val="3"/>
        <w:rPr>
          <w:rFonts w:hint="eastAsia"/>
        </w:rPr>
      </w:pPr>
      <w:r>
        <w:rPr>
          <w:rFonts w:hint="eastAsia"/>
        </w:rPr>
        <w:t>必要性：</w:t>
      </w:r>
    </w:p>
    <w:p w14:paraId="2DEA8670">
      <w:pPr>
        <w:pStyle w:val="3"/>
      </w:pPr>
      <w:r>
        <w:rPr>
          <w:rFonts w:hint="eastAsia"/>
        </w:rPr>
        <w:t>快速定位性能瓶颈：将专业的DBA能力工具化、可视化，让普通运维也能快速判断问题根源</w:t>
      </w:r>
      <w:r>
        <w:rPr>
          <w:rFonts w:hint="eastAsia"/>
          <w:lang w:eastAsia="zh-CN"/>
        </w:rPr>
        <w:t>、</w:t>
      </w:r>
      <w:r>
        <w:rPr>
          <w:rFonts w:hint="eastAsia"/>
        </w:rPr>
        <w:t>变被动为主动：通过分析历史慢SQL，可以在系统崩溃前优化代码，防患于未然。</w:t>
      </w:r>
    </w:p>
  </w:comment>
  <w:comment w:id="16" w:author="Sunshine^ fjf" w:date="2025-12-04T14:51:07Z" w:initials="">
    <w:p w14:paraId="0EBB0FFC">
      <w:pPr>
        <w:pStyle w:val="3"/>
        <w:rPr>
          <w:rFonts w:hint="eastAsia"/>
        </w:rPr>
      </w:pPr>
      <w:r>
        <w:rPr>
          <w:rFonts w:hint="eastAsia"/>
        </w:rPr>
        <w:t>使用场景：</w:t>
      </w:r>
    </w:p>
    <w:p w14:paraId="4D76B08A">
      <w:pPr>
        <w:pStyle w:val="3"/>
        <w:rPr>
          <w:rFonts w:hint="default"/>
          <w:lang w:val="en-US" w:eastAsia="zh-CN"/>
        </w:rPr>
      </w:pPr>
      <w:r>
        <w:rPr>
          <w:rFonts w:hint="eastAsia"/>
          <w:lang w:val="en-US" w:eastAsia="zh-CN"/>
        </w:rPr>
        <w:t>针对于勒索病毒进行事前预防，事中响应，事后兜底</w:t>
      </w:r>
    </w:p>
    <w:p w14:paraId="39942CE8">
      <w:pPr>
        <w:pStyle w:val="3"/>
        <w:rPr>
          <w:rFonts w:hint="eastAsia"/>
        </w:rPr>
      </w:pPr>
      <w:r>
        <w:rPr>
          <w:rFonts w:hint="eastAsia"/>
        </w:rPr>
        <w:t>必要性：</w:t>
      </w:r>
    </w:p>
    <w:p w14:paraId="108C575E">
      <w:pPr>
        <w:pStyle w:val="3"/>
        <w:rPr>
          <w:rFonts w:hint="eastAsia"/>
        </w:rPr>
      </w:pPr>
      <w:r>
        <w:rPr>
          <w:rFonts w:hint="eastAsia"/>
          <w:lang w:val="en-US" w:eastAsia="zh-CN"/>
        </w:rPr>
        <w:t>保障数据安全，</w:t>
      </w:r>
      <w:r>
        <w:rPr>
          <w:rFonts w:hint="eastAsia"/>
        </w:rPr>
        <w:t>挽回经济损失：勒索病毒一旦加密完成，除了支付赎金几乎无解。事中的“自动快照”是挽救数据的最后一道防线。</w:t>
      </w:r>
    </w:p>
    <w:p w14:paraId="6F3F31A5">
      <w:pPr>
        <w:pStyle w:val="3"/>
      </w:pPr>
    </w:p>
  </w:comment>
  <w:comment w:id="17" w:author="Sunshine^ fjf" w:date="2025-12-04T14:52:34Z" w:initials="">
    <w:p w14:paraId="2539264E">
      <w:pPr>
        <w:pStyle w:val="3"/>
        <w:rPr>
          <w:rFonts w:hint="eastAsia"/>
          <w:lang w:val="en-US" w:eastAsia="zh-CN"/>
        </w:rPr>
      </w:pPr>
      <w:r>
        <w:rPr>
          <w:rFonts w:hint="eastAsia"/>
          <w:lang w:val="en-US" w:eastAsia="zh-CN"/>
        </w:rPr>
        <w:t>使用场景：</w:t>
      </w:r>
    </w:p>
    <w:p w14:paraId="4D5A8476">
      <w:pPr>
        <w:pStyle w:val="3"/>
        <w:rPr>
          <w:rFonts w:hint="eastAsia"/>
          <w:lang w:val="en-US" w:eastAsia="zh-CN"/>
        </w:rPr>
      </w:pPr>
      <w:r>
        <w:rPr>
          <w:rFonts w:hint="eastAsia"/>
          <w:lang w:val="en-US" w:eastAsia="zh-CN"/>
        </w:rPr>
        <w:t>安全上网和招投标场景使用</w:t>
      </w:r>
    </w:p>
    <w:p w14:paraId="5E4CC74B">
      <w:pPr>
        <w:pStyle w:val="3"/>
        <w:rPr>
          <w:rFonts w:hint="eastAsia"/>
          <w:lang w:val="en-US" w:eastAsia="zh-CN"/>
        </w:rPr>
      </w:pPr>
      <w:r>
        <w:rPr>
          <w:rFonts w:hint="eastAsia"/>
          <w:lang w:val="en-US" w:eastAsia="zh-CN"/>
        </w:rPr>
        <w:t>必要性：</w:t>
      </w:r>
    </w:p>
    <w:p w14:paraId="76266028">
      <w:pPr>
        <w:pStyle w:val="3"/>
        <w:rPr>
          <w:rFonts w:hint="eastAsia"/>
          <w:lang w:val="en-US" w:eastAsia="zh-CN"/>
        </w:rPr>
      </w:pPr>
      <w:r>
        <w:rPr>
          <w:rFonts w:hint="eastAsia"/>
          <w:lang w:val="en-US" w:eastAsia="zh-CN"/>
        </w:rPr>
        <w:t>解决固定IP访问外网的问题</w:t>
      </w:r>
    </w:p>
    <w:p w14:paraId="37AA65F9">
      <w:pPr>
        <w:pStyle w:val="3"/>
        <w:rPr>
          <w:rFonts w:hint="default"/>
          <w:lang w:val="en-US" w:eastAsia="zh-CN"/>
        </w:rPr>
      </w:pPr>
      <w:r>
        <w:rPr>
          <w:rFonts w:hint="eastAsia"/>
          <w:lang w:val="en-US" w:eastAsia="zh-CN"/>
        </w:rPr>
        <w:t>解决需要重复安装卸载CA软件的问题</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72B9A8" w15:done="0"/>
  <w15:commentEx w15:paraId="470470C4" w15:done="0"/>
  <w15:commentEx w15:paraId="00DF4BB0" w15:done="0"/>
  <w15:commentEx w15:paraId="5468FE58" w15:done="0"/>
  <w15:commentEx w15:paraId="028EC4BA" w15:done="0"/>
  <w15:commentEx w15:paraId="1A170644" w15:done="0"/>
  <w15:commentEx w15:paraId="1E52A3FE" w15:done="0"/>
  <w15:commentEx w15:paraId="6139EEEF" w15:done="0"/>
  <w15:commentEx w15:paraId="73061516" w15:done="0"/>
  <w15:commentEx w15:paraId="2C8F7774" w15:done="0"/>
  <w15:commentEx w15:paraId="56CBC65B" w15:done="0"/>
  <w15:commentEx w15:paraId="5A670270" w15:done="0"/>
  <w15:commentEx w15:paraId="57F819A3" w15:done="0"/>
  <w15:commentEx w15:paraId="287D4C78" w15:done="0"/>
  <w15:commentEx w15:paraId="7CB1FC43" w15:done="0"/>
  <w15:commentEx w15:paraId="2DEA8670" w15:done="0"/>
  <w15:commentEx w15:paraId="6F3F31A5" w15:done="0"/>
  <w15:commentEx w15:paraId="37AA65F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2CFF5"/>
    <w:multiLevelType w:val="singleLevel"/>
    <w:tmpl w:val="BAB2CFF5"/>
    <w:lvl w:ilvl="0" w:tentative="0">
      <w:start w:val="1"/>
      <w:numFmt w:val="decimal"/>
      <w:lvlText w:val="%1."/>
      <w:lvlJc w:val="left"/>
      <w:pPr>
        <w:tabs>
          <w:tab w:val="left" w:pos="312"/>
        </w:tabs>
      </w:pPr>
    </w:lvl>
  </w:abstractNum>
  <w:abstractNum w:abstractNumId="1">
    <w:nsid w:val="337F5019"/>
    <w:multiLevelType w:val="multilevel"/>
    <w:tmpl w:val="337F501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42126BB7"/>
    <w:multiLevelType w:val="multilevel"/>
    <w:tmpl w:val="42126BB7"/>
    <w:lvl w:ilvl="0" w:tentative="0">
      <w:start w:val="1"/>
      <w:numFmt w:val="bullet"/>
      <w:lvlText w:val=""/>
      <w:lvlJc w:val="left"/>
      <w:pPr>
        <w:ind w:left="1200" w:hanging="420"/>
      </w:pPr>
      <w:rPr>
        <w:rFonts w:hint="default" w:ascii="Wingdings" w:hAnsi="Wingdings"/>
      </w:rPr>
    </w:lvl>
    <w:lvl w:ilvl="1" w:tentative="0">
      <w:start w:val="1"/>
      <w:numFmt w:val="bullet"/>
      <w:lvlText w:val=""/>
      <w:lvlJc w:val="left"/>
      <w:pPr>
        <w:ind w:left="1620" w:hanging="420"/>
      </w:pPr>
      <w:rPr>
        <w:rFonts w:hint="default" w:ascii="Wingdings" w:hAnsi="Wingdings"/>
      </w:rPr>
    </w:lvl>
    <w:lvl w:ilvl="2" w:tentative="0">
      <w:start w:val="1"/>
      <w:numFmt w:val="bullet"/>
      <w:lvlText w:val=""/>
      <w:lvlJc w:val="left"/>
      <w:pPr>
        <w:ind w:left="2040" w:hanging="420"/>
      </w:pPr>
      <w:rPr>
        <w:rFonts w:hint="default" w:ascii="Wingdings" w:hAnsi="Wingdings"/>
      </w:rPr>
    </w:lvl>
    <w:lvl w:ilvl="3" w:tentative="0">
      <w:start w:val="1"/>
      <w:numFmt w:val="bullet"/>
      <w:lvlText w:val=""/>
      <w:lvlJc w:val="left"/>
      <w:pPr>
        <w:ind w:left="2460" w:hanging="420"/>
      </w:pPr>
      <w:rPr>
        <w:rFonts w:hint="default" w:ascii="Wingdings" w:hAnsi="Wingdings"/>
      </w:rPr>
    </w:lvl>
    <w:lvl w:ilvl="4" w:tentative="0">
      <w:start w:val="1"/>
      <w:numFmt w:val="bullet"/>
      <w:lvlText w:val=""/>
      <w:lvlJc w:val="left"/>
      <w:pPr>
        <w:ind w:left="2880" w:hanging="420"/>
      </w:pPr>
      <w:rPr>
        <w:rFonts w:hint="default" w:ascii="Wingdings" w:hAnsi="Wingdings"/>
      </w:rPr>
    </w:lvl>
    <w:lvl w:ilvl="5" w:tentative="0">
      <w:start w:val="1"/>
      <w:numFmt w:val="bullet"/>
      <w:lvlText w:val=""/>
      <w:lvlJc w:val="left"/>
      <w:pPr>
        <w:ind w:left="3300" w:hanging="420"/>
      </w:pPr>
      <w:rPr>
        <w:rFonts w:hint="default" w:ascii="Wingdings" w:hAnsi="Wingdings"/>
      </w:rPr>
    </w:lvl>
    <w:lvl w:ilvl="6" w:tentative="0">
      <w:start w:val="1"/>
      <w:numFmt w:val="bullet"/>
      <w:lvlText w:val=""/>
      <w:lvlJc w:val="left"/>
      <w:pPr>
        <w:ind w:left="3720" w:hanging="420"/>
      </w:pPr>
      <w:rPr>
        <w:rFonts w:hint="default" w:ascii="Wingdings" w:hAnsi="Wingdings"/>
      </w:rPr>
    </w:lvl>
    <w:lvl w:ilvl="7" w:tentative="0">
      <w:start w:val="1"/>
      <w:numFmt w:val="bullet"/>
      <w:lvlText w:val=""/>
      <w:lvlJc w:val="left"/>
      <w:pPr>
        <w:ind w:left="4140" w:hanging="420"/>
      </w:pPr>
      <w:rPr>
        <w:rFonts w:hint="default" w:ascii="Wingdings" w:hAnsi="Wingdings"/>
      </w:rPr>
    </w:lvl>
    <w:lvl w:ilvl="8" w:tentative="0">
      <w:start w:val="1"/>
      <w:numFmt w:val="bullet"/>
      <w:lvlText w:val=""/>
      <w:lvlJc w:val="left"/>
      <w:pPr>
        <w:ind w:left="4560" w:hanging="420"/>
      </w:pPr>
      <w:rPr>
        <w:rFonts w:hint="default" w:ascii="Wingdings" w:hAnsi="Wingdings"/>
      </w:rPr>
    </w:lvl>
  </w:abstractNum>
  <w:abstractNum w:abstractNumId="3">
    <w:nsid w:val="52054E64"/>
    <w:multiLevelType w:val="multilevel"/>
    <w:tmpl w:val="52054E64"/>
    <w:lvl w:ilvl="0" w:tentative="0">
      <w:start w:val="1"/>
      <w:numFmt w:val="decimal"/>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unshine^ fjf">
    <w15:presenceInfo w15:providerId="WPS Office" w15:userId="18238903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C27FBF"/>
    <w:rsid w:val="0519417E"/>
    <w:rsid w:val="068F565C"/>
    <w:rsid w:val="0B007C59"/>
    <w:rsid w:val="10C45821"/>
    <w:rsid w:val="13505222"/>
    <w:rsid w:val="16C6687E"/>
    <w:rsid w:val="2CD86025"/>
    <w:rsid w:val="384C1410"/>
    <w:rsid w:val="451E67D5"/>
    <w:rsid w:val="4675458D"/>
    <w:rsid w:val="49C549DB"/>
    <w:rsid w:val="4C6E37F4"/>
    <w:rsid w:val="5D206911"/>
    <w:rsid w:val="5E8C529A"/>
    <w:rsid w:val="63412E03"/>
    <w:rsid w:val="66911DF5"/>
    <w:rsid w:val="744C6D4D"/>
    <w:rsid w:val="74C27FBF"/>
    <w:rsid w:val="750C0740"/>
    <w:rsid w:val="7A144F1C"/>
    <w:rsid w:val="7F57C668"/>
    <w:rsid w:val="953E9209"/>
    <w:rsid w:val="DEBFC043"/>
    <w:rsid w:val="DFDD0108"/>
    <w:rsid w:val="E7DFE5E0"/>
    <w:rsid w:val="FBBB220A"/>
    <w:rsid w:val="FDDFA21A"/>
    <w:rsid w:val="FFEFE185"/>
    <w:rsid w:val="FFF7C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9"/>
    <w:pPr>
      <w:keepNext/>
      <w:keepLines/>
      <w:autoSpaceDE w:val="0"/>
      <w:autoSpaceDN w:val="0"/>
      <w:adjustRightInd w:val="0"/>
      <w:spacing w:before="120" w:line="300" w:lineRule="auto"/>
      <w:jc w:val="center"/>
      <w:outlineLvl w:val="1"/>
    </w:pPr>
    <w:rPr>
      <w:rFonts w:ascii="Arial" w:hAnsi="Arial" w:eastAsia="黑体"/>
      <w:b/>
      <w:kern w:val="0"/>
      <w:sz w:val="30"/>
      <w:szCs w:val="2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6">
    <w:name w:val="List Paragraph"/>
    <w:basedOn w:val="1"/>
    <w:qFormat/>
    <w:uiPriority w:val="34"/>
    <w:pPr>
      <w:ind w:firstLine="420" w:firstLineChars="200"/>
    </w:pPr>
    <w:rPr>
      <w:rFonts w:ascii="Calibri" w:hAnsi="Calibri"/>
      <w:szCs w:val="22"/>
    </w:rPr>
  </w:style>
  <w:style w:type="character" w:customStyle="1" w:styleId="7">
    <w:name w:val="font41"/>
    <w:basedOn w:val="5"/>
    <w:qFormat/>
    <w:uiPriority w:val="0"/>
    <w:rPr>
      <w:rFonts w:hint="eastAsia" w:ascii="微软雅黑" w:hAnsi="微软雅黑" w:eastAsia="微软雅黑" w:cs="微软雅黑"/>
      <w:color w:val="000000"/>
      <w:sz w:val="20"/>
      <w:szCs w:val="20"/>
      <w:u w:val="none"/>
    </w:rPr>
  </w:style>
  <w:style w:type="character" w:customStyle="1" w:styleId="8">
    <w:name w:val="font81"/>
    <w:basedOn w:val="5"/>
    <w:qFormat/>
    <w:uiPriority w:val="0"/>
    <w:rPr>
      <w:rFonts w:hint="eastAsia" w:ascii="微软雅黑" w:hAnsi="微软雅黑" w:eastAsia="微软雅黑" w:cs="微软雅黑"/>
      <w:color w:val="FF0000"/>
      <w:sz w:val="20"/>
      <w:szCs w:val="20"/>
      <w:u w:val="none"/>
    </w:rPr>
  </w:style>
  <w:style w:type="character" w:customStyle="1" w:styleId="9">
    <w:name w:val="font31"/>
    <w:basedOn w:val="5"/>
    <w:qFormat/>
    <w:uiPriority w:val="0"/>
    <w:rPr>
      <w:rFonts w:hint="eastAsia" w:ascii="微软雅黑" w:hAnsi="微软雅黑" w:eastAsia="微软雅黑" w:cs="微软雅黑"/>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4108</Words>
  <Characters>4996</Characters>
  <Lines>0</Lines>
  <Paragraphs>0</Paragraphs>
  <TotalTime>168</TotalTime>
  <ScaleCrop>false</ScaleCrop>
  <LinksUpToDate>false</LinksUpToDate>
  <CharactersWithSpaces>5098</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2025-11-27T23:40:00Z</dcterms:created>
  <dc:creator>王世先</dc:creator>
  <cp:lastModifiedBy>王世先</cp:lastModifiedBy>
  <dcterms:modified xsi:type="dcterms:W3CDTF">2026-04-03T23:41:50Z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ICV">
    <vt:lpwstr>46265ECB9E6040AEBF3B5B385444F53F_13</vt:lpwstr>
  </property>
  <property fmtid="{D5CDD505-2E9C-101B-9397-08002B2CF9AE}" pid="4" name="KSOTemplateDocerSaveRecord">
    <vt:lpwstr>eyJoZGlkIjoiMDk1ZmRmMzFlMjE0MGIwOWIzMWM4ZTM3MzgxNmRkODIiLCJ1c2VySWQiOiIxNTgyNzc2NjQ3In0=</vt:lpwstr>
  </property>
</Properties>
</file>