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/>
          <w:b/>
          <w:color w:val="000000"/>
          <w:sz w:val="44"/>
        </w:rPr>
        <w:t>金诚信矿业终端安全解决方案</w:t>
        <w:br/>
        <w:t>双版对比及核心能力介绍</w:t>
      </w:r>
    </w:p>
    <w:p/>
    <w:p/>
    <w:p/>
    <w:p/>
    <w:p>
      <w:pPr>
        <w:jc w:val="center"/>
      </w:pPr>
      <w:r>
        <w:rPr>
          <w:rFonts w:ascii="宋体" w:hAnsi="宋体"/>
          <w:color w:val="000000"/>
          <w:sz w:val="32"/>
        </w:rPr>
        <w:t>技术方案</w:t>
      </w:r>
    </w:p>
    <w:p/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/>
          <w:b/>
          <w:color w:val="000000"/>
          <w:sz w:val="28"/>
        </w:rPr>
        <w:t>北京昱华源码科技有限公司</w:t>
      </w:r>
    </w:p>
    <w:p>
      <w:pPr>
        <w:jc w:val="center"/>
      </w:pPr>
      <w:r>
        <w:rPr>
          <w:rFonts w:ascii="宋体" w:hAnsi="宋体"/>
          <w:color w:val="000000"/>
          <w:sz w:val="24"/>
        </w:rPr>
        <w:t>2026 年 04 月 01 日</w:t>
      </w:r>
    </w:p>
    <w:p>
      <w:r>
        <w:br w:type="page"/>
      </w:r>
    </w:p>
    <w:p>
      <w:pPr>
        <w:jc w:val="center"/>
      </w:pPr>
      <w:r>
        <w:rPr>
          <w:rFonts w:ascii="宋体" w:hAnsi="宋体"/>
          <w:b/>
          <w:color w:val="000000"/>
          <w:sz w:val="28"/>
        </w:rPr>
        <w:t>目  录</w:t>
      </w:r>
    </w:p>
    <w:p/>
    <w:p>
      <w:r>
        <w:t>（Word 中可在此处插入自动目录：引用 → 目录 → 自动目录）</w:t>
      </w:r>
    </w:p>
    <w:p/>
    <w:p>
      <w:r>
        <w:br w:type="page"/>
      </w:r>
    </w:p>
    <w:p>
      <w:pPr>
        <w:pStyle w:val="Heading1"/>
      </w:pPr>
      <w:r>
        <w:t>第 1 章、两版方案核心差异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两款方案均兼容矿业 CAD、工程软件等专业格式及飞书办公场景，不影响核心业务开展。</w:t>
      </w:r>
    </w:p>
    <w:p>
      <w:pPr>
        <w:pStyle w:val="Heading1"/>
      </w:pPr>
      <w:r>
        <w:t>第 2 章、零信任+DLP 核心组合具体功能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零信任+DLP 是两款方案的共性核心模块，协同实现访问源头管控 + 数据流转防护，精准解决矿业终端核心安全风险，深度适配飞书办公场景：</w:t>
      </w:r>
    </w:p>
    <w:p>
      <w:pPr>
        <w:pStyle w:val="Heading2"/>
      </w:pPr>
      <w:r>
        <w:t>2.1 零信任访问控制（集成飞书）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1、飞书作为统一身份入口，登录后自动触发零信任认证，无需额外操作，贴合办公习惯；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2、采用飞书原生认证 + 终端安全状态校验双重机制，仅合规终端可访问内部资源，未授权终端禁止接入；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3、同步飞书组织架构，按岗位实现最小权限分配，核心资源专人专权，访问核心应用需飞书二次认证；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4、支持远程办公通过飞书零信任安全接入，替代传统 VPN，终端出现风险时动态冻结访问权限。</w:t>
      </w:r>
    </w:p>
    <w:p>
      <w:pPr>
        <w:pStyle w:val="Heading2"/>
      </w:pPr>
      <w:r>
        <w:t>2.2 终端 DLP 防护系统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1、管控邮件、U 盘、微信等全外发渠道，重点聚焦飞书聊天、云文档、邮件全场景文件外发，实现无死角监控；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2、支持关键词、正则表达式、文件指纹多维度识别矿业敏感数据（采矿方案、储量数据等），飞书内容实时扫描；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3、针对违规外发采取阻断告警、加密外发、审批外发三种差异化策略，审批流程与飞书联动，线上高效处理；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4、记录所有数据操作审计日志，支持多维度检索，兼容矿业所有专业文件格式，防护不影响文件正常编辑。</w:t>
      </w:r>
    </w:p>
    <w:p>
      <w:pPr>
        <w:pStyle w:val="Heading2"/>
      </w:pPr>
      <w:r>
        <w:t>2.3 二者协同联动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员工通过飞书发文件时，先经零信任身份与终端校验，再由 DLP 识别敏感级别；DLP 检测到违规外发，立即同步零信任冻结飞书访问权限；未通过零信任认证的终端，DLP 直接阻断所有敏感数据操作，形成双重防护屏障。</w:t>
      </w:r>
    </w:p>
    <w:p>
      <w:pPr>
        <w:pStyle w:val="Heading1"/>
      </w:pPr>
      <w:r>
        <w:t>第 3 章、无感知安装部署，最小化影响终端用户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部署遵循业务无感知、操作无影响、防护后台化原则，针对矿业 5000 台终端、多岗位、依赖专业软件的特点，分三阶段实施，最大限度降低对用户的影响：</w:t>
      </w:r>
    </w:p>
    <w:p>
      <w:pPr>
        <w:pStyle w:val="Heading2"/>
      </w:pPr>
      <w:r>
        <w:t>3.1 部署前：充分调研，提前适配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pPr>
        <w:pStyle w:val="Heading2"/>
      </w:pPr>
      <w:r>
        <w:t>3.2 部署中：静默安装，错峰实施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处理。</w:t>
      </w:r>
    </w:p>
    <w:p>
      <w:pPr>
        <w:pStyle w:val="Heading2"/>
      </w:pPr>
      <w:r>
        <w:t>3.3 部署后：后台运行，轻量化运营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安全客户端后台静默运行，无桌面图标，防护策略自动执行，用户办公操作与部署前无差异；按核心/普通 PC 制定差异化防护策略，避免过度管控；采用线上简易手册 + 短时长专项培训，降低用户学习成本，全量员工仅需了解基础操作。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同时建立 7×24 小时飞书答疑通道，30 分钟内响应解决用户问题；后续系统升级、策略优化均后台远程完成，且搭建应急回滚机制，极端情况可远程卸载客户端，快速恢复终端状态，保障业务连续性。</w:t>
      </w:r>
    </w:p>
    <w:p>
      <w:pPr>
        <w:pStyle w:val="Heading1"/>
      </w:pPr>
      <w:r>
        <w:t>第 4 章、方案选择建议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两款方案均贴合金诚信矿业核心安全需求，可根据企业实际灵活选择：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spacing w:line="360" w:lineRule="auto" w:before="360" w:after="360"/>
        <w:ind w:firstLine="425"/>
        <w:jc w:val="left"/>
      </w:pPr>
      <w:r>
        <w:rPr>
          <w:rFonts w:ascii="宋体" w:hAnsi="宋体" w:eastAsia="宋体"/>
          <w:b w:val="0"/>
          <w:color w:val="000000"/>
          <w:sz w:val="24"/>
        </w:rPr>
        <w:t>两款方案支持无缝升级扩展，若先部署方案二，后续可直接新增加密、EDR、统一管理等模块，无需重新部署，最大限度降低后期建设成本。</w:t>
      </w:r>
    </w:p>
    <w:p>
      <w:pPr>
        <w:pStyle w:val="Heading1"/>
      </w:pPr>
      <w:r>
        <w:t>第 5 章、方案对比表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fill="E6F3FF"/>
          </w:tcPr>
          <w:p>
            <w:pPr>
              <w:jc w:val="center"/>
            </w:pPr>
            <w:r>
              <w:rPr>
                <w:rFonts w:ascii="宋体" w:hAnsi="宋体"/>
                <w:b/>
                <w:color w:val="000000"/>
                <w:sz w:val="24"/>
              </w:rPr>
              <w:t>对比维度</w:t>
            </w:r>
          </w:p>
        </w:tc>
        <w:tc>
          <w:tcPr>
            <w:tcW w:type="dxa" w:w="3685"/>
            <w:shd w:fill="E6F3FF"/>
          </w:tcPr>
          <w:p>
            <w:pPr>
              <w:jc w:val="center"/>
            </w:pPr>
            <w:r>
              <w:rPr>
                <w:rFonts w:ascii="宋体" w:hAnsi="宋体"/>
                <w:b/>
                <w:color w:val="000000"/>
                <w:sz w:val="24"/>
              </w:rPr>
              <w:t>方案一（全面防护版）</w:t>
            </w:r>
          </w:p>
        </w:tc>
        <w:tc>
          <w:tcPr>
            <w:tcW w:type="dxa" w:w="3685"/>
            <w:shd w:fill="E6F3FF"/>
          </w:tcPr>
          <w:p>
            <w:pPr>
              <w:jc w:val="center"/>
            </w:pPr>
            <w:r>
              <w:rPr>
                <w:rFonts w:ascii="宋体" w:hAnsi="宋体"/>
                <w:b/>
                <w:color w:val="000000"/>
                <w:sz w:val="24"/>
              </w:rPr>
              <w:t>方案二（轻量化防护版）</w:t>
            </w:r>
          </w:p>
        </w:tc>
      </w:tr>
      <w:tr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核心预算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约500万元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约100万元</w:t>
            </w:r>
          </w:p>
        </w:tc>
      </w:tr>
      <w:tr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防护理念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全链路闭环防护，覆盖终端安全全场景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聚焦核心风险，仅解决终端泄密、未授权访问问题</w:t>
            </w:r>
          </w:p>
        </w:tc>
      </w:tr>
      <w:tr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核心模块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透明加密、DLP、桌管、EDR、零信任、数据安全交换平台、统一管理平台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仅终端DLP+零信任（集成飞书）双核心模块</w:t>
            </w:r>
          </w:p>
        </w:tc>
      </w:tr>
      <w:tr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终端策略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500台核心PC全模块部署，5000台普通PC分级部署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全量终端统一部署DLP+零信任，无差异化配置</w:t>
            </w:r>
          </w:p>
        </w:tc>
      </w:tr>
      <w:tr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防护范围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数据安全、终端安全、访问安全、统一管理全覆盖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仅覆盖数据外发管控、访问身份认证，无独立终端防护与管理</w:t>
            </w:r>
          </w:p>
        </w:tc>
      </w:tr>
      <w:tr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飞书集成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深度联动认证、审批、日志、告警全流程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基础集成，仅实现飞书作为零信任入口+文件外发管控</w:t>
            </w:r>
          </w:p>
        </w:tc>
      </w:tr>
      <w:tr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落地周期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16周，四阶段标准化实施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8-10周，简化流程快速落地</w:t>
            </w:r>
          </w:p>
        </w:tc>
      </w:tr>
      <w:tr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建设目标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满足上市公司全维度合规，构建长期可扩展安全体系</w:t>
            </w:r>
          </w:p>
        </w:tc>
        <w:tc>
          <w:tcPr>
            <w:tcW w:type="dxa" w:w="3685"/>
          </w:tcPr>
          <w:p>
            <w:pPr>
              <w:spacing w:lineRule="exact" w:line="240"/>
              <w:ind w:firstLine="0"/>
              <w:jc w:val="left"/>
            </w:pPr>
            <w:r>
              <w:rPr>
                <w:rFonts w:ascii="宋体" w:hAnsi="宋体"/>
                <w:color w:val="000000"/>
                <w:sz w:val="24"/>
              </w:rPr>
              <w:t>低成本快速落地，满足企业基础合规与核心风险防护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left"/>
    </w:pPr>
    <w:r>
      <w:rPr>
        <w:rFonts w:ascii="宋体" w:hAnsi="宋体"/>
        <w:color w:val="000000"/>
        <w:sz w:val="18"/>
      </w:rPr>
      <w:t>北京昱华源码科技有限公司</w:t>
      <w:br/>
      <w:t>北京市怀柔区乐园西大街 13 号院 28 号楼 1 层</w:t>
      <w:br/>
      <w:t>Tel：010-82843001</w:t>
    </w:r>
  </w:p>
  <w:p>
    <w:pPr>
      <w:jc w:val="right"/>
    </w:pPr>
    <w:r>
      <w:rPr>
        <w:rFonts w:ascii="宋体" w:hAnsi="宋体"/>
        <w:sz w:val="18"/>
      </w:rPr>
      <w:t xml:space="preserve">第  </w:t>
    </w:r>
    <w:fldSimple w:instr=" PAGE "/>
    <w:r>
      <w:rPr>
        <w:rFonts w:ascii="宋体" w:hAnsi="宋体"/>
        <w:sz w:val="18"/>
      </w:rPr>
      <w:t xml:space="preserve">  /  </w:t>
    </w:r>
    <w:fldSimple w:instr=" NUMPAGES "/>
    <w:r>
      <w:rPr>
        <w:rFonts w:ascii="宋体" w:hAnsi="宋体"/>
        <w:sz w:val="18"/>
      </w:rPr>
      <w:t xml:space="preserve"> 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/>
        <w:color w:val="000000"/>
        <w:sz w:val="18"/>
      </w:rPr>
      <w:t>北京昱华源码科技有限公司  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360" w:after="360"/>
      <w:ind w:firstLine="425"/>
      <w:jc w:val="left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