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447A7">
      <w:pPr>
        <w:pStyle w:val="2"/>
        <w:spacing w:after="200"/>
        <w:jc w:val="center"/>
        <w:rPr>
          <w:rFonts w:hint="eastAsia" w:asciiTheme="minorHAnsi" w:hAnsiTheme="minorHAnsi" w:eastAsiaTheme="minorEastAsia" w:cstheme="minorBidi"/>
          <w:lang w:val="en-US" w:eastAsia="zh-CN"/>
        </w:rPr>
      </w:pPr>
      <w:bookmarkStart w:id="0" w:name="_Toc28623"/>
      <w:r>
        <w:rPr>
          <w:rFonts w:hint="eastAsia" w:asciiTheme="minorHAnsi" w:hAnsiTheme="minorHAnsi" w:eastAsiaTheme="minorEastAsia" w:cstheme="minorBidi"/>
          <w:lang w:val="en-US" w:eastAsia="zh-CN"/>
        </w:rPr>
        <w:t>目录</w:t>
      </w:r>
      <w:bookmarkEnd w:id="0"/>
    </w:p>
    <w:p w14:paraId="5252EF71">
      <w:pPr>
        <w:rPr>
          <w:rFonts w:hint="eastAsia"/>
          <w:lang w:val="en-US" w:eastAsia="zh-CN"/>
        </w:rPr>
      </w:pPr>
    </w:p>
    <w:sdt>
      <w:sdtPr>
        <w:rPr>
          <w:rFonts w:ascii="宋体" w:hAnsi="宋体" w:eastAsia="宋体"/>
          <w:sz w:val="21"/>
          <w:szCs w:val="24"/>
        </w:rPr>
        <w:id w:val="147459190"/>
        <w15:color w:val="DBDBDB"/>
        <w:docPartObj>
          <w:docPartGallery w:val="Table of Contents"/>
          <w:docPartUnique/>
        </w:docPartObj>
      </w:sdtPr>
      <w:sdtContent>
        <w:p w14:paraId="405FAE1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438B31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_Toc28623 </w:instrText>
          </w:r>
          <w:r>
            <w:fldChar w:fldCharType="separate"/>
          </w:r>
          <w:r>
            <w:rPr>
              <w:rFonts w:hint="eastAsia" w:asciiTheme="minorHAnsi" w:hAnsiTheme="minorHAnsi" w:eastAsiaTheme="minorEastAsia" w:cstheme="minorBidi"/>
              <w:lang w:val="en-US" w:eastAsia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_Toc28623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9C954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1、大模型推理框架NPU物理服务器：</w:t>
          </w:r>
          <w:r>
            <w:t xml:space="preserve"> </w:t>
          </w:r>
          <w:r>
            <w:tab/>
          </w:r>
          <w:r>
            <w:fldChar w:fldCharType="begin"/>
          </w:r>
          <w:r>
            <w:instrText xml:space="preserve"> PAGEREF _Toc10446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DBF93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_Toc2456 </w:instrText>
          </w:r>
          <w:r>
            <w:fldChar w:fldCharType="separate"/>
          </w:r>
          <w:r>
            <w:rPr>
              <w:rFonts w:hint="eastAsia" w:asciiTheme="minorHAnsi" w:hAnsiTheme="minorHAnsi" w:eastAsiaTheme="minorEastAsia" w:cstheme="minorBidi"/>
              <w:lang w:val="en-US" w:eastAsia="zh-CN"/>
            </w:rPr>
            <w:t>2、AI应用服务器：</w:t>
          </w:r>
          <w:r>
            <w:tab/>
          </w:r>
          <w:r>
            <w:fldChar w:fldCharType="begin"/>
          </w:r>
          <w:r>
            <w:instrText xml:space="preserve"> PAGEREF _Toc2456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9C7C45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合同审核AI</w:t>
          </w:r>
          <w:r>
            <w:tab/>
          </w:r>
          <w:r>
            <w:fldChar w:fldCharType="begin"/>
          </w:r>
          <w:r>
            <w:instrText xml:space="preserve"> PAGEREF _Toc14167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008C7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_Toc9073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_Toc9073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BEB10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_Toc3599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技术栈</w:t>
          </w:r>
          <w:r>
            <w:tab/>
          </w:r>
          <w:r>
            <w:fldChar w:fldCharType="begin"/>
          </w:r>
          <w:r>
            <w:instrText xml:space="preserve"> PAGEREF _Toc3599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5CAF7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_Toc21669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基础设施</w:t>
          </w:r>
          <w:r>
            <w:tab/>
          </w:r>
          <w:r>
            <w:fldChar w:fldCharType="begin"/>
          </w:r>
          <w:r>
            <w:instrText xml:space="preserve"> PAGEREF _Toc21669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267B9F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目录结构</w:t>
          </w:r>
          <w:r>
            <w:tab/>
          </w:r>
          <w:r>
            <w:fldChar w:fldCharType="begin"/>
          </w:r>
          <w:r>
            <w:instrText xml:space="preserve"> PAGEREF _Toc29703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7DF10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_Toc26918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当前状态</w:t>
          </w:r>
          <w:r>
            <w:tab/>
          </w:r>
          <w:r>
            <w:fldChar w:fldCharType="begin"/>
          </w:r>
          <w:r>
            <w:instrText xml:space="preserve"> PAGEREF _Toc26918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041E4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_Toc18920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核心设计原则</w:t>
          </w:r>
          <w:r>
            <w:tab/>
          </w:r>
          <w:r>
            <w:fldChar w:fldCharType="begin"/>
          </w:r>
          <w:r>
            <w:instrText xml:space="preserve"> PAGEREF _Toc18920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87248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_Toc31094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审核模板设计</w:t>
          </w:r>
          <w:r>
            <w:tab/>
          </w:r>
          <w:r>
            <w:fldChar w:fldCharType="begin"/>
          </w:r>
          <w:r>
            <w:instrText xml:space="preserve"> PAGEREF _Toc31094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81FD3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_Toc32448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审核路径说明</w:t>
          </w:r>
          <w:r>
            <w:tab/>
          </w:r>
          <w:r>
            <w:fldChar w:fldCharType="begin"/>
          </w:r>
          <w:r>
            <w:instrText xml:space="preserve"> PAGEREF _Toc32448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489D5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_Toc22194 </w:instrText>
          </w:r>
          <w:r>
            <w:fldChar w:fldCharType="separate"/>
          </w:r>
          <w:r>
            <w:rPr>
              <w:rFonts w:hint="default" w:cstheme="minorBidi"/>
              <w:lang w:val="en-US" w:eastAsia="zh-CN"/>
            </w:rPr>
            <w:t xml:space="preserve">9. </w:t>
          </w:r>
          <w:r>
            <w:rPr>
              <w:rFonts w:hint="eastAsia" w:cstheme="minorBidi"/>
              <w:highlight w:val="yellow"/>
              <w:lang w:val="en-US" w:eastAsia="zh-CN"/>
            </w:rPr>
            <w:t>审核规则</w:t>
          </w:r>
          <w:r>
            <w:tab/>
          </w:r>
          <w:r>
            <w:fldChar w:fldCharType="begin"/>
          </w:r>
          <w:r>
            <w:instrText xml:space="preserve"> PAGEREF _Toc22194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531C83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_Toc27740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9.1  主合同审核</w:t>
          </w:r>
          <w:r>
            <w:tab/>
          </w:r>
          <w:r>
            <w:fldChar w:fldCharType="begin"/>
          </w:r>
          <w:r>
            <w:instrText xml:space="preserve"> PAGEREF _Toc27740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2078F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eastAsia" w:asciiTheme="minorHAnsi" w:hAnsiTheme="minorHAnsi" w:eastAsiaTheme="minorEastAsia" w:cstheme="minorBidi"/>
              <w:lang w:val="en-US" w:eastAsia="zh-CN"/>
            </w:rPr>
            <w:t>9.2  主分包合同审核：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84ABB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_Toc24390 </w:instrText>
          </w:r>
          <w:r>
            <w:fldChar w:fldCharType="separate"/>
          </w:r>
          <w:r>
            <w:rPr>
              <w:rFonts w:hint="eastAsia" w:asciiTheme="minorHAnsi" w:hAnsiTheme="minorHAnsi" w:eastAsiaTheme="minorEastAsia" w:cstheme="minorBidi"/>
              <w:lang w:val="en-US" w:eastAsia="zh-CN"/>
            </w:rPr>
            <w:t>9.3 OA截图对比</w:t>
          </w:r>
          <w:r>
            <w:tab/>
          </w:r>
          <w:r>
            <w:fldChar w:fldCharType="begin"/>
          </w:r>
          <w:r>
            <w:instrText xml:space="preserve"> PAGEREF _Toc24390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BBE6AD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_Toc351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开发阶段</w:t>
          </w:r>
          <w:r>
            <w:tab/>
          </w:r>
          <w:r>
            <w:fldChar w:fldCharType="begin"/>
          </w:r>
          <w:r>
            <w:instrText xml:space="preserve"> PAGEREF _Toc351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5C09F8B">
          <w:r>
            <w:fldChar w:fldCharType="end"/>
          </w:r>
        </w:p>
      </w:sdtContent>
    </w:sdt>
    <w:p w14:paraId="14E4D1E2"/>
    <w:p w14:paraId="5AE3BD4B">
      <w:pPr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br w:type="page"/>
      </w:r>
      <w:bookmarkStart w:id="17" w:name="_GoBack"/>
      <w:bookmarkEnd w:id="17"/>
    </w:p>
    <w:p w14:paraId="4FFBC9A4">
      <w:pPr>
        <w:pStyle w:val="2"/>
        <w:spacing w:after="200"/>
        <w:jc w:val="center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 xml:space="preserve"> </w:t>
      </w:r>
    </w:p>
    <w:p w14:paraId="151D33D1">
      <w:pPr>
        <w:numPr>
          <w:ilvl w:val="0"/>
          <w:numId w:val="2"/>
        </w:numPr>
        <w:spacing w:after="120"/>
        <w:jc w:val="left"/>
        <w:rPr>
          <w:rFonts w:asciiTheme="minorHAnsi" w:hAnsiTheme="minorHAnsi" w:eastAsiaTheme="minorEastAsia" w:cstheme="minorBidi"/>
          <w:b/>
          <w:bCs/>
          <w:color w:val="000000"/>
          <w:sz w:val="40"/>
          <w:szCs w:val="40"/>
        </w:rPr>
      </w:pPr>
      <w:r>
        <w:rPr>
          <w:rFonts w:hint="eastAsia" w:asciiTheme="minorHAnsi" w:hAnsiTheme="minorHAnsi" w:eastAsiaTheme="minorEastAsia" w:cstheme="minorBidi"/>
          <w:b/>
          <w:bCs/>
          <w:color w:val="000000"/>
          <w:sz w:val="40"/>
          <w:szCs w:val="40"/>
          <w:lang w:val="en-US" w:eastAsia="zh-CN"/>
        </w:rPr>
        <w:t>基础环境：</w:t>
      </w:r>
      <w:r>
        <w:rPr>
          <w:rFonts w:asciiTheme="minorHAnsi" w:hAnsiTheme="minorHAnsi" w:eastAsiaTheme="minorEastAsia" w:cstheme="minorBidi"/>
          <w:b/>
          <w:bCs/>
          <w:color w:val="000000"/>
          <w:sz w:val="40"/>
          <w:szCs w:val="40"/>
        </w:rPr>
        <w:br w:type="textWrapping"/>
      </w:r>
    </w:p>
    <w:p w14:paraId="05A956A2">
      <w:pPr>
        <w:numPr>
          <w:numId w:val="0"/>
        </w:numPr>
        <w:spacing w:after="120"/>
        <w:jc w:val="left"/>
      </w:pPr>
      <w:bookmarkStart w:id="1" w:name="_Toc10446"/>
      <w:r>
        <w:rPr>
          <w:rStyle w:val="19"/>
          <w:rFonts w:hint="eastAsia"/>
          <w:lang w:val="en-US" w:eastAsia="zh-CN"/>
        </w:rPr>
        <w:t>1、大模型推理框架NPU物理服务器：</w:t>
      </w:r>
      <w:r>
        <w:rPr>
          <w:rStyle w:val="19"/>
        </w:rPr>
        <w:br w:type="textWrapping"/>
      </w:r>
      <w:bookmarkEnd w:id="1"/>
      <w:r>
        <w:t>硬件：CPU  Kunpeng-920  2颗</w:t>
      </w:r>
      <w:r>
        <w:br w:type="textWrapping"/>
      </w:r>
      <w:r>
        <w:t>NPU：Atlas 300V PRO  2张</w:t>
      </w:r>
      <w:r>
        <w:br w:type="textWrapping"/>
      </w:r>
      <w:r>
        <w:t>软件：</w:t>
      </w:r>
      <w:r>
        <w:br w:type="textWrapping"/>
      </w:r>
      <w:r>
        <w:t>目前已经安装操作系统，Kylin Linux Advanced Serverrelease V10 SP3 2403/(Halberd)-aarch64-Build20.01/20240426</w:t>
      </w:r>
    </w:p>
    <w:p w14:paraId="39646689">
      <w:pPr>
        <w:spacing w:after="120"/>
        <w:jc w:val="left"/>
      </w:pPr>
      <w:r>
        <w:t>部署推理框架  MindIE， 和千问3.5 9B的模型，对外提供服务。</w:t>
      </w:r>
    </w:p>
    <w:p w14:paraId="103025BB">
      <w:pPr>
        <w:numPr>
          <w:ilvl w:val="0"/>
          <w:numId w:val="0"/>
        </w:numPr>
        <w:spacing w:after="120"/>
        <w:jc w:val="left"/>
        <w:rPr>
          <w:rStyle w:val="19"/>
          <w:rFonts w:hint="eastAsia" w:asciiTheme="minorHAnsi" w:hAnsiTheme="minorHAnsi" w:eastAsiaTheme="minorEastAsia" w:cstheme="minorBidi"/>
          <w:lang w:val="en-US" w:eastAsia="zh-CN"/>
        </w:rPr>
      </w:pPr>
      <w:bookmarkStart w:id="2" w:name="_Toc2456"/>
      <w:r>
        <w:rPr>
          <w:rStyle w:val="19"/>
          <w:rFonts w:hint="eastAsia" w:asciiTheme="minorHAnsi" w:hAnsiTheme="minorHAnsi" w:eastAsiaTheme="minorEastAsia" w:cstheme="minorBidi"/>
          <w:lang w:val="en-US" w:eastAsia="zh-CN"/>
        </w:rPr>
        <w:t>2、AI应用服务器：</w:t>
      </w:r>
    </w:p>
    <w:bookmarkEnd w:id="2"/>
    <w:p w14:paraId="0EED0DFB">
      <w:pPr>
        <w:numPr>
          <w:numId w:val="0"/>
        </w:numPr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16vcpu、64GB、200GB硬盘；</w:t>
      </w:r>
    </w:p>
    <w:p w14:paraId="7561EEE0">
      <w:pPr>
        <w:numPr>
          <w:numId w:val="0"/>
        </w:numPr>
        <w:spacing w:after="1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麒麟操作系统；</w:t>
      </w:r>
    </w:p>
    <w:p w14:paraId="5FCBBF42">
      <w:pPr>
        <w:spacing w:after="120"/>
        <w:jc w:val="left"/>
      </w:pPr>
    </w:p>
    <w:p w14:paraId="2B64988C">
      <w:pPr>
        <w:spacing w:after="200"/>
      </w:pPr>
      <w:r>
        <w:t xml:space="preserve"> </w:t>
      </w:r>
    </w:p>
    <w:p w14:paraId="690CDCAD">
      <w:pPr>
        <w:spacing w:after="200"/>
      </w:pPr>
      <w:r>
        <w:t xml:space="preserve"> </w:t>
      </w:r>
    </w:p>
    <w:p w14:paraId="549354FF">
      <w:r>
        <w:br w:type="page"/>
      </w:r>
    </w:p>
    <w:p w14:paraId="58FE5856">
      <w:pPr>
        <w:spacing w:after="200"/>
      </w:pPr>
    </w:p>
    <w:p w14:paraId="490DB723">
      <w:pPr>
        <w:pStyle w:val="2"/>
        <w:spacing w:after="200"/>
        <w:jc w:val="both"/>
      </w:pPr>
      <w:bookmarkStart w:id="3" w:name="_Toc14167"/>
      <w:r>
        <w:rPr>
          <w:rFonts w:hint="eastAsia"/>
          <w:lang w:val="en-US" w:eastAsia="zh-CN"/>
        </w:rPr>
        <w:t>二、</w:t>
      </w:r>
      <w:r>
        <w:t>合同审核AI</w:t>
      </w:r>
      <w:bookmarkEnd w:id="3"/>
    </w:p>
    <w:p w14:paraId="285E1265">
      <w:pPr>
        <w:pStyle w:val="3"/>
        <w:spacing w:after="200"/>
        <w:jc w:val="left"/>
      </w:pPr>
      <w:bookmarkStart w:id="4" w:name="_Toc9073"/>
      <w:r>
        <w:t>项目背景</w:t>
      </w:r>
      <w:bookmarkEnd w:id="4"/>
    </w:p>
    <w:p w14:paraId="5A19FC4D">
      <w:pPr>
        <w:spacing w:after="120"/>
        <w:jc w:val="left"/>
      </w:pPr>
      <w:r>
        <w:t>交通部规划研究院内部使用的合同审核工具，Web访问，Docker部署在Linux服务器。 审核人员上传合同后，AI自动完成三类审核任务：</w:t>
      </w:r>
    </w:p>
    <w:p w14:paraId="0805FA30">
      <w:pPr>
        <w:spacing w:after="200"/>
      </w:pPr>
      <w:r>
        <w:t xml:space="preserve"> </w:t>
      </w:r>
    </w:p>
    <w:p w14:paraId="32E20107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单独审核</w:t>
      </w:r>
      <w:r>
        <w:t>：检查合同是否有明显不合理、不合规、不一致的地方</w:t>
      </w:r>
    </w:p>
    <w:p w14:paraId="6E8764EB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主分包对比</w:t>
      </w:r>
      <w:r>
        <w:t>：检查分包合同条款是否与主合同形成有效"条款下移"，即主合同中我方承担的义务和风险，是否在分包合同中对等地转移给了分包商</w:t>
      </w:r>
    </w:p>
    <w:p w14:paraId="375A1EA8"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>OA截图对比</w:t>
      </w:r>
      <w:r>
        <w:t>：核查OA系统截图中的合同基本信息与合同原文是否一致</w:t>
      </w:r>
    </w:p>
    <w:p w14:paraId="5561CDB2">
      <w:pPr>
        <w:spacing w:after="200"/>
      </w:pPr>
      <w:r>
        <w:t xml:space="preserve"> </w:t>
      </w:r>
    </w:p>
    <w:p w14:paraId="50EC0187">
      <w:pPr>
        <w:spacing w:after="120"/>
        <w:jc w:val="left"/>
      </w:pPr>
      <w:r>
        <w:rPr>
          <w:b/>
          <w:bCs/>
        </w:rPr>
        <w:t>我方单位默认：交通部规划研究院（用户可在模板中修改）</w:t>
      </w:r>
      <w:r>
        <w:br w:type="textWrapping"/>
      </w:r>
      <w:r>
        <w:rPr>
          <w:b/>
          <w:bCs/>
        </w:rPr>
        <w:t>法律依据：《中华人民共和国民法典》合同编（不是旧的合同法）</w:t>
      </w:r>
    </w:p>
    <w:p w14:paraId="6AECBE24">
      <w:pPr>
        <w:spacing w:after="200"/>
      </w:pPr>
      <w:r>
        <w:t xml:space="preserve"> </w:t>
      </w:r>
    </w:p>
    <w:p w14:paraId="33FC78F1">
      <w:pPr>
        <w:pStyle w:val="3"/>
        <w:spacing w:after="200"/>
        <w:jc w:val="left"/>
      </w:pPr>
      <w:bookmarkStart w:id="5" w:name="_Toc3599"/>
      <w:r>
        <w:t>技术栈</w:t>
      </w:r>
      <w:bookmarkEnd w:id="5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73"/>
        <w:gridCol w:w="3497"/>
        <w:gridCol w:w="3497"/>
      </w:tblGrid>
      <w:tr w14:paraId="3413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AD0E8E5">
            <w:pPr>
              <w:jc w:val="left"/>
            </w:pPr>
            <w:r>
              <w:rPr>
                <w:b/>
                <w:bCs/>
              </w:rPr>
              <w:t>层次</w:t>
            </w:r>
          </w:p>
        </w:tc>
        <w:tc>
          <w:p w14:paraId="2B037E05">
            <w:pPr>
              <w:jc w:val="left"/>
            </w:pPr>
            <w:r>
              <w:rPr>
                <w:b/>
                <w:bCs/>
              </w:rPr>
              <w:t>技术</w:t>
            </w:r>
          </w:p>
        </w:tc>
        <w:tc>
          <w:p w14:paraId="6F9424C4">
            <w:pPr>
              <w:jc w:val="left"/>
            </w:pPr>
            <w:r>
              <w:rPr>
                <w:b/>
                <w:bCs/>
              </w:rPr>
              <w:t>备注</w:t>
            </w:r>
          </w:p>
        </w:tc>
      </w:tr>
      <w:tr w14:paraId="0FA3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1BB26D">
            <w:pPr>
              <w:jc w:val="left"/>
            </w:pPr>
            <w:r>
              <w:t>前端</w:t>
            </w:r>
          </w:p>
        </w:tc>
        <w:tc>
          <w:p w14:paraId="0D38EE5F">
            <w:pPr>
              <w:jc w:val="left"/>
            </w:pPr>
            <w:r>
              <w:t>Vue3 + Element Plus</w:t>
            </w:r>
          </w:p>
        </w:tc>
        <w:tc>
          <w:p w14:paraId="1DE27E56">
            <w:pPr>
              <w:jc w:val="left"/>
            </w:pPr>
          </w:p>
        </w:tc>
      </w:tr>
      <w:tr w14:paraId="1F84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D9C8D9">
            <w:pPr>
              <w:jc w:val="left"/>
            </w:pPr>
            <w:r>
              <w:t>后端</w:t>
            </w:r>
          </w:p>
        </w:tc>
        <w:tc>
          <w:p w14:paraId="4BC6566E">
            <w:pPr>
              <w:jc w:val="left"/>
            </w:pPr>
            <w:r>
              <w:t>FastAPI (Python 3.11)</w:t>
            </w:r>
          </w:p>
        </w:tc>
        <w:tc>
          <w:p w14:paraId="667270D7">
            <w:pPr>
              <w:jc w:val="left"/>
            </w:pPr>
          </w:p>
        </w:tc>
      </w:tr>
      <w:tr w14:paraId="1EE4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1A76B83">
            <w:pPr>
              <w:jc w:val="left"/>
            </w:pPr>
            <w:r>
              <w:t>富文本编辑</w:t>
            </w:r>
          </w:p>
        </w:tc>
        <w:tc>
          <w:p w14:paraId="5C85769E">
            <w:pPr>
              <w:jc w:val="left"/>
            </w:pPr>
            <w:r>
              <w:t>wangEditor</w:t>
            </w:r>
          </w:p>
        </w:tc>
        <w:tc>
          <w:p w14:paraId="6943F337">
            <w:pPr>
              <w:jc w:val="left"/>
            </w:pPr>
            <w:r>
              <w:t>模板编辑用，国内友好</w:t>
            </w:r>
          </w:p>
        </w:tc>
      </w:tr>
      <w:tr w14:paraId="7F7D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491A4C">
            <w:pPr>
              <w:jc w:val="left"/>
            </w:pPr>
            <w:r>
              <w:t>模型调用</w:t>
            </w:r>
          </w:p>
        </w:tc>
        <w:tc>
          <w:p w14:paraId="1A1D769B">
            <w:pPr>
              <w:jc w:val="left"/>
            </w:pPr>
            <w:r>
              <w:t>统一LLM Client</w:t>
            </w:r>
          </w:p>
        </w:tc>
        <w:tc>
          <w:p w14:paraId="3A633C2E">
            <w:pPr>
              <w:jc w:val="left"/>
            </w:pPr>
            <w:r>
              <w:t>同时支持Ollama和外部API</w:t>
            </w:r>
          </w:p>
        </w:tc>
      </w:tr>
      <w:tr w14:paraId="6FF7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EBDE30">
            <w:pPr>
              <w:jc w:val="left"/>
            </w:pPr>
            <w:r>
              <w:t>PDF解析</w:t>
            </w:r>
          </w:p>
        </w:tc>
        <w:tc>
          <w:p w14:paraId="22702234">
            <w:pPr>
              <w:jc w:val="left"/>
            </w:pPr>
            <w:r>
              <w:t>pdf2image + pypdf</w:t>
            </w:r>
          </w:p>
        </w:tc>
        <w:tc>
          <w:p w14:paraId="01B5893C">
            <w:pPr>
              <w:jc w:val="left"/>
            </w:pPr>
            <w:r>
              <w:t>图片版/文字版自动判断</w:t>
            </w:r>
          </w:p>
        </w:tc>
      </w:tr>
      <w:tr w14:paraId="0927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F41E52">
            <w:pPr>
              <w:jc w:val="left"/>
            </w:pPr>
            <w:r>
              <w:t>数据库</w:t>
            </w:r>
          </w:p>
        </w:tc>
        <w:tc>
          <w:p w14:paraId="244AE178">
            <w:pPr>
              <w:jc w:val="left"/>
            </w:pPr>
            <w:r>
              <w:t>PostgreSQL 15</w:t>
            </w:r>
          </w:p>
        </w:tc>
        <w:tc>
          <w:p w14:paraId="747DB23D">
            <w:pPr>
              <w:jc w:val="left"/>
            </w:pPr>
          </w:p>
        </w:tc>
      </w:tr>
      <w:tr w14:paraId="0AD7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AFBF586">
            <w:pPr>
              <w:jc w:val="left"/>
            </w:pPr>
            <w:r>
              <w:t>报告导出</w:t>
            </w:r>
          </w:p>
        </w:tc>
        <w:tc>
          <w:p w14:paraId="28593A29">
            <w:pPr>
              <w:jc w:val="left"/>
            </w:pPr>
            <w:r>
              <w:t>python-docx + WeasyPrint</w:t>
            </w:r>
          </w:p>
        </w:tc>
        <w:tc>
          <w:p w14:paraId="7FBE7E5C">
            <w:pPr>
              <w:jc w:val="left"/>
            </w:pPr>
            <w:r>
              <w:t>Word和PDF双格式</w:t>
            </w:r>
          </w:p>
        </w:tc>
      </w:tr>
      <w:tr w14:paraId="1210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2BED24">
            <w:pPr>
              <w:jc w:val="left"/>
            </w:pPr>
            <w:r>
              <w:t>部署</w:t>
            </w:r>
          </w:p>
        </w:tc>
        <w:tc>
          <w:p w14:paraId="13D01973">
            <w:pPr>
              <w:jc w:val="left"/>
            </w:pPr>
            <w:r>
              <w:t>Docker Compose（Linux）</w:t>
            </w:r>
          </w:p>
        </w:tc>
        <w:tc>
          <w:p w14:paraId="00D26955">
            <w:pPr>
              <w:jc w:val="left"/>
            </w:pPr>
          </w:p>
        </w:tc>
      </w:tr>
    </w:tbl>
    <w:p w14:paraId="600CF929">
      <w:pPr>
        <w:pBdr>
          <w:bottom w:val="single" w:color="auto" w:sz="6" w:space="1"/>
        </w:pBdr>
        <w:spacing w:after="120"/>
      </w:pPr>
    </w:p>
    <w:p w14:paraId="3F276329">
      <w:pPr>
        <w:spacing w:after="200"/>
      </w:pPr>
      <w:r>
        <w:t xml:space="preserve"> </w:t>
      </w:r>
    </w:p>
    <w:p w14:paraId="20368033">
      <w:pPr>
        <w:pStyle w:val="3"/>
        <w:spacing w:after="200"/>
        <w:jc w:val="left"/>
      </w:pPr>
      <w:bookmarkStart w:id="6" w:name="_Toc21669"/>
      <w:r>
        <w:t>基础设施</w:t>
      </w:r>
      <w:bookmarkEnd w:id="6"/>
    </w:p>
    <w:p w14:paraId="59A3179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Linux服务器（Docker Compose管理）         mindIE独立服务器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frontend  :80                ───────► mindIE :11434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backend   :8000                        （已在运行，不需要动）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postgres  :5432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外部订阅模型（可选，管理员在后台配置）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OpenAI / Claude / 其他兼容接口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注意：调用外部模型时合同文本会发送到外网，属于用户主动配置的预期行为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0A22FAF">
      <w:pPr>
        <w:spacing w:after="200"/>
      </w:pPr>
      <w:r>
        <w:t xml:space="preserve"> </w:t>
      </w:r>
    </w:p>
    <w:p w14:paraId="4CE649B9">
      <w:pPr>
        <w:pBdr>
          <w:bottom w:val="single" w:color="auto" w:sz="6" w:space="1"/>
        </w:pBdr>
        <w:spacing w:after="120"/>
      </w:pPr>
    </w:p>
    <w:p w14:paraId="3C867793">
      <w:pPr>
        <w:spacing w:after="200"/>
      </w:pPr>
      <w:r>
        <w:t xml:space="preserve"> </w:t>
      </w:r>
    </w:p>
    <w:p w14:paraId="23C8506F">
      <w:pPr>
        <w:pStyle w:val="3"/>
        <w:spacing w:after="200"/>
        <w:jc w:val="left"/>
      </w:pPr>
      <w:bookmarkStart w:id="7" w:name="_Toc29703"/>
      <w:r>
        <w:t>目录结构</w:t>
      </w:r>
      <w:bookmarkEnd w:id="7"/>
    </w:p>
    <w:p w14:paraId="6C870ED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contract-review/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CLAUDE.md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docker-compose.yml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docker-compose.dev.yml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.env                          # 不提交git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.env.example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backend/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Dockerfile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requirements.txt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main.py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config.py                 # 从.env读取所有配置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database.py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models/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review.py             # 审核记录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template.py           # 审核模板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└── model_config.py       # 模型配置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services/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pdf_parser.py         # PDF解析，文字版自动判断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ocr_service.py        # OA截图视觉识别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llm_client.py         # 所有模型调用的唯一入口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prompt_builder.py     # Prompt组装逻辑，唯一拼接入口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reviewer.py           # 三条审核路径业务逻辑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└── exporter.py           # Word/PDF报告导出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routers/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review.py             # 审核相关接口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templates.py          # 模板管理接口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└── model_configs.py      # 模型配置管理接口（管理员用）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frontend/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Dockerfile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src/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└── views/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Upload.vue        # 上传合同、选审核类型、选模板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Result.vue        # 审核结果展示+导出按钮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Templates.vue     # 审核模板管理（富文本编辑）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└── ModelConfig.vue   # 模型配置管理（管理员页面）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storage/                      # 上传文件临时存储，不提交git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96E21A7">
      <w:pPr>
        <w:spacing w:after="200"/>
      </w:pPr>
      <w:r>
        <w:t xml:space="preserve"> </w:t>
      </w:r>
    </w:p>
    <w:p w14:paraId="63DC2AEB">
      <w:pPr>
        <w:pBdr>
          <w:bottom w:val="single" w:color="auto" w:sz="6" w:space="1"/>
        </w:pBdr>
        <w:spacing w:after="120"/>
      </w:pPr>
    </w:p>
    <w:p w14:paraId="7B480456">
      <w:pPr>
        <w:spacing w:after="200"/>
      </w:pPr>
      <w:r>
        <w:t xml:space="preserve"> </w:t>
      </w:r>
    </w:p>
    <w:p w14:paraId="5CEE68D4">
      <w:pPr>
        <w:pStyle w:val="3"/>
        <w:spacing w:after="200"/>
        <w:jc w:val="left"/>
      </w:pPr>
      <w:bookmarkStart w:id="8" w:name="_Toc26918"/>
      <w:r>
        <w:t>当前状态</w:t>
      </w:r>
      <w:bookmarkEnd w:id="8"/>
    </w:p>
    <w:p w14:paraId="4144C99B">
      <w:pPr>
        <w:spacing w:after="120"/>
        <w:jc w:val="left"/>
      </w:pPr>
    </w:p>
    <w:p w14:paraId="364E1E61">
      <w:pPr>
        <w:spacing w:after="120"/>
        <w:jc w:val="left"/>
      </w:pPr>
      <w:r>
        <w:t>已完成：</w:t>
      </w:r>
    </w:p>
    <w:p w14:paraId="4B9FB84C">
      <w:pPr>
        <w:spacing w:after="200"/>
      </w:pPr>
      <w:r>
        <w:t xml:space="preserve"> </w:t>
      </w:r>
    </w:p>
    <w:p w14:paraId="5B3C840E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基础需求确认完毕，</w:t>
      </w:r>
    </w:p>
    <w:p w14:paraId="4D0264B9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Dify工作流逻辑分析完毕，三条审核路径已梳理</w:t>
      </w:r>
    </w:p>
    <w:p w14:paraId="69D2A0AD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CLAUDE.md定稿</w:t>
      </w:r>
    </w:p>
    <w:p w14:paraId="250E3043">
      <w:pPr>
        <w:spacing w:after="200"/>
      </w:pPr>
      <w:r>
        <w:t xml:space="preserve"> </w:t>
      </w:r>
    </w:p>
    <w:p w14:paraId="3BE11B96">
      <w:pPr>
        <w:spacing w:after="120"/>
        <w:jc w:val="left"/>
      </w:pPr>
      <w:r>
        <w:t>正在做：</w:t>
      </w:r>
    </w:p>
    <w:p w14:paraId="443863D9">
      <w:pPr>
        <w:pStyle w:val="17"/>
        <w:numPr>
          <w:ilvl w:val="0"/>
          <w:numId w:val="3"/>
        </w:numPr>
        <w:spacing w:after="100"/>
        <w:ind w:left="240"/>
        <w:jc w:val="left"/>
        <w:rPr>
          <w:highlight w:val="yellow"/>
        </w:rPr>
      </w:pPr>
      <w:r>
        <w:rPr>
          <w:highlight w:val="yellow"/>
        </w:rPr>
        <w:t>审核规则在梳理中，==----需要尽快完成。==</w:t>
      </w:r>
    </w:p>
    <w:p w14:paraId="3202FC54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第一阶段：基础框架搭建</w:t>
      </w:r>
    </w:p>
    <w:p w14:paraId="4A42C0D7">
      <w:pPr>
        <w:spacing w:after="200"/>
      </w:pPr>
      <w:r>
        <w:t xml:space="preserve"> </w:t>
      </w:r>
    </w:p>
    <w:p w14:paraId="175CBB09">
      <w:pPr>
        <w:spacing w:after="120"/>
        <w:jc w:val="left"/>
      </w:pPr>
      <w:r>
        <w:t>还没开始：</w:t>
      </w:r>
    </w:p>
    <w:p w14:paraId="7E5515DA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模型配置模块</w:t>
      </w:r>
    </w:p>
    <w:p w14:paraId="1E1C7B04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PDF解析服务</w:t>
      </w:r>
    </w:p>
    <w:p w14:paraId="422D4CB6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Prompt组装逻辑</w:t>
      </w:r>
    </w:p>
    <w:p w14:paraId="71A2A88A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三条审核路径实现</w:t>
      </w:r>
    </w:p>
    <w:p w14:paraId="549F36DC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审核模板管理</w:t>
      </w:r>
    </w:p>
    <w:p w14:paraId="3FF2DE8D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Word/PDF报告导出</w:t>
      </w:r>
    </w:p>
    <w:p w14:paraId="7CF15C14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前端页面</w:t>
      </w:r>
    </w:p>
    <w:p w14:paraId="33600583">
      <w:pPr>
        <w:spacing w:after="200"/>
      </w:pPr>
      <w:r>
        <w:t xml:space="preserve"> </w:t>
      </w:r>
    </w:p>
    <w:p w14:paraId="23AE3B8C">
      <w:pPr>
        <w:spacing w:after="200"/>
      </w:pPr>
      <w:r>
        <w:t xml:space="preserve"> </w:t>
      </w:r>
    </w:p>
    <w:p w14:paraId="0F953E2E">
      <w:pPr>
        <w:pStyle w:val="3"/>
        <w:spacing w:after="200"/>
        <w:jc w:val="left"/>
      </w:pPr>
      <w:bookmarkStart w:id="9" w:name="_Toc18920"/>
      <w:r>
        <w:t>核心设计原则</w:t>
      </w:r>
      <w:bookmarkEnd w:id="9"/>
    </w:p>
    <w:p w14:paraId="08B9B0B1">
      <w:pPr>
        <w:spacing w:after="120"/>
        <w:jc w:val="left"/>
      </w:pPr>
      <w:r>
        <w:rPr>
          <w:b/>
          <w:bCs/>
        </w:rPr>
        <w:t>1. 模型配置完全走数据库，不硬编码</w:t>
      </w:r>
      <w:r>
        <w:t xml:space="preserve">  </w:t>
      </w:r>
    </w:p>
    <w:p w14:paraId="3FDBF2A8">
      <w:pPr>
        <w:spacing w:after="120"/>
        <w:jc w:val="left"/>
      </w:pPr>
      <w:r>
        <w:rPr>
          <w:b/>
          <w:bCs/>
        </w:rPr>
        <w:t>2. LLM调用走统一入口</w:t>
      </w:r>
      <w:r>
        <w:t xml:space="preserve"> 只通过 </w:t>
      </w:r>
      <w:r>
        <w:rPr>
          <w:rFonts w:ascii="Courier New" w:hAnsi="Courier New" w:eastAsia="Courier New" w:cs="Courier New"/>
          <w:shd w:val="clear" w:color="auto" w:fill="F1F5F9"/>
        </w:rPr>
        <w:t>llm_client.py</w:t>
      </w:r>
      <w:r>
        <w:t xml:space="preserve"> 调用任何模型。 统一用OpenAI兼容接口，Ollama和外部API都走这个格式。 禁止在其他文件直接发HTTP请求给模型。</w:t>
      </w:r>
      <w:r>
        <w:br w:type="textWrapping"/>
      </w:r>
      <w:r>
        <w:rPr>
          <w:b/>
          <w:bCs/>
        </w:rPr>
        <w:t>3. Prompt两层结构，组装在后端</w:t>
      </w:r>
    </w:p>
    <w:p w14:paraId="4D701DB0">
      <w:pPr>
        <w:spacing w:after="200"/>
      </w:pPr>
      <w:r>
        <w:t xml:space="preserve"> </w:t>
      </w:r>
    </w:p>
    <w:p w14:paraId="4FD6D84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系统固定层（代码里，用户不可见）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└── 角色定义、输出格式要求、法律依据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用户模板层（数据库里，用户完全可编辑）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└── 我方单位、审核要点、特殊规则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61885FA">
      <w:pPr>
        <w:spacing w:after="200"/>
      </w:pPr>
      <w:r>
        <w:t xml:space="preserve"> </w:t>
      </w:r>
    </w:p>
    <w:p w14:paraId="4C5CD732">
      <w:pPr>
        <w:spacing w:after="120"/>
        <w:jc w:val="left"/>
      </w:pPr>
      <w:r>
        <w:t xml:space="preserve">所有Prompt组装逻辑集中在 </w:t>
      </w:r>
      <w:r>
        <w:rPr>
          <w:rFonts w:ascii="Courier New" w:hAnsi="Courier New" w:eastAsia="Courier New" w:cs="Courier New"/>
          <w:shd w:val="clear" w:color="auto" w:fill="F1F5F9"/>
        </w:rPr>
        <w:t>prompt_builder.py</w:t>
      </w:r>
      <w:r>
        <w:t>。 禁止在其他文件拼接Prompt字符串。</w:t>
      </w:r>
    </w:p>
    <w:p w14:paraId="29AA7A0E">
      <w:pPr>
        <w:spacing w:after="200"/>
      </w:pPr>
      <w:r>
        <w:t xml:space="preserve"> </w:t>
      </w:r>
    </w:p>
    <w:p w14:paraId="4274E7C2">
      <w:pPr>
        <w:spacing w:after="120"/>
        <w:jc w:val="left"/>
        <w:rPr>
          <w:highlight w:val="yellow"/>
        </w:rPr>
      </w:pPr>
      <w:r>
        <w:rPr>
          <w:b/>
          <w:bCs/>
          <w:highlight w:val="yellow"/>
        </w:rPr>
        <w:t>4. 关键条款对比分两类处理</w:t>
      </w:r>
    </w:p>
    <w:p w14:paraId="197CDE44">
      <w:pPr>
        <w:spacing w:after="200"/>
        <w:rPr>
          <w:highlight w:val="yellow"/>
        </w:rPr>
      </w:pPr>
      <w:r>
        <w:rPr>
          <w:highlight w:val="yellow"/>
        </w:rPr>
        <w:t xml:space="preserve"> </w:t>
      </w:r>
    </w:p>
    <w:p w14:paraId="29555AB1">
      <w:pPr>
        <w:pStyle w:val="17"/>
        <w:numPr>
          <w:ilvl w:val="0"/>
          <w:numId w:val="3"/>
        </w:numPr>
        <w:spacing w:after="100"/>
        <w:ind w:left="240"/>
        <w:jc w:val="left"/>
        <w:rPr>
          <w:highlight w:val="yellow"/>
        </w:rPr>
      </w:pPr>
      <w:r>
        <w:rPr>
          <w:highlight w:val="yellow"/>
        </w:rPr>
        <w:t>纯数值字段（金额比例等）：代码计算，结果作为上下文注入Prompt</w:t>
      </w:r>
    </w:p>
    <w:p w14:paraId="435B6CF1">
      <w:pPr>
        <w:pStyle w:val="17"/>
        <w:numPr>
          <w:ilvl w:val="0"/>
          <w:numId w:val="3"/>
        </w:numPr>
        <w:spacing w:after="100"/>
        <w:ind w:left="240"/>
        <w:jc w:val="left"/>
        <w:rPr>
          <w:highlight w:val="yellow"/>
        </w:rPr>
      </w:pPr>
      <w:r>
        <w:rPr>
          <w:highlight w:val="yellow"/>
        </w:rPr>
        <w:t>语义理解类条款（日期、违约、付款、质量、争议解决等）：模型负责对比 禁止把语义理解类的对比写成硬编码规则，那是模型该做的事。</w:t>
      </w:r>
    </w:p>
    <w:p w14:paraId="043AB8B2">
      <w:pPr>
        <w:spacing w:after="200"/>
        <w:rPr>
          <w:highlight w:val="yellow"/>
        </w:rPr>
      </w:pPr>
      <w:r>
        <w:rPr>
          <w:highlight w:val="yellow"/>
        </w:rPr>
        <w:t xml:space="preserve"> </w:t>
      </w:r>
    </w:p>
    <w:p w14:paraId="07A7579E">
      <w:pPr>
        <w:spacing w:after="120"/>
        <w:jc w:val="left"/>
      </w:pPr>
      <w:r>
        <w:rPr>
          <w:b/>
          <w:bCs/>
        </w:rPr>
        <w:t>5. 三条审核路径严格独立</w:t>
      </w:r>
      <w:r>
        <w:t xml:space="preserve"> 单独审核、主分包对比、OA截图对比是三条完全独立的路径， 不要试图合并成一个通用流程。</w:t>
      </w:r>
    </w:p>
    <w:p w14:paraId="0601BEE4">
      <w:pPr>
        <w:spacing w:after="200"/>
      </w:pPr>
      <w:r>
        <w:t xml:space="preserve"> </w:t>
      </w:r>
    </w:p>
    <w:p w14:paraId="0EBEF503">
      <w:pPr>
        <w:spacing w:after="200"/>
      </w:pPr>
      <w:r>
        <w:t xml:space="preserve"> </w:t>
      </w:r>
    </w:p>
    <w:p w14:paraId="27C5B6ED">
      <w:pPr>
        <w:spacing w:after="200"/>
      </w:pPr>
      <w:r>
        <w:t xml:space="preserve"> </w:t>
      </w:r>
    </w:p>
    <w:p w14:paraId="61D73FF9">
      <w:pPr>
        <w:pStyle w:val="3"/>
        <w:spacing w:after="200"/>
        <w:jc w:val="left"/>
      </w:pPr>
      <w:bookmarkStart w:id="10" w:name="_Toc31094"/>
      <w:r>
        <w:t>审核模板设计</w:t>
      </w:r>
      <w:bookmarkEnd w:id="10"/>
    </w:p>
    <w:p w14:paraId="5BB2CAB8">
      <w:pPr>
        <w:spacing w:after="120"/>
        <w:jc w:val="left"/>
      </w:pPr>
      <w:r>
        <w:t>模板存数据库，用户在 Templates 页面完全掌控。</w:t>
      </w:r>
    </w:p>
    <w:p w14:paraId="0F6C0E15">
      <w:pPr>
        <w:spacing w:after="200"/>
      </w:pPr>
      <w:r>
        <w:t xml:space="preserve"> </w:t>
      </w:r>
    </w:p>
    <w:p w14:paraId="06BDB9CE">
      <w:pPr>
        <w:spacing w:after="120"/>
        <w:jc w:val="left"/>
      </w:pPr>
      <w:r>
        <w:rPr>
          <w:b/>
          <w:bCs/>
        </w:rPr>
        <w:t>模板字段：</w:t>
      </w:r>
    </w:p>
    <w:p w14:paraId="22CC2B31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5560"/>
      </w:tblGrid>
      <w:tr w14:paraId="58D5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55C60804">
            <w:pPr>
              <w:jc w:val="left"/>
            </w:pPr>
            <w:r>
              <w:rPr>
                <w:b/>
                <w:bCs/>
              </w:rPr>
              <w:t>字段</w:t>
            </w:r>
          </w:p>
        </w:tc>
        <w:tc>
          <w:p w14:paraId="2859EF0F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889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1B2F9B">
            <w:pPr>
              <w:jc w:val="left"/>
            </w:pPr>
            <w:r>
              <w:t>模板名称</w:t>
            </w:r>
          </w:p>
        </w:tc>
        <w:tc>
          <w:p w14:paraId="7B9C3B60">
            <w:pPr>
              <w:jc w:val="left"/>
            </w:pPr>
            <w:r>
              <w:t>如：采购合同、服务合同</w:t>
            </w:r>
          </w:p>
        </w:tc>
      </w:tr>
      <w:tr w14:paraId="0D03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EB7B2E">
            <w:pPr>
              <w:jc w:val="left"/>
            </w:pPr>
            <w:r>
              <w:t>适用审核类型</w:t>
            </w:r>
          </w:p>
        </w:tc>
        <w:tc>
          <w:p w14:paraId="6DFF9D77">
            <w:pPr>
              <w:jc w:val="left"/>
            </w:pPr>
            <w:r>
              <w:t>单独 / 主分包 / OA截图</w:t>
            </w:r>
          </w:p>
        </w:tc>
      </w:tr>
      <w:tr w14:paraId="39E75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92BB2C">
            <w:pPr>
              <w:jc w:val="left"/>
            </w:pPr>
            <w:r>
              <w:t>我方单位</w:t>
            </w:r>
          </w:p>
        </w:tc>
        <w:tc>
          <w:p w14:paraId="3A26DA6A">
            <w:pPr>
              <w:jc w:val="left"/>
            </w:pPr>
            <w:r>
              <w:t>默认交通部规划研究院，可改</w:t>
            </w:r>
          </w:p>
        </w:tc>
      </w:tr>
      <w:tr w14:paraId="5052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ACE6C8">
            <w:pPr>
              <w:jc w:val="left"/>
            </w:pPr>
            <w:r>
              <w:t>审核要点</w:t>
            </w:r>
          </w:p>
        </w:tc>
        <w:tc>
          <w:p w14:paraId="2300AD26">
            <w:pPr>
              <w:jc w:val="left"/>
            </w:pPr>
            <w:r>
              <w:t>富文本，用户完全自写</w:t>
            </w:r>
          </w:p>
        </w:tc>
      </w:tr>
      <w:tr w14:paraId="1E50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443765">
            <w:pPr>
              <w:jc w:val="left"/>
            </w:pPr>
            <w:r>
              <w:t>特殊规则</w:t>
            </w:r>
          </w:p>
        </w:tc>
        <w:tc>
          <w:p w14:paraId="4CD1A4D2">
            <w:pPr>
              <w:jc w:val="left"/>
            </w:pPr>
            <w:r>
              <w:t>补充规则，如特殊金额限制</w:t>
            </w:r>
          </w:p>
        </w:tc>
      </w:tr>
      <w:tr w14:paraId="409C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4E4340">
            <w:pPr>
              <w:jc w:val="left"/>
            </w:pPr>
            <w:r>
              <w:t>是否默认</w:t>
            </w:r>
          </w:p>
        </w:tc>
        <w:tc>
          <w:p w14:paraId="68AC022A">
            <w:pPr>
              <w:jc w:val="left"/>
            </w:pPr>
            <w:r>
              <w:t>每种类型各有一个默认</w:t>
            </w:r>
          </w:p>
        </w:tc>
      </w:tr>
      <w:tr w14:paraId="009B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1E1F98">
            <w:pPr>
              <w:jc w:val="left"/>
            </w:pPr>
            <w:r>
              <w:t>是否系统内置</w:t>
            </w:r>
          </w:p>
        </w:tc>
        <w:tc>
          <w:p w14:paraId="035C9D13">
            <w:pPr>
              <w:jc w:val="left"/>
            </w:pPr>
            <w:r>
              <w:t>内置模板不能删，只能改</w:t>
            </w:r>
          </w:p>
        </w:tc>
      </w:tr>
    </w:tbl>
    <w:p w14:paraId="48AEF6B3">
      <w:pPr>
        <w:spacing w:after="120"/>
        <w:jc w:val="left"/>
      </w:pPr>
      <w:r>
        <w:rPr>
          <w:b/>
          <w:bCs/>
        </w:rPr>
        <w:t>系统初始化时写入三个默认模板：</w:t>
      </w:r>
      <w:r>
        <w:t xml:space="preserve"> 内容来自Dify工作流的Prompt，作为起点供用户修改。</w:t>
      </w:r>
    </w:p>
    <w:p w14:paraId="112165FB">
      <w:pPr>
        <w:spacing w:after="200"/>
      </w:pPr>
      <w:r>
        <w:t xml:space="preserve"> </w:t>
      </w:r>
    </w:p>
    <w:p w14:paraId="5F6240CC">
      <w:pPr>
        <w:spacing w:after="120"/>
        <w:jc w:val="left"/>
      </w:pPr>
      <w:r>
        <w:rPr>
          <w:b/>
          <w:bCs/>
        </w:rPr>
        <w:t>模板管理功能：</w:t>
      </w:r>
    </w:p>
    <w:p w14:paraId="779D0CCA">
      <w:pPr>
        <w:spacing w:after="200"/>
      </w:pPr>
      <w:r>
        <w:t xml:space="preserve"> </w:t>
      </w:r>
    </w:p>
    <w:p w14:paraId="47AFA90B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新建 / 复制 / 删除（系统内置不可删）</w:t>
      </w:r>
    </w:p>
    <w:p w14:paraId="56270ABF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富文本编辑审核要点（wangEditor）</w:t>
      </w:r>
    </w:p>
    <w:p w14:paraId="3D279F82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预览完整Prompt（系统层+用户层拼接后的效果）</w:t>
      </w:r>
    </w:p>
    <w:p w14:paraId="7E1C45BE">
      <w:pPr>
        <w:pStyle w:val="17"/>
        <w:numPr>
          <w:ilvl w:val="0"/>
          <w:numId w:val="3"/>
        </w:numPr>
        <w:spacing w:after="100"/>
        <w:ind w:left="240"/>
        <w:jc w:val="left"/>
      </w:pPr>
      <w:r>
        <w:t>导入/导出（JSON格式，方便备份）</w:t>
      </w:r>
    </w:p>
    <w:p w14:paraId="55776B69">
      <w:pPr>
        <w:spacing w:after="200"/>
      </w:pPr>
      <w:r>
        <w:t xml:space="preserve"> </w:t>
      </w:r>
    </w:p>
    <w:p w14:paraId="422E2877">
      <w:pPr>
        <w:pBdr>
          <w:bottom w:val="single" w:color="auto" w:sz="6" w:space="1"/>
        </w:pBdr>
        <w:spacing w:after="120"/>
      </w:pPr>
    </w:p>
    <w:p w14:paraId="2CFBF970">
      <w:pPr>
        <w:spacing w:after="200"/>
      </w:pPr>
      <w:r>
        <w:t xml:space="preserve"> </w:t>
      </w:r>
    </w:p>
    <w:p w14:paraId="3D8B63C5">
      <w:pPr>
        <w:pStyle w:val="3"/>
        <w:spacing w:after="200"/>
        <w:jc w:val="left"/>
      </w:pPr>
      <w:bookmarkStart w:id="11" w:name="_Toc32448"/>
      <w:r>
        <w:t>审核路径说明</w:t>
      </w:r>
      <w:bookmarkEnd w:id="11"/>
    </w:p>
    <w:p w14:paraId="5EC55075">
      <w:pPr>
        <w:spacing w:after="120"/>
        <w:jc w:val="left"/>
      </w:pPr>
      <w:r>
        <w:rPr>
          <w:b/>
          <w:bCs/>
        </w:rPr>
        <w:t>路径1：单独评审</w:t>
      </w:r>
    </w:p>
    <w:p w14:paraId="6DDC965A">
      <w:pPr>
        <w:spacing w:after="200"/>
      </w:pPr>
      <w:r>
        <w:t xml:space="preserve"> </w:t>
      </w:r>
    </w:p>
    <w:p w14:paraId="7E2B7A0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上传主合同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PDF解析提取文本（文字版）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选择模板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prompt_builder 组装完整Prompt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调用文本模型审核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输出：总体评估 / 发现问题 / 修改建议 / 风险条款 / 审查总结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导出Word/PDF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18BEA18">
      <w:pPr>
        <w:spacing w:after="200"/>
      </w:pPr>
      <w:r>
        <w:t xml:space="preserve"> </w:t>
      </w:r>
    </w:p>
    <w:p w14:paraId="0FF299FC">
      <w:pPr>
        <w:spacing w:after="120"/>
        <w:jc w:val="left"/>
      </w:pPr>
      <w:r>
        <w:rPr>
          <w:b/>
          <w:bCs/>
        </w:rPr>
        <w:t>路径2：主分包对比</w:t>
      </w:r>
    </w:p>
    <w:p w14:paraId="7048B17A">
      <w:pPr>
        <w:spacing w:after="200"/>
      </w:pPr>
      <w:r>
        <w:t xml:space="preserve"> </w:t>
      </w:r>
    </w:p>
    <w:p w14:paraId="030B20C1">
      <w:pPr>
        <w:spacing w:after="120"/>
        <w:jc w:val="left"/>
      </w:pPr>
      <w:r>
        <w:t>核心逻辑：检查分包合同是否与主合同形成有效的"条款下移"。 即主合同中我方承担的义务和风险，是否在分包合同中对等地转移给了分包商。</w:t>
      </w:r>
    </w:p>
    <w:p w14:paraId="7D621828">
      <w:pPr>
        <w:spacing w:after="200"/>
      </w:pPr>
      <w:r>
        <w:t xml:space="preserve"> </w:t>
      </w:r>
    </w:p>
    <w:p w14:paraId="47EDDB1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上传主合同 + 分包合同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分别提取文本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==代码计算：分包金额是否超主合同50%（结果注入Prompt）==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模型重点检查以下条款的互逆性：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</w:t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工期：分包完成时间是否早于主合同交付时间（留出缓冲）    </w:t>
      </w:r>
      <w:r>
        <w:rPr>
          <w:highlight w:val="green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      违约：违约条款比例和触发条件是否对等转移给分包商    </w:t>
      </w:r>
      <w:r>
        <w:rPr>
          <w:highlight w:val="green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      付款：付款节点是否合理（不能分包款早于收到主合同款）    </w:t>
      </w:r>
      <w:r>
        <w:rPr>
          <w:highlight w:val="green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      质量：质量标准和验收要求是否一致传导    </w:t>
      </w:r>
      <w:r>
        <w:rPr>
          <w:highlight w:val="green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      再分包：是否明确禁止分包商再次分包    </w:t>
      </w:r>
      <w:r>
        <w:rPr>
          <w:highlight w:val="green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      争议解决：管辖机构和方式是否一致    </w:t>
      </w:r>
      <w:r>
        <w:rPr>
          <w:highlight w:val="green"/>
        </w:rP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  <w:highlight w:val="green"/>
        </w:rPr>
        <w:t xml:space="preserve">        用户模板里指定的其他条款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输出：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每条关键条款：主合同原文 vs 分包合同原文 vs 是否有效下移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风险项：标注"风险留在我方"的条款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缺失项：主合同有要求但分包合同完全未提及的条款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导出Word/PDF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B01C09B">
      <w:pPr>
        <w:spacing w:after="200"/>
      </w:pPr>
      <w:r>
        <w:t xml:space="preserve"> </w:t>
      </w:r>
    </w:p>
    <w:p w14:paraId="4F7DD91B">
      <w:pPr>
        <w:spacing w:after="120"/>
        <w:jc w:val="left"/>
      </w:pPr>
      <w:r>
        <w:rPr>
          <w:b/>
          <w:bCs/>
        </w:rPr>
        <w:t>路径3：OA截图对比</w:t>
      </w:r>
    </w:p>
    <w:p w14:paraId="19548BDF">
      <w:pPr>
        <w:spacing w:after="200"/>
      </w:pPr>
      <w:r>
        <w:t xml:space="preserve"> </w:t>
      </w:r>
    </w:p>
    <w:p w14:paraId="20317CE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上传主合同 + OA截图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提取合同文本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视觉模型识别截图，输出结构化JSON字段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代码比对可直接比较的数值字段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模型对比语义类字段（日期表述、金额描述、关键条款）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输出：字段级对比清单 + 不一致项标注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→ 导出Word/PDF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ECD6F20">
      <w:pPr>
        <w:spacing w:after="200"/>
      </w:pPr>
      <w:r>
        <w:t xml:space="preserve"> </w:t>
      </w:r>
    </w:p>
    <w:p w14:paraId="1DDC9612">
      <w:r>
        <w:br w:type="page"/>
      </w:r>
    </w:p>
    <w:p w14:paraId="082F45EA">
      <w:pPr>
        <w:pStyle w:val="3"/>
        <w:spacing w:after="200"/>
        <w:jc w:val="left"/>
        <w:rPr>
          <w:rFonts w:hint="eastAsia" w:cstheme="minorBidi"/>
          <w:highlight w:val="yellow"/>
          <w:lang w:val="en-US" w:eastAsia="zh-CN"/>
        </w:rPr>
      </w:pPr>
      <w:bookmarkStart w:id="12" w:name="_Toc22194"/>
      <w:r>
        <w:rPr>
          <w:rFonts w:hint="eastAsia" w:cstheme="minorBidi"/>
          <w:highlight w:val="yellow"/>
          <w:lang w:val="en-US" w:eastAsia="zh-CN"/>
        </w:rPr>
        <w:t>审核规则</w:t>
      </w:r>
      <w:bookmarkEnd w:id="12"/>
    </w:p>
    <w:p w14:paraId="66F1542E">
      <w:pPr>
        <w:spacing w:after="200"/>
        <w:rPr>
          <w:rFonts w:hint="eastAsia"/>
          <w:lang w:val="en-US" w:eastAsia="zh-CN"/>
        </w:rPr>
      </w:pPr>
    </w:p>
    <w:p w14:paraId="03F16C8F">
      <w:pPr>
        <w:pStyle w:val="4"/>
        <w:bidi w:val="0"/>
        <w:rPr>
          <w:rFonts w:hint="default"/>
          <w:lang w:val="en-US" w:eastAsia="zh-CN"/>
        </w:rPr>
      </w:pPr>
      <w:bookmarkStart w:id="13" w:name="_Toc27740"/>
      <w:r>
        <w:rPr>
          <w:rFonts w:hint="eastAsia"/>
          <w:lang w:val="en-US" w:eastAsia="zh-CN"/>
        </w:rPr>
        <w:t>9.1  主合同审核</w:t>
      </w:r>
      <w:bookmarkEnd w:id="13"/>
    </w:p>
    <w:p w14:paraId="514220C6">
      <w:pPr>
        <w:spacing w:after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场景一、</w:t>
      </w:r>
    </w:p>
    <w:p w14:paraId="5A4BC2A0">
      <w:pPr>
        <w:spacing w:after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200AAB2F">
      <w:pPr>
        <w:spacing w:after="200"/>
        <w:rPr>
          <w:rFonts w:hint="eastAsia"/>
          <w:lang w:val="en-US" w:eastAsia="zh-CN"/>
        </w:rPr>
      </w:pPr>
    </w:p>
    <w:p w14:paraId="03B0BAFC">
      <w:pPr>
        <w:spacing w:after="200"/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场景二、</w:t>
      </w:r>
    </w:p>
    <w:p w14:paraId="0AC01220">
      <w:pPr>
        <w:spacing w:after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75732E12">
      <w:pPr>
        <w:spacing w:after="200"/>
        <w:rPr>
          <w:rFonts w:hint="default"/>
          <w:lang w:val="en-US" w:eastAsia="zh-CN"/>
        </w:rPr>
      </w:pPr>
    </w:p>
    <w:p w14:paraId="0D54AC81">
      <w:pPr>
        <w:spacing w:after="200"/>
        <w:rPr>
          <w:rFonts w:hint="default"/>
          <w:lang w:val="en-US" w:eastAsia="zh-CN"/>
        </w:rPr>
      </w:pPr>
    </w:p>
    <w:p w14:paraId="50922F46">
      <w:pPr>
        <w:spacing w:after="200"/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场景三、</w:t>
      </w:r>
    </w:p>
    <w:p w14:paraId="50E72E64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6A42740B">
      <w:pPr>
        <w:spacing w:after="200"/>
        <w:rPr>
          <w:rFonts w:hint="eastAsia"/>
          <w:lang w:val="en-US" w:eastAsia="zh-CN"/>
        </w:rPr>
      </w:pPr>
    </w:p>
    <w:p w14:paraId="5F069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C5B1EC">
      <w:pPr>
        <w:pStyle w:val="4"/>
        <w:bidi w:val="0"/>
        <w:rPr>
          <w:rFonts w:hint="eastAsia" w:asciiTheme="minorHAnsi" w:hAnsiTheme="minorHAnsi" w:eastAsiaTheme="minorEastAsia" w:cstheme="minorBidi"/>
          <w:lang w:val="en-US" w:eastAsia="zh-CN"/>
        </w:rPr>
      </w:pPr>
      <w:bookmarkStart w:id="14" w:name="_Toc5137"/>
      <w:r>
        <w:rPr>
          <w:rFonts w:hint="eastAsia" w:asciiTheme="minorHAnsi" w:hAnsiTheme="minorHAnsi" w:eastAsiaTheme="minorEastAsia" w:cstheme="minorBidi"/>
          <w:lang w:val="en-US" w:eastAsia="zh-CN"/>
        </w:rPr>
        <w:t>9.2  主分包合同审核：</w:t>
      </w:r>
      <w:bookmarkEnd w:id="14"/>
    </w:p>
    <w:p w14:paraId="6DB076F9">
      <w:pPr>
        <w:spacing w:after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场景一、</w:t>
      </w:r>
    </w:p>
    <w:p w14:paraId="13EC3B0E">
      <w:pPr>
        <w:spacing w:after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0EAB93C0">
      <w:pPr>
        <w:spacing w:after="200"/>
        <w:rPr>
          <w:rFonts w:hint="eastAsia"/>
          <w:lang w:val="en-US" w:eastAsia="zh-CN"/>
        </w:rPr>
      </w:pPr>
    </w:p>
    <w:p w14:paraId="288BB02C">
      <w:pPr>
        <w:spacing w:after="200"/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场景二、</w:t>
      </w:r>
    </w:p>
    <w:p w14:paraId="467B1715">
      <w:pPr>
        <w:spacing w:after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1B4BFFC6">
      <w:pPr>
        <w:spacing w:after="200"/>
        <w:rPr>
          <w:rFonts w:hint="default"/>
          <w:lang w:val="en-US" w:eastAsia="zh-CN"/>
        </w:rPr>
      </w:pPr>
    </w:p>
    <w:p w14:paraId="2AFFCC5D">
      <w:pPr>
        <w:spacing w:after="200"/>
        <w:rPr>
          <w:rFonts w:hint="default"/>
          <w:lang w:val="en-US" w:eastAsia="zh-CN"/>
        </w:rPr>
      </w:pPr>
    </w:p>
    <w:p w14:paraId="4A86E3BF">
      <w:pPr>
        <w:spacing w:after="200"/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场景三、</w:t>
      </w:r>
    </w:p>
    <w:p w14:paraId="49B098E2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DD7F134">
      <w:pPr>
        <w:spacing w:after="200"/>
        <w:rPr>
          <w:rFonts w:hint="eastAsia"/>
          <w:lang w:val="en-US" w:eastAsia="zh-CN"/>
        </w:rPr>
      </w:pPr>
    </w:p>
    <w:p w14:paraId="55B76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5860618">
      <w:pPr>
        <w:pStyle w:val="4"/>
        <w:bidi w:val="0"/>
        <w:rPr>
          <w:rFonts w:hint="eastAsia" w:asciiTheme="minorHAnsi" w:hAnsiTheme="minorHAnsi" w:eastAsiaTheme="minorEastAsia" w:cstheme="minorBidi"/>
          <w:lang w:val="en-US" w:eastAsia="zh-CN"/>
        </w:rPr>
      </w:pPr>
      <w:bookmarkStart w:id="15" w:name="_Toc24390"/>
      <w:r>
        <w:rPr>
          <w:rFonts w:hint="eastAsia" w:asciiTheme="minorHAnsi" w:hAnsiTheme="minorHAnsi" w:eastAsiaTheme="minorEastAsia" w:cstheme="minorBidi"/>
          <w:lang w:val="en-US" w:eastAsia="zh-CN"/>
        </w:rPr>
        <w:t>9.3 OA截图对比</w:t>
      </w:r>
      <w:bookmarkEnd w:id="15"/>
    </w:p>
    <w:p w14:paraId="73296E36">
      <w:pPr>
        <w:spacing w:after="200"/>
        <w:rPr>
          <w:rFonts w:hint="eastAsia"/>
          <w:lang w:val="en-US" w:eastAsia="zh-CN"/>
        </w:rPr>
      </w:pPr>
    </w:p>
    <w:p w14:paraId="1EA8F775">
      <w:pPr>
        <w:spacing w:after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场景一、</w:t>
      </w:r>
    </w:p>
    <w:p w14:paraId="0728A301">
      <w:pPr>
        <w:spacing w:after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7D20C0DC">
      <w:pPr>
        <w:spacing w:after="200"/>
        <w:rPr>
          <w:rFonts w:hint="eastAsia"/>
          <w:lang w:val="en-US" w:eastAsia="zh-CN"/>
        </w:rPr>
      </w:pPr>
    </w:p>
    <w:p w14:paraId="0DE410CD">
      <w:pPr>
        <w:spacing w:after="200"/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场景二、</w:t>
      </w:r>
    </w:p>
    <w:p w14:paraId="1D34E181">
      <w:pPr>
        <w:spacing w:after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17CD862C">
      <w:pPr>
        <w:spacing w:after="200"/>
        <w:rPr>
          <w:rFonts w:hint="default"/>
          <w:lang w:val="en-US" w:eastAsia="zh-CN"/>
        </w:rPr>
      </w:pPr>
    </w:p>
    <w:p w14:paraId="48E78C8D">
      <w:pPr>
        <w:spacing w:after="200"/>
        <w:rPr>
          <w:rFonts w:hint="default"/>
          <w:lang w:val="en-US" w:eastAsia="zh-CN"/>
        </w:rPr>
      </w:pPr>
    </w:p>
    <w:p w14:paraId="59877D84">
      <w:pPr>
        <w:spacing w:after="200"/>
        <w:rPr>
          <w:rFonts w:hint="eastAsia" w:asciiTheme="minorHAnsi" w:hAnsiTheme="minorHAnsi" w:eastAsiaTheme="minorEastAsia" w:cstheme="minorBidi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lang w:val="en-US" w:eastAsia="zh-CN"/>
        </w:rPr>
        <w:t>场景三、</w:t>
      </w:r>
    </w:p>
    <w:p w14:paraId="47A633E5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规则清单：</w:t>
      </w:r>
    </w:p>
    <w:p w14:paraId="7ED35A69">
      <w:pPr>
        <w:spacing w:after="200"/>
        <w:rPr>
          <w:rFonts w:hint="default"/>
          <w:lang w:val="en-US" w:eastAsia="zh-CN"/>
        </w:rPr>
      </w:pPr>
    </w:p>
    <w:p w14:paraId="30170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E52551F">
      <w:pPr>
        <w:pStyle w:val="3"/>
        <w:spacing w:after="200"/>
        <w:jc w:val="left"/>
      </w:pPr>
      <w:bookmarkStart w:id="16" w:name="_Toc351"/>
      <w:r>
        <w:t>开发阶段</w:t>
      </w:r>
      <w:bookmarkEnd w:id="16"/>
    </w:p>
    <w:p w14:paraId="6291774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第一阶段：基础框架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Docker环境 + 数据库 + 模型配置管理（其他所有功能的基础）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第二阶段：核心审核能力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PDF解析 + LLM调用 + Prompt组装 + 单独审核路径跑通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第三阶段：另外两条路径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主分包对比 + OA截图对比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第四阶段：扩展功能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审核模板管理（富文本编辑）+ Word/PDF导出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第五阶段：前端界面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把前面所有API接上去，完成完整用户流程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4E33860">
      <w:pPr>
        <w:spacing w:after="200"/>
      </w:pPr>
      <w:r>
        <w:t xml:space="preserve"> </w:t>
      </w:r>
    </w:p>
    <w:p w14:paraId="00132045">
      <w:pPr>
        <w:spacing w:after="200"/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B4829"/>
    <w:multiLevelType w:val="singleLevel"/>
    <w:tmpl w:val="894B4829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1CBEE41"/>
    <w:multiLevelType w:val="singleLevel"/>
    <w:tmpl w:val="D1CBEE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552F80"/>
    <w:rsid w:val="758642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link w:val="19"/>
    <w:qFormat/>
    <w:uiPriority w:val="0"/>
    <w:pPr>
      <w:numPr>
        <w:ilvl w:val="0"/>
        <w:numId w:val="1"/>
      </w:numPr>
      <w:jc w:val="left"/>
      <w:outlineLvl w:val="1"/>
    </w:pPr>
    <w:rPr>
      <w:rFonts w:ascii="Calibri" w:hAnsi="Calibri" w:eastAsia="宋体"/>
      <w:b/>
      <w:bCs/>
      <w:color w:val="000000"/>
      <w:sz w:val="36"/>
      <w:szCs w:val="36"/>
    </w:rPr>
  </w:style>
  <w:style w:type="paragraph" w:styleId="4">
    <w:name w:val="heading 3"/>
    <w:next w:val="1"/>
    <w:link w:val="20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link w:val="2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jc w:val="left"/>
    </w:pPr>
    <w:rPr>
      <w:sz w:val="56"/>
      <w:szCs w:val="56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标题 2 Char"/>
    <w:link w:val="3"/>
    <w:uiPriority w:val="0"/>
    <w:rPr>
      <w:rFonts w:ascii="Calibri" w:hAnsi="Calibri" w:eastAsia="宋体"/>
      <w:b/>
      <w:bCs/>
      <w:color w:val="000000"/>
      <w:sz w:val="36"/>
      <w:szCs w:val="36"/>
    </w:rPr>
  </w:style>
  <w:style w:type="character" w:customStyle="1" w:styleId="20">
    <w:name w:val="标题 3 Char"/>
    <w:link w:val="4"/>
    <w:uiPriority w:val="0"/>
    <w:rPr>
      <w:b/>
      <w:bCs/>
      <w:color w:val="000000"/>
      <w:sz w:val="32"/>
      <w:szCs w:val="32"/>
    </w:rPr>
  </w:style>
  <w:style w:type="character" w:customStyle="1" w:styleId="21">
    <w:name w:val="标题 5 Char"/>
    <w:link w:val="6"/>
    <w:uiPriority w:val="0"/>
    <w:rPr>
      <w:b/>
      <w:bCs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2317</Words>
  <Characters>3333</Characters>
  <TotalTime>12</TotalTime>
  <ScaleCrop>false</ScaleCrop>
  <LinksUpToDate>false</LinksUpToDate>
  <CharactersWithSpaces>4905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2026-03-19T03:31:00Z</dcterms:created>
  <dc:creator>Un-named</dc:creator>
  <cp:lastModifiedBy>王世先</cp:lastModifiedBy>
  <dcterms:modified xsi:type="dcterms:W3CDTF">2026-03-19T03:45:21Z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eyJoZGlkIjoiMDk1ZmRmMzFlMjE0MGIwOWIzMWM4ZTM3MzgxNmRkODIiLCJ1c2VySWQiOiIxNTgyNzc2NjQ3In0=</vt:lpwstr>
  </property>
  <property fmtid="{D5CDD505-2E9C-101B-9397-08002B2CF9AE}" pid="3" name="KSOProductBuildVer">
    <vt:lpwstr>2052-12.1.0.24657</vt:lpwstr>
  </property>
  <property fmtid="{D5CDD505-2E9C-101B-9397-08002B2CF9AE}" pid="4" name="ICV">
    <vt:lpwstr>945B6D29E0F144D98D84F9EE13C9091B_13</vt:lpwstr>
  </property>
</Properties>
</file>