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b/>
          <w:sz w:val="44"/>
          <w:rFonts w:ascii="Times New Roman" w:hAnsi="Times New Roman" w:eastAsia="黑体" w:cs="Times New Roman"/>
        </w:rPr>
        <w:t>基于AI+区块链的区域协同教研平台</w:t>
      </w:r>
    </w:p>
    <w:p>
      <w:pPr>
        <w:spacing w:after="120"/>
        <w:jc w:val="center"/>
      </w:pPr>
      <w:r>
        <w:rPr>
          <w:b/>
          <w:sz w:val="36"/>
          <w:rFonts w:ascii="Times New Roman" w:hAnsi="Times New Roman" w:eastAsia="黑体" w:cs="Times New Roman"/>
        </w:rPr>
        <w:t>应用创新方案</w:t>
      </w:r>
    </w:p>
    <w:p/>
    <w:p/>
    <w:p/>
    <w:p/>
    <w:p>
      <w:pPr>
        <w:spacing w:after="120"/>
        <w:jc w:val="center"/>
      </w:pPr>
      <w:r>
        <w:rPr>
          <w:b/>
          <w:sz w:val="28"/>
        </w:rPr>
        <w:t>院校名称：　＿＿＿＿＿＿＿＿＿＿</w:t>
      </w:r>
    </w:p>
    <w:p>
      <w:pPr>
        <w:spacing w:after="120"/>
        <w:jc w:val="center"/>
      </w:pPr>
      <w:r>
        <w:rPr>
          <w:b/>
          <w:sz w:val="28"/>
        </w:rPr>
        <w:t>团队名称：　＿＿＿＿＿＿＿＿＿＿</w:t>
      </w:r>
    </w:p>
    <w:p>
      <w:pPr>
        <w:spacing w:after="120"/>
        <w:jc w:val="center"/>
      </w:pPr>
      <w:r>
        <w:rPr>
          <w:b/>
          <w:sz w:val="28"/>
        </w:rPr>
        <w:t>赛道组别：技术创新组　＿＿＿＿＿＿＿＿＿＿</w:t>
      </w:r>
    </w:p>
    <w:p>
      <w:pPr>
        <w:spacing w:after="120"/>
        <w:jc w:val="center"/>
      </w:pPr>
      <w:r>
        <w:rPr>
          <w:b/>
          <w:sz w:val="28"/>
        </w:rPr>
        <w:t>指导教师：　＿＿＿＿＿＿＿＿＿＿</w:t>
      </w:r>
    </w:p>
    <w:p>
      <w:pPr>
        <w:spacing w:after="120"/>
        <w:jc w:val="center"/>
      </w:pPr>
      <w:r>
        <w:rPr>
          <w:b/>
          <w:sz w:val="28"/>
        </w:rPr>
        <w:t>团队成员：　＿＿＿＿＿＿＿＿＿＿</w:t>
      </w:r>
    </w:p>
    <w:p>
      <w:r>
        <w:br w:type="page"/>
      </w:r>
    </w:p>
    <w:p>
      <w:pPr>
        <w:spacing w:after="120"/>
        <w:jc w:val="center"/>
      </w:pPr>
      <w:r>
        <w:rPr>
          <w:b/>
          <w:sz w:val="32"/>
          <w:rFonts w:ascii="Times New Roman" w:hAnsi="Times New Roman" w:eastAsia="黑体" w:cs="Times New Roman"/>
        </w:rPr>
        <w:t>目 录</w:t>
      </w:r>
    </w:p>
    <w:p>
      <w:pPr>
        <w:spacing w:after="40"/>
      </w:pPr>
      <w:r>
        <w:rPr>
          <w:b w:val="0"/>
          <w:sz w:val="24"/>
        </w:rPr>
        <w:t>1. 场景业务说明</w:t>
      </w:r>
    </w:p>
    <w:p>
      <w:pPr>
        <w:spacing w:after="40"/>
      </w:pPr>
      <w:r>
        <w:rPr>
          <w:b w:val="0"/>
          <w:sz w:val="24"/>
        </w:rPr>
        <w:t xml:space="preserve">　1.1 区域协同教研的核心痛点</w:t>
      </w:r>
    </w:p>
    <w:p>
      <w:pPr>
        <w:spacing w:after="40"/>
      </w:pPr>
      <w:r>
        <w:rPr>
          <w:b w:val="0"/>
          <w:sz w:val="24"/>
        </w:rPr>
        <w:t xml:space="preserve">　1.2 目前教研信息化现状</w:t>
      </w:r>
    </w:p>
    <w:p>
      <w:pPr>
        <w:spacing w:after="40"/>
      </w:pPr>
      <w:r>
        <w:rPr>
          <w:b w:val="0"/>
          <w:sz w:val="24"/>
        </w:rPr>
        <w:t>2. 业务分析</w:t>
      </w:r>
    </w:p>
    <w:p>
      <w:pPr>
        <w:spacing w:after="40"/>
      </w:pPr>
      <w:r>
        <w:rPr>
          <w:b w:val="0"/>
          <w:sz w:val="24"/>
        </w:rPr>
        <w:t xml:space="preserve">　2.1 角色分析</w:t>
      </w:r>
    </w:p>
    <w:p>
      <w:pPr>
        <w:spacing w:after="40"/>
      </w:pPr>
      <w:r>
        <w:rPr>
          <w:b w:val="0"/>
          <w:sz w:val="24"/>
        </w:rPr>
        <w:t xml:space="preserve">　2.2 解决方案</w:t>
      </w:r>
    </w:p>
    <w:p>
      <w:pPr>
        <w:spacing w:after="40"/>
      </w:pPr>
      <w:r>
        <w:rPr>
          <w:b w:val="0"/>
          <w:sz w:val="24"/>
        </w:rPr>
        <w:t>3. 联盟链设计</w:t>
      </w:r>
    </w:p>
    <w:p>
      <w:pPr>
        <w:spacing w:after="40"/>
      </w:pPr>
      <w:r>
        <w:rPr>
          <w:b w:val="0"/>
          <w:sz w:val="24"/>
        </w:rPr>
        <w:t xml:space="preserve">　3.1 创新业务流程图</w:t>
      </w:r>
    </w:p>
    <w:p>
      <w:pPr>
        <w:spacing w:after="40"/>
      </w:pPr>
      <w:r>
        <w:rPr>
          <w:sz w:val="24"/>
        </w:rPr>
        <w:t xml:space="preserve">　3.2 联盟链网络与账户模型</w:t>
      </w:r>
    </w:p>
    <w:p>
      <w:pPr>
        <w:spacing w:after="40"/>
      </w:pPr>
      <w:r>
        <w:rPr>
          <w:b w:val="0"/>
          <w:sz w:val="24"/>
        </w:rPr>
        <w:t>4. 搭建联盟链网络</w:t>
      </w:r>
    </w:p>
    <w:p>
      <w:pPr>
        <w:spacing w:after="40"/>
      </w:pPr>
      <w:r>
        <w:rPr>
          <w:b w:val="0"/>
          <w:sz w:val="24"/>
        </w:rPr>
        <w:t xml:space="preserve">　4.1 联盟链网络拓扑图</w:t>
      </w:r>
    </w:p>
    <w:p>
      <w:pPr>
        <w:spacing w:after="40"/>
      </w:pPr>
      <w:r>
        <w:rPr>
          <w:b w:val="0"/>
          <w:sz w:val="24"/>
        </w:rPr>
        <w:t xml:space="preserve">　4.2 上链数据分析图</w:t>
      </w:r>
    </w:p>
    <w:p>
      <w:pPr>
        <w:spacing w:after="40"/>
      </w:pPr>
      <w:r>
        <w:rPr>
          <w:b w:val="0"/>
          <w:sz w:val="24"/>
        </w:rPr>
        <w:t xml:space="preserve">　4.3 操作试验图</w:t>
      </w:r>
    </w:p>
    <w:p>
      <w:pPr>
        <w:spacing w:after="40"/>
      </w:pPr>
      <w:r>
        <w:rPr>
          <w:b w:val="0"/>
          <w:sz w:val="24"/>
        </w:rPr>
        <w:t>5. 智能合约开发</w:t>
      </w:r>
    </w:p>
    <w:p>
      <w:pPr>
        <w:spacing w:after="40"/>
      </w:pPr>
      <w:r>
        <w:rPr>
          <w:sz w:val="24"/>
        </w:rPr>
        <w:t xml:space="preserve">　5.1 开发环境、工具链与项目整体结构</w:t>
      </w:r>
    </w:p>
    <w:p>
      <w:pPr>
        <w:spacing w:after="40"/>
      </w:pPr>
      <w:r>
        <w:rPr>
          <w:sz w:val="24"/>
        </w:rPr>
        <w:t xml:space="preserve">　5.2 编译与部署关键节点（蚂蚁链 BaaS REST 网关）</w:t>
      </w:r>
    </w:p>
    <w:p>
      <w:pPr>
        <w:spacing w:after="40"/>
      </w:pPr>
      <w:r>
        <w:rPr>
          <w:sz w:val="24"/>
        </w:rPr>
        <w:t xml:space="preserve">　5.3 业务上链与回执核验关键节点</w:t>
      </w:r>
    </w:p>
    <w:p>
      <w:pPr>
        <w:spacing w:after="40"/>
      </w:pPr>
      <w:r>
        <w:rPr>
          <w:sz w:val="24"/>
        </w:rPr>
        <w:t xml:space="preserve">　5.4 链上只读查询关键节点：学分折算现场验证</w:t>
      </w:r>
    </w:p>
    <w:p>
      <w:pPr>
        <w:spacing w:after="40"/>
      </w:pPr>
      <w:r>
        <w:rPr>
          <w:sz w:val="24"/>
        </w:rPr>
        <w:t xml:space="preserve">　5.5 DApp 前端与后端实现（三层去中心化应用）</w:t>
      </w:r>
    </w:p>
    <w:p>
      <w:pPr>
        <w:spacing w:after="40"/>
      </w:pPr>
      <w:r>
        <w:rPr>
          <w:b w:val="0"/>
          <w:sz w:val="24"/>
        </w:rPr>
        <w:t>6. 方案成效与真实链上凭证（补充章）</w:t>
      </w:r>
    </w:p>
    <w:p>
      <w:pPr>
        <w:spacing w:after="40"/>
      </w:pPr>
      <w:r>
        <w:rPr>
          <w:b w:val="0"/>
          <w:sz w:val="24"/>
        </w:rPr>
        <w:t xml:space="preserve">　6.1 痛点解决成效对照</w:t>
      </w:r>
    </w:p>
    <w:p>
      <w:pPr>
        <w:spacing w:after="40"/>
      </w:pPr>
      <w:r>
        <w:rPr>
          <w:b w:val="0"/>
          <w:sz w:val="24"/>
        </w:rPr>
        <w:t xml:space="preserve">　6.2 真实链上凭证</w:t>
      </w:r>
    </w:p>
    <w:p>
      <w:pPr>
        <w:spacing w:after="40"/>
      </w:pPr>
      <w:r>
        <w:rPr>
          <w:b w:val="0"/>
          <w:sz w:val="24"/>
        </w:rPr>
        <w:t xml:space="preserve">　6.3 提交物清单与展望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1. 场景业务说明</w:t>
      </w:r>
    </w:p>
    <w:p>
      <w:pPr>
        <w:pStyle w:val="Heading2"/>
      </w:pPr>
      <w:r>
        <w:rPr>
          <w:b/>
          <w:sz w:val="26"/>
        </w:rPr>
        <w:t>1.1 区域协同教研的核心痛点</w:t>
      </w:r>
    </w:p>
    <w:p>
      <w:pPr>
        <w:spacing w:after="120"/>
        <w:ind w:firstLine="480"/>
      </w:pPr>
      <w:r>
        <w:rPr>
          <w:b w:val="0"/>
          <w:sz w:val="24"/>
        </w:rPr>
        <w:t>随着教育数字化转型不断深入，区域内跨校协同教研已成为提升教师专业能力、促进教育均衡发展的重要途径，但实际推进中仍面临四大痛点。一是跨校教研资源孤岛现象突出：各校优质课件、精品课例分散存储、各自为政，教研成果版权归属缺乏明确认定机制，教师成果容易被随意盗用。二是教研活动过程记录可信度不足：传统教研依赖人工签到、纸质记录，过程数据易被篡改，打卡造假、代签等现象客观存在，教师贡献难以量化。三是跨校教研学分互认机制缺失：各校自行制定学时与学分标准，教师在 A 校获得的学分无法在 B 校得到认可。四是教研资料管理与分析手段落后：海量资料分散在不同系统中，缺乏智能化分析工具，教研选题与质量评估主要依赖主观判断。</w:t>
      </w:r>
    </w:p>
    <w:p>
      <w:pPr>
        <w:pStyle w:val="Heading2"/>
      </w:pPr>
      <w:r>
        <w:rPr>
          <w:b/>
          <w:sz w:val="26"/>
        </w:rPr>
        <w:t>1.2 目前教研信息化现状</w:t>
      </w:r>
    </w:p>
    <w:p>
      <w:pPr>
        <w:spacing w:after="120"/>
        <w:ind w:firstLine="480"/>
      </w:pPr>
      <w:r>
        <w:rPr>
          <w:b w:val="0"/>
          <w:sz w:val="24"/>
        </w:rPr>
        <w:t>这些痛点长期悬而未决，根源在于现有信息化手段的局限。当前多数区域教研信息化停留在"建系统、存文件"的层面：各类平台只解决"线上开会、线上交材料"，既不能保证过程数据真实可信，也无法在区域层面形成统一的信用与激励体系；少数引入区块链的尝试又与教学业务脱节，缺少 AI 对教研内容的智能加工，导致"链上有数据、线下用不上"。因此，亟需"AI 提效 + 区块链可信"双轮驱动的新范式。</w:t>
      </w:r>
    </w:p>
    <w:p>
      <w:pPr>
        <w:pStyle w:val="Heading1"/>
      </w:pPr>
      <w:r>
        <w:rPr>
          <w:b/>
          <w:sz w:val="32"/>
        </w:rPr>
        <w:t>2. 业务分析</w:t>
      </w:r>
    </w:p>
    <w:p>
      <w:pPr>
        <w:pStyle w:val="Heading2"/>
      </w:pPr>
      <w:r>
        <w:rPr>
          <w:b/>
          <w:sz w:val="26"/>
        </w:rPr>
        <w:t>2.1 角色分析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1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业务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1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sz w:val="20"/>
        </w:rPr>
        <w:t>图 2-1　平台角色与协作关系（一线教师、教研员、教研机构、专家学者、教育局）</w:t>
      </w:r>
    </w:p>
    <w:p>
      <w:pPr>
        <w:spacing w:after="120"/>
        <w:ind w:firstLine="480"/>
      </w:pPr>
      <w:r>
        <w:rPr>
          <w:b w:val="0"/>
          <w:sz w:val="24"/>
        </w:rPr>
        <w:t>要让“AI 提效 + 区块链可信”真正落地，首先要明确平台服务谁、各自在链上承担什么动作。平台涉及五类角色：一线教师（上传成果、参与活动、获得学分）、教研员（组织活动、评审成果）、教研机构（发布研修任务、汇聚资源）、专家学者（提供指导与点评）、教育局（制定学分标准、全流程审计）。各角色的每一次关键行为都将以交易形式记录到联盟链上。</w:t>
      </w:r>
    </w:p>
    <w:p>
      <w:pPr>
        <w:pStyle w:val="Heading2"/>
      </w:pPr>
      <w:r>
        <w:rPr>
          <w:b/>
          <w:sz w:val="26"/>
        </w:rPr>
        <w:t>2.2 解决方案</w:t>
      </w:r>
    </w:p>
    <w:p>
      <w:pPr>
        <w:spacing w:after="120"/>
        <w:ind w:firstLine="480"/>
      </w:pPr>
      <w:r>
        <w:rPr>
          <w:b w:val="0"/>
          <w:sz w:val="24"/>
        </w:rPr>
        <w:t>本方案的目标是：把分散在区域内各校的教研活动，搬到一个“AI 提效 + 区块链可信”双轮驱动的协同教研平台上，完整覆盖“资源上传 → 活动开展 → AI 智能处理 → 成果确权存证 → 贡献统计 → 学分互认与审计追溯”全链路。其中 AI 层负责资源智能推荐、会议纪要自动生成、教学数据分析与教师画像，解决“效率”问题；区块链层负责成果确权、过程留痕、贡献统计与学分计算，解决“可信”问题。两层协同、缺一不可——离开 AI，平台只是把纸质流程搬上线；离开区块链，过程数据仍回到可篡改的老路。</w:t>
      </w:r>
    </w:p>
    <w:p>
      <w:pPr>
        <w:spacing w:after="120"/>
        <w:ind w:firstLine="480"/>
      </w:pPr>
      <w:r>
        <w:rPr>
          <w:b/>
          <w:sz w:val="24"/>
        </w:rPr>
        <w:t>针对 1.1 的四大痛点，平台给出四项解法，每一项都能在链上得到验证（与第 6.1 节的成效对照逐一对应）：</w:t>
      </w:r>
    </w:p>
    <w:p>
      <w:pPr>
        <w:spacing w:after="120"/>
        <w:ind w:firstLine="480"/>
      </w:pPr>
      <w:r>
        <w:rPr>
          <w:b/>
          <w:sz w:val="24"/>
        </w:rPr>
        <w:t>1、破解资源孤岛，为教研成果确权版权</w:t>
      </w:r>
    </w:p>
    <w:p>
      <w:pPr>
        <w:spacing w:after="120"/>
        <w:ind w:firstLine="480"/>
      </w:pPr>
      <w:r>
        <w:rPr>
          <w:b w:val="0"/>
          <w:sz w:val="24"/>
        </w:rPr>
        <w:t>优质课件、精品课例不再各自为政：教师把成果的标题、作者、归属学校与文件 SHA-256 哈希通过 registerArtifact 写入联盟链，链上哈希即唯一指纹、署名即权属。成果跨校可检索、可溯源，任何盗用都能凭链上记录指认，从机制上同时破解“资源孤岛”与“版权不明”。</w:t>
      </w:r>
    </w:p>
    <w:p>
      <w:pPr>
        <w:spacing w:after="120"/>
        <w:ind w:firstLine="480"/>
      </w:pPr>
      <w:r>
        <w:rPr>
          <w:b/>
          <w:sz w:val="24"/>
        </w:rPr>
        <w:t>2、保证教研过程真实可信</w:t>
      </w:r>
    </w:p>
    <w:p>
      <w:pPr>
        <w:spacing w:after="120"/>
        <w:ind w:firstLine="480"/>
      </w:pPr>
      <w:r>
        <w:rPr>
          <w:b w:val="0"/>
          <w:sz w:val="24"/>
        </w:rPr>
        <w:t>教研活动的每一次参与与贡献分钟都通过 recordActivity 实时上链留痕，记录一经共识即不可篡改，从技术上杜绝打卡造假、代签与事后补录，教师的每一份贡献都被客观量化、长期可查。</w:t>
      </w:r>
    </w:p>
    <w:p>
      <w:pPr>
        <w:spacing w:after="120"/>
        <w:ind w:firstLine="480"/>
      </w:pPr>
      <w:r>
        <w:rPr>
          <w:b/>
          <w:sz w:val="24"/>
        </w:rPr>
        <w:t>3、实现跨校学分互认与全流程监管</w:t>
      </w:r>
    </w:p>
    <w:p>
      <w:pPr>
        <w:spacing w:after="120"/>
        <w:ind w:firstLine="480"/>
      </w:pPr>
      <w:r>
        <w:rPr>
          <w:b w:val="0"/>
          <w:sz w:val="24"/>
        </w:rPr>
        <w:t>智能合约把统一口径“贡献 1 分钟 = 2 学分”固化在链上：recordActivity 自动折算并累计，getCreditFor 本地只读即可跨校查询同一位教师的累计学分，实现“A 校教研、B 校认可”；教育主管部门可凭交易哈希对全流程审计追溯，问题发生时快速定位环节。</w:t>
      </w:r>
    </w:p>
    <w:p>
      <w:pPr/>
      <w:r>
        <w:rPr>
          <w:b/>
          <w:sz w:val="24"/>
        </w:rPr>
        <w:t>4、以 AI 提效，让教研分析从经验走向数据</w:t>
      </w:r>
    </w:p>
    <w:p>
      <w:pPr/>
      <w:r>
        <w:rPr>
          <w:b w:val="0"/>
          <w:sz w:val="24"/>
        </w:rPr>
        <w:t>AI 层对上传的课例与纪要做智能推荐、自动转写与学情/教师画像分析，为教研选题与质量评估提供数据支撑；AI 输出摘要的哈希同样上链存证，使“机器给出的结论”也可被事后审计（AI 能力当前以接口预留与模拟数据呈现，落地路径见第 6.1 节与展望）。</w:t>
      </w:r>
    </w:p>
    <w:p>
      <w:pPr/>
      <w:r>
        <w:rPr>
          <w:b w:val="0"/>
          <w:sz w:val="24"/>
        </w:rPr>
        <w:t>四项解法之外，确权成果与名师课例在链上高效流动，还将进一步沉淀区域教研品牌、扩大区域教育影响力——这部分衍生成效，将在第 6 章结合真实链上凭证具体说明。</w:t>
      </w:r>
    </w:p>
    <w:p>
      <w:pPr>
        <w:pStyle w:val="Heading1"/>
      </w:pPr>
      <w:r>
        <w:rPr>
          <w:b/>
          <w:sz w:val="32"/>
        </w:rPr>
        <w:t>3. 联盟链设计</w:t>
      </w:r>
    </w:p>
    <w:p>
      <w:pPr>
        <w:pStyle w:val="Heading2"/>
      </w:pPr>
      <w:r>
        <w:rPr>
          <w:b/>
          <w:sz w:val="26"/>
        </w:rPr>
        <w:t>3.1 创新业务流程图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080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业务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8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sz w:val="20"/>
        </w:rPr>
        <w:t>图 3-1　创新业务流程图：多方主体 → AI 处理 → 哈希存证 → 联盟链同步 → 学分互认与审计</w:t>
      </w:r>
    </w:p>
    <w:p>
      <w:pPr>
        <w:spacing w:after="120"/>
        <w:ind w:firstLine="480"/>
      </w:pPr>
      <w:r>
        <w:rPr>
          <w:b w:val="0"/>
          <w:sz w:val="24"/>
        </w:rPr>
        <w:t>流程说明：①一线教师、教研员、教研机构、专家学者及教育局等多方主体通过平台上传教研资源、参与教研活动；②教研内容进入 AI 智能平台完成推荐、转写与分析；③AI 处理结果及原始数据同步至区块链存证平台，加盖时间戳后生成唯一交易哈希；④存证数据经联盟链共识同步至区域内各学校节点，实现分布式存储与不可篡改；⑤智能合约根据贡献数据自动计算学分并跨校互认，教育主管端可对全流程审计追溯。</w:t>
      </w:r>
    </w:p>
    <w:p>
      <w:pPr>
        <w:pStyle w:val="Heading2"/>
      </w:pPr>
      <w:r>
        <w:t>3.2 联盟链网络与账户模型</w:t>
      </w:r>
    </w:p>
    <w:p>
      <w:pPr/>
      <w:r>
        <w:t>本平台区块链层部署于蚂蚁链开放联盟链（BaaS，区块链即服务），采用多机构共治的联盟链形态：由教育主管部门、教研机构与区域内各学校共同作为联盟成员维护账本，交易经共识后同步至各成员节点，实现分布式存储与不可篡改。团队通过 BaaS REST 交易网关 rest.baas.alipay.com 接入链网络，所有写交易均以 SHA256withRSA 完成签名后发送；链账户为 KMS 托管账户，私钥全程不出 KMS，签名由云端密钥服务协同完成，账户地址由账户名经 SHA256 派生。智能合约以 Solidity 编写，经蚂蚁链官方定制编译器 alipay-solc-0.4.24 编译为字节码后部署上链。关键链参数见表 3-1。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参数项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链平台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蚂蚁链开放联盟链（BaaS）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区块链即服务，多机构联盟共治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链 ID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a00e36c5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联盟链实例唯一标识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租户 ID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LXHOXRFH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参赛团队租户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交易网关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rest.baas.alipay.com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BaaS REST 交易接入网关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接入 accessId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QoT6128ELXHOXRFH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REST 接入身份标识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签名算法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SHA256withRSA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交易发送前对报文签名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账户托管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KMS 托管账户（kmsId 93f381Ch…）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私钥不出 KMS，账户名称按隐私要求打码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账户地址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SHA256(账户名)=bd6d0c49…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链账户地址由账户名派生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合约编译器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alipay-solc-0.4.24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蚂蚁链定制 Solidity 编译器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燃料（gas）机制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初始 8,508,135 → 当前 6,537,457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sz w:val="21"/>
              </w:rPr>
              <w:t>写交易按 gasUsed 扣减，只读调用不耗 gas</w:t>
            </w:r>
          </w:p>
        </w:tc>
      </w:tr>
    </w:tbl>
    <w:p>
      <w:pPr/>
      <w:r>
        <w:t>表 3-1　联盟链网络关键参数（均为链上实测值，可在蚂蚁链开放联盟链控制台与区块链浏览器核验）</w:t>
      </w:r>
    </w:p>
    <w:p>
      <w:pPr/>
      <w:r>
        <w:t>在燃料与共识机制上，联盟链对每笔写交易（合约部署、成果确权注册、教研活动上链）按实际 gasUsed 扣减账户燃料，只读的学分查询走 CALLCONTRACTBIZ + isLocalTransaction=true 的本地调用通道，不打包上链、不消耗 gas。账户燃料自初始 8,508,135 起，经 deploy 与两轮注册/活动共五笔写交易累计扣减 gasUsed 1,970,678，当前余额 6,537,457，与 2026-10-07 实时重查结果精确相等，全过程账目可对、可追溯。联盟链的共识同步确保各成员节点账本一致，任一节点无法单独篡改已确权的教研成果与学分记录，为跨校学分互认与教育主管端全流程审计提供了可信底座。</w:t>
      </w:r>
    </w:p>
    <w:p>
      <w:pPr>
        <w:pStyle w:val="Heading1"/>
      </w:pPr>
      <w:r>
        <w:rPr>
          <w:b/>
          <w:sz w:val="32"/>
        </w:rPr>
        <w:t>4. 搭建联盟链网络</w:t>
      </w:r>
    </w:p>
    <w:p>
      <w:pPr>
        <w:pStyle w:val="Heading2"/>
      </w:pPr>
      <w:r>
        <w:rPr>
          <w:b/>
          <w:sz w:val="26"/>
        </w:rPr>
        <w:t>4.1 联盟链网络拓扑图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网络拓扑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sz w:val="20"/>
        </w:rPr>
        <w:t>图 4-1　联盟链网络拓扑图：开放联盟链 a00e36c5（平台托管节点）+ 租户通道 LXHOXRFH + 各校接入端</w:t>
      </w:r>
    </w:p>
    <w:p>
      <w:pPr>
        <w:pStyle w:val="Heading2"/>
      </w:pPr>
      <w:r>
        <w:rPr>
          <w:b/>
          <w:sz w:val="26"/>
        </w:rPr>
        <w:t>4.2 上链数据分析图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7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上链数据分析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sz w:val="20"/>
        </w:rPr>
        <w:t>图 4-2　上链数据分析图：教研成果（Artifact）与教研活动（Activity）两套核心数据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上链数据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教研成果 Artifact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artifactId / title / author / school / fileHash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成果编号、标题、作者、归属校、SHA-256 文件哈希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教研活动 Activity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activityId / teacherId / school / effortMinutes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活动编号、教师（跨校通用）、所属学校、贡献分钟（×2 折算学分）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教师学分 Credit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teacherId → 累计学分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由智能合约自动累加，跨校通用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展示格式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miniappinfo JSON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区块链小程序/浏览器可直接渲染的中文业务字段</w:t>
            </w:r>
          </w:p>
        </w:tc>
      </w:tr>
    </w:tbl>
    <w:p>
      <w:pPr>
        <w:pStyle w:val="Heading2"/>
      </w:pPr>
      <w:r>
        <w:rPr>
          <w:b/>
          <w:sz w:val="26"/>
        </w:rPr>
        <w:t>4.3 操作试验图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169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3_操作图_管理控制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4-3　操作试验：蚂蚁链开放联盟链管理控制台——燃料管理与链上账户余额（链账户名称已打码，余额 7,434,049，为 2026-10-02 截图时点值；2026-10-07 实时重查为 6,537,457）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169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4_操作图_链浏览器洞察看板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4-4　操作试验：ChainInsight 区块链浏览器——联盟链 a00e36c5 洞察看板与交易总量趋势</w:t>
      </w:r>
    </w:p>
    <w:p>
      <w:pPr>
        <w:spacing w:after="120"/>
        <w:ind w:firstLine="480"/>
      </w:pPr>
      <w:r>
        <w:rPr>
          <w:b w:val="0"/>
          <w:sz w:val="24"/>
        </w:rPr>
        <w:t>所有链上操作均已真实发生并可复现：使用 tools/TeachFlowTool.java 四个子命令（deploy/register/activity/credit）即可在开放联盟链上完成部署、确权、活动记录与学分查询，原始命令输出见过程实录文档；支撑这些操作的智能合约实现，正是第 5 章的内容。</w:t>
      </w:r>
    </w:p>
    <w:p>
      <w:pPr>
        <w:pStyle w:val="Heading1"/>
      </w:pPr>
      <w:r>
        <w:rPr>
          <w:b/>
          <w:sz w:val="32"/>
        </w:rPr>
        <w:t>5. 智能合约开发</w:t>
      </w:r>
    </w:p>
    <w:p>
      <w:pPr>
        <w:spacing w:after="120"/>
        <w:ind w:firstLine="480"/>
      </w:pPr>
      <w:r>
        <w:rPr>
          <w:b w:val="0"/>
          <w:sz w:val="24"/>
        </w:rPr>
        <w:t>智能合约采用广泛应用的 Solidity 语言编写（contracts/TeachingTrace.sol，pragma ^0.4.20，不依赖蚂蚁链任何私有扩展，可与标准 solc 0.4.26 交叉编译核验）。合约对外只暴露三个入口，恰好分别承载 2.2 的前三项解法：registerArtifact 完成教研成果确权存证（写入 achievements 表）、recordActivity 完成教研活动留痕并按“贡献分钟 × 2”自动折算累计学分（以 activityId|teacherId 复合键写入 records 表）、getCreditFor 提供教师累计学分的本地只读查询；两个写操作均同步 emit miniappinfo 格式的 LOG_STRING 事件，供区块链小程序与浏览器直接渲染中文业务字段。合约经蚂蚁链官方定制编译器 alipay-solc-0.4.24 产出字节码，通过 REST 通道真实部署到开放联盟链（合约名 teaching_platform_v1，部署交易 ceeaba86f9ed2451379182dbc5263597019e0f2b60e7a155d615f44e6bd956b9）。以下 5.1~5.5 按“环境结构 → 编译部署 → 业务上链 → 只读查询 → DApp”的顺序，记录从源码到链上可验的完整实现链路；合约关键代码如下（注释与代码严格对应）：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064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代码核心截图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06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5-1 教研合约链上数据结构（contracts/TeachingTrace.sol 核心代码截图）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3783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代码核心截图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8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 5-2 冻结 ABI 三入口：确权存证 / 活动留痕与学分折算 / 学分查询（核心代码截图）</w:t>
      </w:r>
    </w:p>
    <w:p>
      <w:pPr>
        <w:pStyle w:val="Heading2"/>
      </w:pPr>
      <w:r>
        <w:t>5.1 开发环境、工具链与项目整体结构</w:t>
      </w:r>
    </w:p>
    <w:p>
      <w:pPr/>
      <w:r>
        <w:t>项目按“合约 — 工具链 — 网关 — 文档/可视化”四层组织：contracts/ 存放 Solidity 源码，tools/ 为纯 JDK 链上工具链，build/ 保存编译器与运行产物，可视化/ 与 docs/ 消费同一批真实回执。私钥 keys/access.key 仅存于演示机，提交压缩包时删除且内容全程打码。整体结构见图 5-3。</w:t>
      </w:r>
    </w:p>
    <w:p>
      <w:r>
        <w:drawing>
          <wp:inline xmlns:a="http://schemas.openxmlformats.org/drawingml/2006/main" xmlns:pic="http://schemas.openxmlformats.org/drawingml/2006/picture">
            <wp:extent cx="5669280" cy="19212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3_项目整体结构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5-3　项目整体结构与角色标注（真实目录树）</w:t>
      </w:r>
    </w:p>
    <w:p>
      <w:pPr>
        <w:pStyle w:val="Heading2"/>
      </w:pPr>
      <w:r>
        <w:t>5.2 编译与部署关键节点（蚂蚁链 BaaS REST 网关）</w:t>
      </w:r>
    </w:p>
    <w:p>
      <w:pPr/>
      <w:r>
        <w:t>合约经蚂蚁链官方定制编译器 alipay-solc-0.4.24 编译（并与标准 solc 0.4.26 交叉核验字节码一致）；部署通过蚂蚁链开放联盟链开发平台的 BaaS REST 网关 rest.baas.alipay.com 完成 SHA256withRSA 签名与交易发送，链账户为 KMS 托管账户（名称打码）。编译与部署回执见图 5-4。</w:t>
      </w:r>
    </w:p>
    <w:p>
      <w:r>
        <w:drawing>
          <wp:inline xmlns:a="http://schemas.openxmlformats.org/drawingml/2006/main" xmlns:pic="http://schemas.openxmlformats.org/drawingml/2006/picture">
            <wp:extent cx="5669280" cy="18204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4_编译与部署终端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0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5-4　开发关键节点：合约编译与部署上链（真实终端输出，链账户名称已打码）</w:t>
      </w:r>
    </w:p>
    <w:p>
      <w:pPr>
        <w:pStyle w:val="Heading2"/>
      </w:pPr>
      <w:r>
        <w:t>5.3 业务上链与回执核验关键节点</w:t>
      </w:r>
    </w:p>
    <w:p>
      <w:pPr/>
      <w:r>
        <w:t>成果确权与教研活动两笔交易上链后，使用 QUERYRECEIPT 拉取回执，并将 logData 的 base64 解码即得链上存证原文 miniappinfo，作者、学校、学分等字段与第 6.2 节凭证表逐项一致；两笔哈希亦可在 ChainInsight 浏览器复核。见图 5-5。</w:t>
      </w:r>
    </w:p>
    <w:p>
      <w:r>
        <w:drawing>
          <wp:inline xmlns:a="http://schemas.openxmlformats.org/drawingml/2006/main" xmlns:pic="http://schemas.openxmlformats.org/drawingml/2006/picture">
            <wp:extent cx="5669280" cy="22236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5_上链回执核验终端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3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5-5　开发关键节点：上链回执核验与存证原文解码（实时查链输出）</w:t>
      </w:r>
    </w:p>
    <w:p>
      <w:pPr>
        <w:pStyle w:val="Heading2"/>
      </w:pPr>
      <w:r>
        <w:t>5.4 链上只读查询关键节点：学分折算现场验证</w:t>
      </w:r>
    </w:p>
    <w:p>
      <w:pPr/>
      <w:r>
        <w:t>getCreditFor(string) 为只读调用（CALLCONTRACTBIZ + isLocalTransaction=true），不打包上链、不消耗 gas。现场查询教师“陈以宁”返回 180，与 90 分钟 × 2 的合约折算口径一致，验证链上业务闭环。见图 5-6。</w:t>
      </w:r>
    </w:p>
    <w:p>
      <w:r>
        <w:drawing>
          <wp:inline xmlns:a="http://schemas.openxmlformats.org/drawingml/2006/main" xmlns:pic="http://schemas.openxmlformats.org/drawingml/2006/picture">
            <wp:extent cx="5669280" cy="20220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6_学分查询终端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5-6　开发关键节点：getCreditFor 学分现场查询（只读、不耗 gas）</w:t>
      </w:r>
    </w:p>
    <w:p>
      <w:pPr>
        <w:pStyle w:val="Heading2"/>
      </w:pPr>
      <w:r>
        <w:t>5.5 DApp 前端与后端实现（三层去中心化应用）</w:t>
      </w:r>
    </w:p>
    <w:p>
      <w:pPr/>
      <w:r>
        <w:t>DApp（Decentralized Application，去中心化应用）指运行在智能合约之上、由前端界面与链访问后端共同构成的分布式应用。蚂蚁链官方 DApp 工具链（ChainStack、Myfish、AntChain Studio 及 MyChainX SDK）面向的是 MyChainX / EVM 风格的合约平台与本地节点 RPC 接入方式；而本项目接入的是蚂蚁链开放联盟链的 BaaS REST 交易网关（rest.baas.alipay.com），交易经 SHA256withRSA 签名、由 KMS 托管账户协同签名后以 REST 报文提交，官方 IDE 类工具无法直接挂载到这一 REST/KMS 通道，故“用不了”ChainStack 等套件。但这并不妨碍我们实现完整的 DApp：本项目以“前端页面 → 本地 DApp 后端 → BaaS REST 网关 → 智能合约”的三层结构落地，其中本地后端 dapp/backend/dapp_server.py 即 DApp 的链访问层，封装只读的 QUERYACCOUNT / QUERYRECEIPT / QUERYTRANSACTION 调用，前端 dapp/frontend/index.html 通过 HTTP/JSON 与之交互，见图 5-7。</w:t>
      </w:r>
    </w:p>
    <w:p>
      <w:pPr/>
      <w:r>
        <w:drawing>
          <wp:inline xmlns:a="http://schemas.openxmlformats.org/drawingml/2006/main" xmlns:pic="http://schemas.openxmlformats.org/drawingml/2006/picture">
            <wp:extent cx="5669280" cy="69094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7_DApp前端大屏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09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5-7　教研 DApp 前端大屏：链上账户实时燃料余额、联盟链网络参数与已上链业务记录（数据由本地后端实时回读链上）</w:t>
      </w:r>
    </w:p>
    <w:p>
      <w:pPr/>
      <w:r>
        <w:t>前端页面输入任意 64 位交易哈希后，后端实时调用 RestChainTool 回读链上回执（QUERYRECEIPT）与交易原文（QUERYTRANSACTION，data 为 base64 存证原文），将区块高度、gasUsed 与存证内容直接呈现，无需人工登录控制台。图 5-8 为对成果确权交易 48ba4912… 的现场核验，回读区块 183651012、gasUsed 407754，与链上记录一致。</w:t>
      </w:r>
    </w:p>
    <w:p>
      <w:pPr/>
      <w:r>
        <w:drawing>
          <wp:inline xmlns:a="http://schemas.openxmlformats.org/drawingml/2006/main" xmlns:pic="http://schemas.openxmlformats.org/drawingml/2006/picture">
            <wp:extent cx="5669280" cy="84153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8_DApp实时回执核验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15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5-8　教研 DApp 交易回执实时核验：输入哈希即回读链上回执与 base64 存证原文</w:t>
      </w:r>
    </w:p>
    <w:p>
      <w:pPr/>
      <w:r>
        <w:t>安全边界上，DApp 后端仅开放只读查询：私钥文件 keys/access.key 只以路径参与本地签名握手，其内容与 token 从不进入任何 HTTP 响应；写交易（合约部署、成果确权、活动上链）一律由离线命令行工具 TeachFlowTool 在受控环境执行，不经联网页面触发，避免误改链上状态。账户名称按隐私要求打码，页面所示业务身份为虚构。</w:t>
      </w:r>
    </w:p>
    <w:p>
      <w:pPr>
        <w:pStyle w:val="Heading1"/>
      </w:pPr>
      <w:r>
        <w:rPr>
          <w:b/>
          <w:sz w:val="32"/>
        </w:rPr>
        <w:t>6. 方案成效与真实链上凭证（补充章）</w:t>
      </w:r>
    </w:p>
    <w:p>
      <w:pPr>
        <w:pStyle w:val="Heading2"/>
      </w:pPr>
      <w:r>
        <w:rPr>
          <w:b/>
          <w:sz w:val="26"/>
        </w:rPr>
        <w:t>6.1 痛点解决成效对照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痛点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本方案的解法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链上验证方式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资源孤岛与版权不明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成果哈希+署名+学校上链确权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registerArtifact 交易可查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过程记录不可信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活动参与与贡献分钟上链留痕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recordActivity 交易可查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学分互认缺失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合约统一口径自动折算累计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getCreditFor 本地查询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分析手段落后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AI 层模拟实现+接口预留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AI 摘要哈希上链即审计</w:t>
            </w:r>
          </w:p>
        </w:tc>
      </w:tr>
    </w:tbl>
    <w:p>
      <w:pPr>
        <w:pStyle w:val="Heading2"/>
      </w:pPr>
      <w:r>
        <w:rPr>
          <w:b/>
          <w:sz w:val="26"/>
        </w:rPr>
        <w:t>6.2 真实链上凭证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动作</w:t>
            </w:r>
          </w:p>
        </w:tc>
        <w:tc>
          <w:tcPr>
            <w:tcW w:type="dxa" w:w="4320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交易哈希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教研合约部署 teaching_platform_v1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ceeaba86f9ed2451379182dbc5263597019e0f2b60e7a155d615f44e6bd956b9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教研成果确权 registerArtifact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48ba4912c6af94f00007fb1b106503857e96b73acc37580eac23f71ddcecc5b3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教研活动记录 recordActivity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7b844056dbd173c64f25c507ec070e72ba8dca1fc56e49d716309b1a8ad4e8e6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教师学分查询 getCreditFor("陈以宁")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outRes=["180"]（90 分钟 × 2 = 180，本地只读）</w:t>
            </w:r>
          </w:p>
        </w:tc>
      </w:tr>
    </w:tbl>
    <w:p>
      <w:pPr>
        <w:spacing w:after="120"/>
        <w:ind w:firstLine="480"/>
      </w:pPr>
      <w:r>
        <w:rPr>
          <w:b w:val="0"/>
          <w:sz w:val="24"/>
        </w:rPr>
        <w:t>以上交易均发生在蚂蚁链开放联盟链（链 ID a00e36c5），可在区块链浏览器输入哈希直接核验；账户燃料余额从初始值按各笔 gasUsed 精确递减：初始 8,508,135 − 五笔交易 gasUsed 合计 1,970,678（deploy 107,225 + 两轮注册/活动 527,773 + 439,088 + 407,754 + 488,838）= 当前 6,537,457，与 2026-10-07 实时重查余额精确相等，账目完全可对。</w:t>
      </w:r>
    </w:p>
    <w:p>
      <w:pPr/>
      <w:r>
        <w:t>上述凭证同时汇入本地链上交易可视化大屏（可视化/visualize_server.py，http://127.0.0.1:8765/）：页面卡片直接读取真实回执，并支持粘贴任意 64 位交易哈希经本地 RestChainTool 现场查链；另已发布静态只读版供在线查看。见图 6-1。</w:t>
      </w:r>
    </w:p>
    <w:p>
      <w:r>
        <w:drawing>
          <wp:inline xmlns:a="http://schemas.openxmlformats.org/drawingml/2006/main" xmlns:pic="http://schemas.openxmlformats.org/drawingml/2006/picture">
            <wp:extent cx="5669280" cy="26456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1_可视化大屏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6-1　链上交易可视化大屏：miniappinfo 业务记录实时展示（真实页面截图）</w:t>
      </w:r>
    </w:p>
    <w:p>
      <w:pPr>
        <w:pStyle w:val="Heading2"/>
      </w:pPr>
      <w:r>
        <w:rPr>
          <w:b/>
          <w:sz w:val="26"/>
        </w:rPr>
        <w:t>6.3 提交物清单与展望</w:t>
      </w:r>
    </w:p>
    <w:p>
      <w:pPr>
        <w:spacing w:after="120"/>
        <w:ind w:firstLine="480"/>
      </w:pPr>
      <w:r>
        <w:rPr>
          <w:b w:val="0"/>
          <w:sz w:val="24"/>
        </w:rPr>
        <w:t>本项目随文档一并提交：方案 PPT（教研平台-方案汇报.pptx）、技术文档 PDF（教研平台-技术文档.pdf）、智能合约源码与接口文档、SDK 调用工具（tools/TeachFlowTool.java）与过程实录；三段视频（联盟链搭建过程/智能合约运行/SDK 运行）按拍摄脚本录制后随包提交。</w:t>
      </w:r>
    </w:p>
    <w:p>
      <w:pPr>
        <w:spacing w:after="120"/>
        <w:ind w:firstLine="480"/>
      </w:pPr>
      <w:r>
        <w:rPr>
          <w:b w:val="0"/>
          <w:sz w:val="24"/>
        </w:rPr>
        <w:t>展望：下一步将接入真实 AI 服务（推荐/纪要/画像），把 AI 输出摘要的哈希纳入上链存证；扩展六环节教研全流程演示，并在区块链小程序中完成 miniappinfo 业务数据的移动端渲染，让"扫码即查、数据可信"的教研新范式覆盖区域内的每一所学校。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