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pPr>
        <w:pStyle w:val="Heading1"/>
        <w:keepNext w:val="0"/>
        <w:keepLines w:val="0"/>
        <w:spacing w:after="240"/>
        <w:jc w:val="left"/>
        <w:rPr>
          <w:b/>
          <w:bCs/>
          <w:sz w:val="48"/>
          <w:szCs w:val="48"/>
        </w:rPr>
      </w:pPr>
    </w:p>
    <w:p>
      <w:pPr>
        <w:spacing w:before="120" w:after="120"/>
        <w:jc w:val="left"/>
      </w:pPr>
      <w:r>
        <w:t>Sources: vendor docs as of May 2026.</w:t>
      </w:r>
    </w:p>
    <w:p>
      <w:pPr>
        <w:pStyle w:val="Heading2"/>
        <w:keepNext w:val="0"/>
        <w:keepLines w:val="0"/>
        <w:spacing w:before="360" w:after="180"/>
        <w:jc w:val="left"/>
        <w:rPr>
          <w:b/>
          <w:bCs/>
          <w:sz w:val="36"/>
          <w:szCs w:val="36"/>
        </w:rPr>
      </w:pPr>
      <w:r>
        <w:rPr>
          <w:rFonts w:ascii="Times New Roman" w:eastAsia="Times New Roman" w:hAnsi="Times New Roman" w:cs="Times New Roman"/>
          <w:b w:val="0"/>
          <w:bCs w:val="0"/>
          <w:i w:val="0"/>
          <w:color w:val="auto"/>
        </w:rPr>
        <w:t>Headline conclusions</w:t>
      </w:r>
    </w:p>
    <w:p>
      <w:pPr>
        <w:numPr>
          <w:ilvl w:val="0"/>
          <w:numId w:val="1"/>
        </w:numPr>
        <w:spacing w:before="240" w:after="120"/>
        <w:ind w:left="720" w:hanging="329"/>
        <w:jc w:val="left"/>
      </w:pPr>
      <w:r>
        <w:t>Programmatic per-user attribution on workspace plans today: only Cursor Teams ($40/seat) has it via Admin API (90-day window per request).</w:t>
      </w:r>
    </w:p>
    <w:p>
      <w:pPr>
        <w:numPr>
          <w:ilvl w:val="0"/>
          <w:numId w:val="1"/>
        </w:numPr>
        <w:spacing w:before="120" w:after="120"/>
        <w:ind w:left="720" w:hanging="329"/>
        <w:jc w:val="left"/>
      </w:pPr>
      <w:r>
        <w:t>Claude Team has per-user spend in UI + CSV export but no API; Analytics API is Enterprise-only.</w:t>
      </w:r>
    </w:p>
    <w:p>
      <w:pPr>
        <w:numPr>
          <w:ilvl w:val="0"/>
          <w:numId w:val="1"/>
        </w:numPr>
        <w:spacing w:before="120" w:after="120"/>
        <w:ind w:left="720" w:hanging="329"/>
        <w:jc w:val="left"/>
      </w:pPr>
      <w:r>
        <w:t>ChatGPT Business has per-user usage in UI; CSV export status ambiguous in OpenAI docs (see Notes section).</w:t>
      </w:r>
    </w:p>
    <w:p>
      <w:pPr>
        <w:numPr>
          <w:ilvl w:val="0"/>
          <w:numId w:val="1"/>
        </w:numPr>
        <w:spacing w:before="120" w:after="120"/>
        <w:ind w:left="720" w:hanging="329"/>
        <w:jc w:val="left"/>
      </w:pPr>
      <w:r>
        <w:t>Developer API platforms: OpenAI groups by user_id (true per-user attribution if apps pass it). Anthropic API is per-API-key only.</w:t>
      </w:r>
    </w:p>
    <w:p>
      <w:pPr>
        <w:numPr>
          <w:ilvl w:val="0"/>
          <w:numId w:val="1"/>
        </w:numPr>
        <w:spacing w:before="120" w:after="240"/>
        <w:ind w:left="720" w:hanging="329"/>
        <w:jc w:val="left"/>
      </w:pPr>
      <w:r>
        <w:t>Enterprise tiers converge: programmatic analytics, audit logs, SCIM, per-user spend caps. Differentiators: retention windows, AI-to-commit attribution (Cursor only), streaming targets (Cursor: SIEM/Webhook/S3).</w:t>
      </w:r>
    </w:p>
    <w:p>
      <w:pPr>
        <w:pStyle w:val="Heading2"/>
        <w:keepNext w:val="0"/>
        <w:keepLines w:val="0"/>
        <w:spacing w:before="360" w:after="180"/>
        <w:jc w:val="left"/>
        <w:rPr>
          <w:b/>
          <w:bCs/>
          <w:sz w:val="36"/>
          <w:szCs w:val="36"/>
        </w:rPr>
      </w:pPr>
      <w:r>
        <w:rPr>
          <w:rFonts w:ascii="Times New Roman" w:eastAsia="Times New Roman" w:hAnsi="Times New Roman" w:cs="Times New Roman"/>
          <w:b w:val="0"/>
          <w:bCs w:val="0"/>
          <w:i w:val="0"/>
          <w:color w:val="auto"/>
        </w:rPr>
        <w:t>Workspace plans - capability matrix</w:t>
      </w:r>
    </w:p>
    <w:tbl>
      <w:tblPr>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Pr>
      <w:tblGrid>
        <w:gridCol w:w="1272"/>
        <w:gridCol w:w="1107"/>
        <w:gridCol w:w="1355"/>
        <w:gridCol w:w="1490"/>
        <w:gridCol w:w="1088"/>
        <w:gridCol w:w="1373"/>
        <w:gridCol w:w="1659"/>
      </w:tblGrid>
      <w:tr>
        <w:trPr>
          <w:trHeight w:val="540"/>
        </w:trPr>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Capability</w:t>
            </w:r>
          </w:p>
        </w:tc>
        <w:tc>
          <w:tcPr>
            <w:tcW w:w="2295" w:type="dxa"/>
            <w:tcBorders>
              <w:top w:val="single" w:sz="6" w:space="0" w:color="E0E0E0"/>
              <w:left w:val="single" w:sz="6" w:space="0" w:color="E0E0E0"/>
              <w:bottom w:val="single" w:sz="6" w:space="0" w:color="E0E0E0"/>
              <w:right w:val="single" w:sz="6" w:space="0" w:color="E0E0E0"/>
            </w:tcBorders>
            <w:shd w:val="clear" w:color="auto" w:fill="E2F8E8"/>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ChatGPT Business</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ChatGPT Enterprise</w:t>
            </w:r>
          </w:p>
        </w:tc>
        <w:tc>
          <w:tcPr>
            <w:tcW w:w="2295" w:type="dxa"/>
            <w:tcBorders>
              <w:top w:val="single" w:sz="6" w:space="0" w:color="E0E0E0"/>
              <w:left w:val="single" w:sz="6" w:space="0" w:color="E0E0E0"/>
              <w:bottom w:val="single" w:sz="6" w:space="0" w:color="E0E0E0"/>
              <w:right w:val="single" w:sz="6" w:space="0" w:color="E0E0E0"/>
            </w:tcBorders>
            <w:shd w:val="clear" w:color="auto" w:fill="E2F8E8"/>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Claude Team</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Claude Enterprise</w:t>
            </w:r>
          </w:p>
        </w:tc>
        <w:tc>
          <w:tcPr>
            <w:tcW w:w="2295" w:type="dxa"/>
            <w:tcBorders>
              <w:top w:val="single" w:sz="6" w:space="0" w:color="E0E0E0"/>
              <w:left w:val="single" w:sz="6" w:space="0" w:color="E0E0E0"/>
              <w:bottom w:val="single" w:sz="6" w:space="0" w:color="E0E0E0"/>
              <w:right w:val="single" w:sz="6" w:space="0" w:color="E0E0E0"/>
            </w:tcBorders>
            <w:shd w:val="clear" w:color="auto" w:fill="E2F8E8"/>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Cursor Teams</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Cursor Enterprise</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Admin UI: per-user usage view</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Yes - members, seat type, credits, messages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Yes - users, GPTs, projects, task insights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Yes - DAU/WAU/MAU, leaderboards, per-user spend</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Yes - same as Team plus more roles and filters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Yes - per-user lines, requests, models, modes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Yes - same as Teams plus AI Code Tracking dashboard</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CSV / spreadsheet export from UI</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Partial - member table visible, no documented CSV (see Notes)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Yes - on-demand CSV for Users, GPTs, Projects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Yes - per-user, per-model spend CSV (daily refresh, 1-day lag)</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Yes - same as Team plus all-activity exports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Yes - dashboard export available</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Yes - audit log CSV and analytics export</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Programmatic analytics API</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No</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No (analytics is UI/CSV; Compliance API is separate)</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No</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Yes - Enterprise Analytics API (per-user, multi-surface)</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Yes - Admin API (90-day window per request)</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Yes - Admin API + Analytics API (30-day window per request)</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Per-user attribution in data</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UI only</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UI/CSV only</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UI/CSV only</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Yes - via Analytics API user endpoint</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Yes - daily-usage and usage-events tagged by email</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Yes - all of Teams plus AI-to-commit attribution</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Per-request / event-level data</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No</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No (Compliance API has conversation records, not request metrics)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No</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No (Analytics aggregated; Compliance API for per-event records)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Yes - usage_events endpoint: model, tokens, cost, chargeable flag</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Yes - same as Teams</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Compliance / audit log API</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No</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Yes - Compliance API (conversations, files, metadata)</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No - basic admin activity only</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Yes - audit log export (180 days CSV) + Compliance API</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No - SSO IdP logs only on Teams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Yes - audit log (19 event types), CSV + SIEM/Webhook/S3 streaming</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SCIM</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No</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Yes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No</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Yes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No (SAML/OIDC SSO only)</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Yes</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Per-user / member spend caps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Workspace-level credit controls only</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Workspace-level (per-user caps not standard)</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No</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Yes - admins set user and org spend limits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Yes - set_spend_limit via Admin API (hard cap)</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Yes - all Teams features plus pricing-group rollups</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Department / group rollups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By SCIM groups (Enterprise feature)</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Yes - SCIM groups in analytics views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No</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Yes - via SCIM groups in Analytics API</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Billing groups (basic)</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Yes - Pricing Groups (Dec 2025), proper org-tree rollups</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Historical window for usage data</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Up to 12m in UI for Workspace Analytics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CSV export per week/month (custom ranges not supported)</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CSV refreshes daily; chat data 90d default</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180 days audit log; custom data retention</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Admin API: 90 days per request (paginate for more)</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Admin API 90d, Analytics API 30d per request</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Pricing (per seat / month, public)</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$25/seat (std) plus Codex credits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Sales-led, custom</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$30/seat</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Sales-led; $20/seat plus usage at API rates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$40/seat (formerly called “Business”)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Sales-led, custom</w:t>
            </w:r>
          </w:p>
        </w:tc>
      </w:tr>
    </w:tbl>
    <w:p>
      <w:pPr>
        <w:pStyle w:val="Heading2"/>
        <w:keepNext w:val="0"/>
        <w:keepLines w:val="0"/>
        <w:spacing w:before="180" w:after="180"/>
        <w:jc w:val="left"/>
        <w:rPr>
          <w:b/>
          <w:bCs/>
          <w:sz w:val="36"/>
          <w:szCs w:val="36"/>
        </w:rPr>
      </w:pPr>
      <w:r>
        <w:rPr>
          <w:rFonts w:ascii="Times New Roman" w:eastAsia="Times New Roman" w:hAnsi="Times New Roman" w:cs="Times New Roman"/>
          <w:b w:val="0"/>
          <w:bCs w:val="0"/>
          <w:i w:val="0"/>
          <w:color w:val="auto"/>
        </w:rPr>
        <w:t>Developer API platforms - capability matrix</w:t>
      </w:r>
    </w:p>
    <w:tbl>
      <w:tblPr>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Pr>
      <w:tblGrid>
        <w:gridCol w:w="1235"/>
        <w:gridCol w:w="4357"/>
        <w:gridCol w:w="3752"/>
      </w:tblGrid>
      <w:tr>
        <w:trPr>
          <w:trHeight w:val="540"/>
        </w:trPr>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Capability</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Anthropic Console (Admin API)</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OpenAI Developer Platform</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Usage endpoint</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/v1/organizations/usage_report/messages - token counts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/v1/organization/usage/completions (and per-feature variants)</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Cost endpoint</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/v1/organizations/cost_report (beta) - service-type breakdown</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/v1/organization/costs - reconciles to invoice</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Time bucket granularity</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1m / 1h / 1d</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1m / 1h / 1d</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Group / filter dimensions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API key, workspace, model, service tier, context window</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project_id, user_id, api_key_id, model, line_item</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Per-end-user attribution</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No - per-API-key only</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Yes - if app passes user_id with each request</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Audit log API</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Not as separate Admin endpoint (use Compliance API on Enterprise plans)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Yes - /v1/organization/audit_logs</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Admin API actions (users, projects, keys)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Limited - workspace and key management</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Full - invites, users, projects, API keys, service accounts</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Auth</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Admin API key (Organization scope)</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Admin API key (Org Owner only); cannot be used on data endpoints</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Aimed at</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FinOps, platform teams managing API spend</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FinOps, security teams, multi-tenant app builders</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Known gaps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No per-request granularity; no end-user dimension</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Per-user attribution requires apps to actively send user_id</w:t>
            </w:r>
          </w:p>
        </w:tc>
      </w:tr>
    </w:tbl>
    <w:p>
      <w:pPr>
        <w:pStyle w:val="Heading2"/>
        <w:keepNext w:val="0"/>
        <w:keepLines w:val="0"/>
        <w:spacing w:before="180" w:after="180"/>
        <w:jc w:val="left"/>
        <w:rPr>
          <w:b/>
          <w:bCs/>
          <w:sz w:val="36"/>
          <w:szCs w:val="36"/>
        </w:rPr>
      </w:pPr>
      <w:r>
        <w:rPr>
          <w:rFonts w:ascii="Times New Roman" w:eastAsia="Times New Roman" w:hAnsi="Times New Roman" w:cs="Times New Roman"/>
          <w:b w:val="0"/>
          <w:bCs w:val="0"/>
          <w:i w:val="0"/>
          <w:color w:val="auto"/>
        </w:rPr>
        <w:t>Notes &amp; caveats - flags where original claim needed adjustment or has ambiguity</w:t>
      </w:r>
    </w:p>
    <w:tbl>
      <w:tblPr>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Pr>
      <w:tblGrid>
        <w:gridCol w:w="2364"/>
        <w:gridCol w:w="1577"/>
        <w:gridCol w:w="5388"/>
      </w:tblGrid>
      <w:tr>
        <w:trPr>
          <w:trHeight w:val="540"/>
        </w:trPr>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Claim</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Verdict</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Source / detail</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ChatGPT Business has CSV export of workspace analytics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Unverified - likely UI only</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OpenAI help center says “Data export is not available in a ChatGPT Business workspace.” The CSV-export article (“on-demand CSV exports for Users, GPTs, and Projects”) is filed under “Workspace analytics for ChatGPT Enterprise and Edu”. Business release notes (April 2026) describe the member-level usage table but do not mention CSV export. Recommend confirming in your own tenant.</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Claude Team CSV Spend Report covers 90 days back</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Plausible but not explicitly documented</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Anthropic docs state spend refreshes daily with a 1-day lag and “provides per-user, per-model visibility within a selected time period”. A specific 90-day window for the spend export is not called out; 90 days is the default chat retention figure for Team. Worth opening the export UI to check what date range is selectable.</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Cursor Team Admin API has a 90-day window</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Correct - per Cursor docs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Cursor Admin API docs: “Date range cannot exceed 90 days. Make multiple requests for longer periods.” This applies to the Admin API on Teams. The Enterprise Analytics API is capped at 30 days per request.</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Anthropic Admin API has no end-user dimension</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Correct</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120" w:after="120"/>
              <w:jc w:val="left"/>
              <w:rPr>
                <w:b w:val="0"/>
                <w:bCs w:val="0"/>
                <w:i w:val="0"/>
                <w:iCs w:val="0"/>
                <w:smallCaps w:val="0"/>
                <w:color w:val="000000"/>
              </w:rPr>
            </w:pPr>
            <w:r>
              <w:rPr>
                <w:b w:val="0"/>
                <w:bCs w:val="0"/>
                <w:i w:val="0"/>
                <w:iCs w:val="0"/>
                <w:smallCaps w:val="0"/>
                <w:color w:val="000000"/>
              </w:rPr>
              <w:t>Admin Usage/Cost API groups by api_key, workspace, model, service_tier, context_window. Per-user attribution only via the separate Enterprise Analytics API (</w:t>
            </w:r>
            <w:hyperlink r:id="rId4" w:history="1">
              <w:r>
                <w:rPr>
                  <w:b w:val="0"/>
                  <w:bCs w:val="0"/>
                  <w:i w:val="0"/>
                  <w:iCs w:val="0"/>
                  <w:smallCaps w:val="0"/>
                  <w:color w:val="0000EE"/>
                  <w:u w:val="single" w:color="0000EE"/>
                </w:rPr>
                <w:t>Claude.ai</w:t>
              </w:r>
            </w:hyperlink>
            <w:r>
              <w:rPr>
                <w:b w:val="0"/>
                <w:bCs w:val="0"/>
                <w:i w:val="0"/>
                <w:iCs w:val="0"/>
                <w:smallCaps w:val="0"/>
                <w:color w:val="000000"/>
              </w:rPr>
              <w:t xml:space="preserve"> Enterprise plans).</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OpenAI Platform Usage API groups by project_id, user_id, api_key_id, model</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Correct</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OpenAI API reference confirms group_by accepts project_id, user_id, api_key_id, model, batch, service_tier; time buckets 1m/1h/1d. user_id only populates if the app sets the “user” field on each request.</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Claude Enterprise audit log retention is 180 days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Correct</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Anthropic support docs explicitly state Owners and Primary Owners can export audit logs covering the past 180 days. Some third-party writeups quote 30 days - those are wrong.</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Cursor Enterprise audit logs stream to SIEM/Webhook/S3</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Correct, but contact required</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Cursor Enterprise audit log supports SIEM/Webhook/S3 streaming; activation requires emailing Cursor (not self-serve in the dashboard at time of writing).</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Naming: Cursor “Team” plan</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Naming nuance</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On Cursor’s current pricing page the plan is labelled “Teams” (with an “s”). Some third-party writeups still call it “Business” from earlier naming. Same plan, $40/seat.</w:t>
            </w:r>
          </w:p>
        </w:tc>
      </w:tr>
    </w:tbl>
    <w:p/>
    <w:sectPr>
      <w:pgMar w:header="720" w:footer="72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multilevel"/>
    <w:tmpl w:val="00000001"/>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after="0"/>
      <w:outlineLvl w:val="0"/>
    </w:pPr>
    <w:rPr>
      <w:rFonts w:ascii="Times New Roman" w:eastAsia="Times New Roman" w:hAnsi="Times New Roman" w:cs="Times New Roman"/>
      <w:b/>
      <w:bCs/>
      <w:i w:val="0"/>
      <w:color w:val="2F5496" w:themeShade="BF"/>
      <w:kern w:val="36"/>
      <w:sz w:val="48"/>
      <w:szCs w:val="48"/>
    </w:rPr>
  </w:style>
  <w:style w:type="paragraph" w:styleId="Heading2">
    <w:name w:val="heading 2"/>
    <w:basedOn w:val="Normal"/>
    <w:next w:val="Normal"/>
    <w:link w:val="Heading2Char"/>
    <w:uiPriority w:val="9"/>
    <w:qFormat/>
    <w:rsid w:val="00506D7A"/>
    <w:pPr>
      <w:keepNext/>
      <w:keepLines/>
      <w:spacing w:before="40" w:after="0"/>
      <w:outlineLvl w:val="1"/>
    </w:pPr>
    <w:rPr>
      <w:rFonts w:ascii="Times New Roman" w:eastAsia="Times New Roman" w:hAnsi="Times New Roman" w:cs="Times New Roman"/>
      <w:b/>
      <w:bCs/>
      <w:i w:val="0"/>
      <w:color w:val="2F5496" w:themeShade="BF"/>
      <w:sz w:val="36"/>
      <w:szCs w:val="36"/>
    </w:rPr>
  </w:style>
  <w:style w:type="paragraph" w:styleId="Heading3">
    <w:name w:val="heading 3"/>
    <w:basedOn w:val="Normal"/>
    <w:next w:val="Normal"/>
    <w:link w:val="Heading3Char"/>
    <w:uiPriority w:val="9"/>
    <w:qFormat/>
    <w:rsid w:val="00506D7A"/>
    <w:pPr>
      <w:keepNext/>
      <w:keepLines/>
      <w:spacing w:before="40" w:after="0"/>
      <w:outlineLvl w:val="2"/>
    </w:pPr>
    <w:rPr>
      <w:rFonts w:ascii="Times New Roman" w:eastAsia="Times New Roman" w:hAnsi="Times New Roman" w:cs="Times New Roman"/>
      <w:b/>
      <w:bCs/>
      <w:i w:val="0"/>
      <w:color w:val="1F3763" w:themeShade="7F"/>
      <w:sz w:val="28"/>
      <w:szCs w:val="28"/>
    </w:rPr>
  </w:style>
  <w:style w:type="paragraph" w:styleId="Heading4">
    <w:name w:val="heading 4"/>
    <w:basedOn w:val="Normal"/>
    <w:next w:val="Normal"/>
    <w:link w:val="Heading4Char"/>
    <w:uiPriority w:val="9"/>
    <w:qFormat/>
    <w:rsid w:val="00506D7A"/>
    <w:pPr>
      <w:keepNext/>
      <w:keepLines/>
      <w:spacing w:before="40" w:after="0"/>
      <w:outlineLvl w:val="3"/>
    </w:pPr>
    <w:rPr>
      <w:rFonts w:ascii="Times New Roman" w:eastAsia="Times New Roman" w:hAnsi="Times New Roman" w:cs="Times New Roman"/>
      <w:b/>
      <w:bCs/>
      <w:i w:val="0"/>
      <w:iCs/>
      <w:color w:val="2F5496" w:themeShade="BF"/>
      <w:sz w:val="24"/>
      <w:szCs w:val="24"/>
    </w:rPr>
  </w:style>
  <w:style w:type="paragraph" w:styleId="Heading5">
    <w:name w:val="heading 5"/>
    <w:basedOn w:val="Normal"/>
    <w:next w:val="Normal"/>
    <w:link w:val="Heading5Char"/>
    <w:uiPriority w:val="9"/>
    <w:qFormat/>
    <w:rsid w:val="00506D7A"/>
    <w:pPr>
      <w:keepNext/>
      <w:keepLines/>
      <w:spacing w:before="40" w:after="0"/>
      <w:outlineLvl w:val="4"/>
    </w:pPr>
    <w:rPr>
      <w:rFonts w:ascii="Times New Roman" w:eastAsia="Times New Roman" w:hAnsi="Times New Roman" w:cs="Times New Roman"/>
      <w:b/>
      <w:bCs/>
      <w:i w:val="0"/>
      <w:color w:val="2F5496" w:themeShade="BF"/>
      <w:sz w:val="20"/>
      <w:szCs w:val="20"/>
    </w:rPr>
  </w:style>
  <w:style w:type="paragraph" w:styleId="Heading6">
    <w:name w:val="heading 6"/>
    <w:basedOn w:val="Normal"/>
    <w:next w:val="Normal"/>
    <w:link w:val="Heading6Char"/>
    <w:uiPriority w:val="9"/>
    <w:qFormat/>
    <w:rsid w:val="00506D7A"/>
    <w:pPr>
      <w:keepNext/>
      <w:keepLines/>
      <w:spacing w:before="40" w:after="0"/>
      <w:outlineLvl w:val="5"/>
    </w:pPr>
    <w:rPr>
      <w:rFonts w:ascii="Times New Roman" w:eastAsia="Times New Roman" w:hAnsi="Times New Roman" w:cs="Times New Roman"/>
      <w:b/>
      <w:bCs/>
      <w:i w:val="0"/>
      <w:color w:val="1F3763" w:themeShade="7F"/>
      <w:sz w:val="16"/>
      <w:szCs w:val="16"/>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http://Claude.ai" TargetMode="Externa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tool admin / usage analytics - plan comparison</dc:title>
  <cp:revision>0</cp:revision>
</cp:coreProperties>
</file>