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9.png" ContentType="image/png"/>
  <Override PartName="/word/media/rId42.png" ContentType="image/png"/>
  <Override PartName="/word/media/rId45.png" ContentType="image/png"/>
  <Override PartName="/word/media/rId48.png" ContentType="image/png"/>
  <Override PartName="/word/media/rId51.png" ContentType="image/png"/>
  <Override PartName="/word/media/rId23.png" ContentType="image/png"/>
  <Override PartName="/word/media/rId26.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RFA</w:t>
      </w:r>
      <w:r>
        <w:t xml:space="preserve"> </w:t>
      </w:r>
      <w:r>
        <w:t xml:space="preserve">15:</w:t>
      </w:r>
      <w:r>
        <w:t xml:space="preserve"> </w:t>
      </w:r>
      <w:r>
        <w:t xml:space="preserve">MOXSI</w:t>
      </w:r>
      <w:r>
        <w:t xml:space="preserve"> </w:t>
      </w:r>
      <w:r>
        <w:t xml:space="preserve">Abundance</w:t>
      </w:r>
      <w:r>
        <w:t xml:space="preserve"> </w:t>
      </w:r>
      <w:r>
        <w:t xml:space="preserve">Diagnostics</w:t>
      </w:r>
      <w:r>
        <w:t xml:space="preserve"> </w:t>
      </w:r>
      <w:r>
        <w:t xml:space="preserve">in</w:t>
      </w:r>
      <w:r>
        <w:t xml:space="preserve"> </w:t>
      </w:r>
      <w:r>
        <w:t xml:space="preserve">Active</w:t>
      </w:r>
      <w:r>
        <w:t xml:space="preserve"> </w:t>
      </w:r>
      <w:r>
        <w:t xml:space="preserve">Regions</w:t>
      </w:r>
    </w:p>
    <w:p>
      <w:pPr>
        <w:pStyle w:val="Author"/>
      </w:pPr>
      <w:r>
        <w:t xml:space="preserve">Will</w:t>
      </w:r>
      <w:r>
        <w:t xml:space="preserve"> </w:t>
      </w:r>
      <w:r>
        <w:t xml:space="preserve">Barnes</w:t>
      </w:r>
    </w:p>
    <w:p>
      <w:pPr>
        <w:pStyle w:val="Author"/>
      </w:pPr>
      <w:r>
        <w:t xml:space="preserve">Albert</w:t>
      </w:r>
      <w:r>
        <w:t xml:space="preserve"> </w:t>
      </w:r>
      <w:r>
        <w:t xml:space="preserve">Shih</w:t>
      </w:r>
    </w:p>
    <w:p>
      <w:pPr>
        <w:pStyle w:val="Author"/>
      </w:pPr>
      <w:r>
        <w:t xml:space="preserve">Jake</w:t>
      </w:r>
      <w:r>
        <w:t xml:space="preserve"> </w:t>
      </w:r>
      <w:r>
        <w:t xml:space="preserve">Parker</w:t>
      </w:r>
    </w:p>
    <w:p>
      <w:pPr>
        <w:pStyle w:val="Date"/>
      </w:pPr>
      <w:r>
        <w:t xml:space="preserve">2025-01-29</w:t>
      </w:r>
    </w:p>
    <w:bookmarkStart w:id="22" w:name="summary"/>
    <w:p>
      <w:pPr>
        <w:pStyle w:val="Heading2"/>
      </w:pPr>
      <w:r>
        <w:t xml:space="preserve">Summary</w:t>
      </w:r>
    </w:p>
    <w:p>
      <w:pPr>
        <w:numPr>
          <w:ilvl w:val="0"/>
          <w:numId w:val="1001"/>
        </w:numPr>
        <w:pStyle w:val="Compact"/>
      </w:pPr>
      <w:r>
        <w:t xml:space="preserve">number: 15</w:t>
      </w:r>
    </w:p>
    <w:p>
      <w:pPr>
        <w:numPr>
          <w:ilvl w:val="0"/>
          <w:numId w:val="1001"/>
        </w:numPr>
        <w:pStyle w:val="Compact"/>
      </w:pPr>
      <w:r>
        <w:t xml:space="preserve">type: RFA</w:t>
      </w:r>
    </w:p>
    <w:p>
      <w:pPr>
        <w:numPr>
          <w:ilvl w:val="0"/>
          <w:numId w:val="1001"/>
        </w:numPr>
        <w:pStyle w:val="Compact"/>
      </w:pPr>
      <w:r>
        <w:t xml:space="preserve">category: Instrument systems</w:t>
      </w:r>
    </w:p>
    <w:p>
      <w:pPr>
        <w:numPr>
          <w:ilvl w:val="0"/>
          <w:numId w:val="1001"/>
        </w:numPr>
        <w:pStyle w:val="Compact"/>
      </w:pPr>
      <w:r>
        <w:t xml:space="preserve">name: SNR Calculations</w:t>
      </w:r>
    </w:p>
    <w:bookmarkStart w:id="20" w:name="request"/>
    <w:p>
      <w:pPr>
        <w:pStyle w:val="Heading3"/>
      </w:pPr>
      <w:r>
        <w:t xml:space="preserve">Request</w:t>
      </w:r>
    </w:p>
    <w:p>
      <w:pPr>
        <w:pStyle w:val="FirstParagraph"/>
      </w:pPr>
      <w:r>
        <w:t xml:space="preserve">Provide SNR calculations for full wavelength range for AR case. Demonstrate the abundance sensitivity.</w:t>
      </w:r>
    </w:p>
    <w:bookmarkEnd w:id="20"/>
    <w:bookmarkStart w:id="21" w:name="comment"/>
    <w:p>
      <w:pPr>
        <w:pStyle w:val="Heading3"/>
      </w:pPr>
      <w:r>
        <w:t xml:space="preserve">Comment</w:t>
      </w:r>
    </w:p>
    <w:p>
      <w:pPr>
        <w:pStyle w:val="FirstParagraph"/>
      </w:pPr>
      <w:r>
        <w:t xml:space="preserve">The SNR looked quite low for the portion of the detector shown for the AR case. Please demonstrate you have adequate SNR for abundance calculations.</w:t>
      </w:r>
    </w:p>
    <w:bookmarkEnd w:id="21"/>
    <w:bookmarkEnd w:id="22"/>
    <w:bookmarkStart w:id="32" w:name="Xa774c269d90a580fd5b8b1456c6538176da184d"/>
    <w:p>
      <w:pPr>
        <w:pStyle w:val="Heading2"/>
      </w:pPr>
      <w:r>
        <w:t xml:space="preserve">Selecting Line Pairs for Abundance Diagnostics</w:t>
      </w:r>
    </w:p>
    <w:p>
      <w:pPr>
        <w:numPr>
          <w:ilvl w:val="0"/>
          <w:numId w:val="1002"/>
        </w:numPr>
        <w:pStyle w:val="Compact"/>
      </w:pPr>
      <w:r>
        <w:t xml:space="preserve">Low-FIP elements:</w:t>
      </w:r>
      <w:r>
        <w:t xml:space="preserve"> </w:t>
      </w:r>
      <w:r>
        <w:rPr>
          <w:iCs/>
          <w:i/>
        </w:rPr>
        <w:t xml:space="preserve">enhanced at coronal abundances</w:t>
      </w:r>
    </w:p>
    <w:p>
      <w:pPr>
        <w:numPr>
          <w:ilvl w:val="0"/>
          <w:numId w:val="1002"/>
        </w:numPr>
        <w:pStyle w:val="Compact"/>
      </w:pPr>
      <w:r>
        <w:t xml:space="preserve">High-FIP elements:</w:t>
      </w:r>
      <w:r>
        <w:t xml:space="preserve"> </w:t>
      </w:r>
      <w:r>
        <w:rPr>
          <w:iCs/>
          <w:i/>
        </w:rPr>
        <w:t xml:space="preserve">little change from coronal to photospheric abundances</w:t>
      </w:r>
    </w:p>
    <w:p>
      <w:pPr>
        <w:numPr>
          <w:ilvl w:val="0"/>
          <w:numId w:val="1002"/>
        </w:numPr>
        <w:pStyle w:val="Compact"/>
      </w:pPr>
      <w:r>
        <w:rPr>
          <w:bCs/>
          <w:b/>
        </w:rPr>
        <w:t xml:space="preserve">Goal: Estimate abundances by measuring ratios of high- and low-FIP lines</w:t>
      </w:r>
    </w:p>
    <w:p>
      <w:pPr>
        <w:numPr>
          <w:ilvl w:val="0"/>
          <w:numId w:val="1002"/>
        </w:numPr>
        <w:pStyle w:val="Compact"/>
      </w:pPr>
      <w:r>
        <w:t xml:space="preserve">Requires:</w:t>
      </w:r>
    </w:p>
    <w:p>
      <w:pPr>
        <w:numPr>
          <w:ilvl w:val="1"/>
          <w:numId w:val="1003"/>
        </w:numPr>
        <w:pStyle w:val="Compact"/>
      </w:pPr>
      <w:r>
        <w:t xml:space="preserve">Pairs of high- and low-FIP lines</w:t>
      </w:r>
    </w:p>
    <w:p>
      <w:pPr>
        <w:numPr>
          <w:ilvl w:val="1"/>
          <w:numId w:val="1003"/>
        </w:numPr>
        <w:pStyle w:val="Compact"/>
      </w:pPr>
      <w:r>
        <w:t xml:space="preserve">With overlapping thermal sensitivity</w:t>
      </w:r>
    </w:p>
    <w:p>
      <w:pPr>
        <w:numPr>
          <w:ilvl w:val="1"/>
          <w:numId w:val="1003"/>
        </w:numPr>
        <w:pStyle w:val="Compact"/>
      </w:pPr>
      <w:r>
        <w:t xml:space="preserve">That are sufficiently strong and</w:t>
      </w:r>
    </w:p>
    <w:p>
      <w:pPr>
        <w:numPr>
          <w:ilvl w:val="1"/>
          <w:numId w:val="1003"/>
        </w:numPr>
        <w:pStyle w:val="Compact"/>
      </w:pPr>
      <w:r>
        <w:t xml:space="preserve">Have minimal blends</w:t>
      </w:r>
    </w:p>
    <w:tbl>
      <w:tblPr>
        <w:tblStyle w:val="Table"/>
        <w:tblW w:type="pct" w:w="5000"/>
        <w:tblLook w:firstRow="0" w:lastRow="0" w:firstColumn="0" w:lastColumn="0" w:noHBand="0" w:noVBand="0" w:val="0000"/>
        <w:jc w:val="start"/>
      </w:tblPr>
      <w:tblGrid>
        <w:gridCol w:w="7920"/>
      </w:tblGrid>
      <w:tr>
        <w:tc>
          <w:tcPr/>
          <w:p>
            <w:pPr>
              <w:jc w:val="center"/>
            </w:pPr>
            <w:r>
              <w:drawing>
                <wp:inline>
                  <wp:extent cx="5334000" cy="2811780"/>
                  <wp:effectExtent b="0" l="0" r="0" t="0"/>
                  <wp:docPr descr="" title="" id="24" name="Picture"/>
                  <a:graphic>
                    <a:graphicData uri="http://schemas.openxmlformats.org/drawingml/2006/picture">
                      <pic:pic>
                        <pic:nvPicPr>
                          <pic:cNvPr descr="rfa-abundance-report_files/figure-docx/cell-5-output-1.png" id="25" name="Picture"/>
                          <pic:cNvPicPr>
                            <a:picLocks noChangeArrowheads="1" noChangeAspect="1"/>
                          </pic:cNvPicPr>
                        </pic:nvPicPr>
                        <pic:blipFill>
                          <a:blip r:embed="rId23"/>
                          <a:stretch>
                            <a:fillRect/>
                          </a:stretch>
                        </pic:blipFill>
                        <pic:spPr bwMode="auto">
                          <a:xfrm>
                            <a:off x="0" y="0"/>
                            <a:ext cx="5334000" cy="2811780"/>
                          </a:xfrm>
                          <a:prstGeom prst="rect">
                            <a:avLst/>
                          </a:prstGeom>
                          <a:noFill/>
                          <a:ln w="9525">
                            <a:noFill/>
                            <a:headEnd/>
                            <a:tailEnd/>
                          </a:ln>
                        </pic:spPr>
                      </pic:pic>
                    </a:graphicData>
                  </a:graphic>
                </wp:inline>
              </w:drawing>
            </w:r>
          </w:p>
          <w:p>
            <w:pPr>
              <w:jc w:val="center"/>
            </w:pPr>
            <w:pPr>
              <w:jc w:val="start"/>
              <w:spacing w:before="200"/>
              <w:pStyle w:val="ImageCaption"/>
            </w:pPr>
            <w:r>
              <w:t xml:space="preserve">Coronal-to-photospheric abundance ratio or FIP ratio as function for first ionization potential (FIP) for all elements in CHIANTI.</w:t>
            </w:r>
          </w:p>
        </w:tc>
      </w:tr>
    </w:tbl>
    <w:p>
      <w:pPr>
        <w:pStyle w:val="BodyText"/>
      </w:pPr>
      <w:r>
        <w:t xml:space="preserve"> </w:t>
      </w:r>
    </w:p>
    <w:tbl>
      <w:tblPr>
        <w:tblStyle w:val="Table"/>
        <w:tblW w:type="pct" w:w="5000"/>
        <w:tblLook w:firstRow="0" w:lastRow="0" w:firstColumn="0" w:lastColumn="0" w:noHBand="0" w:noVBand="0" w:val="0000"/>
        <w:jc w:val="start"/>
      </w:tblPr>
      <w:tblGrid>
        <w:gridCol w:w="7920"/>
      </w:tblGrid>
      <w:tr>
        <w:tc>
          <w:tcPr/>
          <w:p>
            <w:pPr>
              <w:jc w:val="center"/>
            </w:pPr>
            <w:r>
              <w:drawing>
                <wp:inline>
                  <wp:extent cx="5334000" cy="2865248"/>
                  <wp:effectExtent b="0" l="0" r="0" t="0"/>
                  <wp:docPr descr="" title="" id="27" name="Picture"/>
                  <a:graphic>
                    <a:graphicData uri="http://schemas.openxmlformats.org/drawingml/2006/picture">
                      <pic:pic>
                        <pic:nvPicPr>
                          <pic:cNvPr descr="rfa-abundance-report_files/figure-docx/cell-8-output-1.png" id="28" name="Picture"/>
                          <pic:cNvPicPr>
                            <a:picLocks noChangeArrowheads="1" noChangeAspect="1"/>
                          </pic:cNvPicPr>
                        </pic:nvPicPr>
                        <pic:blipFill>
                          <a:blip r:embed="rId26"/>
                          <a:stretch>
                            <a:fillRect/>
                          </a:stretch>
                        </pic:blipFill>
                        <pic:spPr bwMode="auto">
                          <a:xfrm>
                            <a:off x="0" y="0"/>
                            <a:ext cx="5334000" cy="2865248"/>
                          </a:xfrm>
                          <a:prstGeom prst="rect">
                            <a:avLst/>
                          </a:prstGeom>
                          <a:noFill/>
                          <a:ln w="9525">
                            <a:noFill/>
                            <a:headEnd/>
                            <a:tailEnd/>
                          </a:ln>
                        </pic:spPr>
                      </pic:pic>
                    </a:graphicData>
                  </a:graphic>
                </wp:inline>
              </w:drawing>
            </w:r>
          </w:p>
          <w:p>
            <w:pPr>
              <w:jc w:val="center"/>
            </w:pPr>
            <w:pPr>
              <w:jc w:val="start"/>
              <w:spacing w:before="200"/>
              <w:pStyle w:val="ImageCaption"/>
            </w:pPr>
            <w:r>
              <w:t xml:space="preserve">Contribution functions for the four selected diagnostic lines. These four lines represent pairs of high- and low-FIP elements with overlapping thermal sensitivity. The solid lines denote coronal abundances and the dashed lines denote photospheric abundances.</w:t>
            </w:r>
          </w:p>
        </w:tc>
      </w:tr>
    </w:tbl>
    <w:p>
      <w:pPr>
        <w:pStyle w:val="BodyText"/>
      </w:pPr>
      <w:r>
        <w:t xml:space="preserve">To illustrate the usefulness of these line pairs, we can look at the ratios between these contribution functions at the relevant temperatures.</w:t>
      </w:r>
    </w:p>
    <w:tbl>
      <w:tblPr>
        <w:tblStyle w:val="Table"/>
        <w:tblW w:type="pct" w:w="5000"/>
        <w:tblLook w:firstRow="0" w:lastRow="0" w:firstColumn="0" w:lastColumn="0" w:noHBand="0" w:noVBand="0" w:val="0000"/>
        <w:jc w:val="start"/>
      </w:tblPr>
      <w:tblGrid>
        <w:gridCol w:w="7920"/>
      </w:tblGrid>
      <w:tr>
        <w:tc>
          <w:tcPr/>
          <w:p>
            <w:pPr>
              <w:jc w:val="center"/>
            </w:pPr>
            <w:r>
              <w:drawing>
                <wp:inline>
                  <wp:extent cx="5334000" cy="2750005"/>
                  <wp:effectExtent b="0" l="0" r="0" t="0"/>
                  <wp:docPr descr="" title="" id="30" name="Picture"/>
                  <a:graphic>
                    <a:graphicData uri="http://schemas.openxmlformats.org/drawingml/2006/picture">
                      <pic:pic>
                        <pic:nvPicPr>
                          <pic:cNvPr descr="rfa-abundance-report_files/figure-docx/cell-9-output-1.png" id="31" name="Picture"/>
                          <pic:cNvPicPr>
                            <a:picLocks noChangeArrowheads="1" noChangeAspect="1"/>
                          </pic:cNvPicPr>
                        </pic:nvPicPr>
                        <pic:blipFill>
                          <a:blip r:embed="rId29"/>
                          <a:stretch>
                            <a:fillRect/>
                          </a:stretch>
                        </pic:blipFill>
                        <pic:spPr bwMode="auto">
                          <a:xfrm>
                            <a:off x="0" y="0"/>
                            <a:ext cx="5334000" cy="2750005"/>
                          </a:xfrm>
                          <a:prstGeom prst="rect">
                            <a:avLst/>
                          </a:prstGeom>
                          <a:noFill/>
                          <a:ln w="9525">
                            <a:noFill/>
                            <a:headEnd/>
                            <a:tailEnd/>
                          </a:ln>
                        </pic:spPr>
                      </pic:pic>
                    </a:graphicData>
                  </a:graphic>
                </wp:inline>
              </w:drawing>
            </w:r>
          </w:p>
          <w:p>
            <w:pPr>
              <w:jc w:val="center"/>
            </w:pPr>
            <w:pPr>
              <w:jc w:val="start"/>
              <w:spacing w:before="200"/>
              <w:pStyle w:val="ImageCaption"/>
            </w:pPr>
            <w:r>
              <w:t xml:space="preserve">Contribution function ratios for the two line ratio diagnostics: Fe XVII 15.01 Å/Ne X 12.13 Å (</w:t>
            </w:r>
            <w:r>
              <w:t xml:space="preserve">‘</w:t>
            </w:r>
            <w:r>
              <w:t xml:space="preserve">hot</w:t>
            </w:r>
            <w:r>
              <w:t xml:space="preserve">’</w:t>
            </w:r>
            <w:r>
              <w:t xml:space="preserve">) and O VII 21.60 Å/Si XII 44.16 Å (</w:t>
            </w:r>
            <w:r>
              <w:t xml:space="preserve">‘</w:t>
            </w:r>
            <w:r>
              <w:t xml:space="preserve">cool</w:t>
            </w:r>
            <w:r>
              <w:t xml:space="preserve">’</w:t>
            </w:r>
            <w:r>
              <w:t xml:space="preserve">). The dashed and dotted lines denote the temperatures at which the pairs of contributions functions are at their maximum. Note that the ratios are most flat near these temperatures.</w:t>
            </w:r>
          </w:p>
        </w:tc>
      </w:tr>
    </w:tbl>
    <w:bookmarkEnd w:id="32"/>
    <w:bookmarkStart w:id="34" w:name="X2bba27412b85d3395fe14921d96c45b12cbf969"/>
    <w:p>
      <w:pPr>
        <w:pStyle w:val="Heading2"/>
      </w:pPr>
      <w:r>
        <w:t xml:space="preserve">Estimating Line Intensities as Observed by MOXSI</w:t>
      </w:r>
    </w:p>
    <w:p>
      <w:pPr>
        <w:pStyle w:val="FirstParagraph"/>
      </w:pPr>
      <w:r>
        <w:t xml:space="preserve">We can compute the intensities first using an estimate of our active region DEM combined with our knowledge of the effective area and the contribution functions we’ve computed above.</w:t>
      </w:r>
    </w:p>
    <w:bookmarkStart w:id="33" w:name="simple-throughput-estimates"/>
    <w:p>
      <w:pPr>
        <w:pStyle w:val="TableCaption"/>
      </w:pPr>
      <w:r>
        <w:t xml:space="preserve">Estimates of MOXSI throughput for relevant spectral lines</w:t>
      </w:r>
      <w:r>
        <w:t xml:space="preserve"> </w:t>
      </w:r>
    </w:p>
    <w:tbl>
      <w:tblPr>
        <w:tblStyle w:val="Table"/>
        <w:tblW w:type="auto" w:w="0"/>
        <w:tblLook w:firstRow="1" w:lastRow="0" w:firstColumn="0" w:lastColumn="0" w:noHBand="0" w:noVBand="0" w:val="0020"/>
        <w:jc w:val="start"/>
        <w:tblCaption w:val="Estimates of MOXSI throughput for relevant spectral lines "/>
      </w:tblPr>
      <w:tblGrid>
        <w:gridCol w:w="1980"/>
        <w:gridCol w:w="1980"/>
        <w:gridCol w:w="1980"/>
        <w:gridCol w:w="1980"/>
      </w:tblGrid>
      <w:tr>
        <w:trPr>
          <w:tblHeader w:val="true"/>
        </w:trPr>
        <w:tc>
          <w:tcPr/>
          <w:p>
            <w:pPr>
              <w:pStyle w:val="Compact"/>
              <w:jc w:val="left"/>
            </w:pPr>
            <w:r>
              <w:t xml:space="preserve">Ion</w:t>
            </w:r>
          </w:p>
        </w:tc>
        <w:tc>
          <w:tcPr/>
          <w:p>
            <w:pPr>
              <w:pStyle w:val="Compact"/>
              <w:jc w:val="right"/>
            </w:pPr>
            <w:r>
              <w:t xml:space="preserve">Wavelength [Å]</w:t>
            </w:r>
          </w:p>
        </w:tc>
        <w:tc>
          <w:tcPr/>
          <w:p>
            <w:pPr>
              <w:pStyle w:val="Compact"/>
              <w:jc w:val="right"/>
            </w:pPr>
            <w:r>
              <w:t xml:space="preserve">Coronal [ph]</w:t>
            </w:r>
          </w:p>
        </w:tc>
        <w:tc>
          <w:tcPr/>
          <w:p>
            <w:pPr>
              <w:pStyle w:val="Compact"/>
              <w:jc w:val="right"/>
            </w:pPr>
            <w:r>
              <w:t xml:space="preserve">Photospheric [ph]</w:t>
            </w:r>
          </w:p>
        </w:tc>
      </w:tr>
      <w:tr>
        <w:tc>
          <w:tcPr/>
          <w:p>
            <w:pPr>
              <w:pStyle w:val="Compact"/>
              <w:jc w:val="left"/>
            </w:pPr>
            <w:r>
              <w:t xml:space="preserve">Ne 10</w:t>
            </w:r>
          </w:p>
        </w:tc>
        <w:tc>
          <w:tcPr/>
          <w:p>
            <w:pPr>
              <w:pStyle w:val="Compact"/>
              <w:jc w:val="right"/>
            </w:pPr>
            <w:r>
              <w:t xml:space="preserve">12.1321</w:t>
            </w:r>
          </w:p>
        </w:tc>
        <w:tc>
          <w:tcPr/>
          <w:p>
            <w:pPr>
              <w:pStyle w:val="Compact"/>
              <w:jc w:val="right"/>
            </w:pPr>
            <w:r>
              <w:t xml:space="preserve">123.492</w:t>
            </w:r>
          </w:p>
        </w:tc>
        <w:tc>
          <w:tcPr/>
          <w:p>
            <w:pPr>
              <w:pStyle w:val="Compact"/>
              <w:jc w:val="right"/>
            </w:pPr>
            <w:r>
              <w:t xml:space="preserve">87.4259</w:t>
            </w:r>
          </w:p>
        </w:tc>
      </w:tr>
      <w:tr>
        <w:tc>
          <w:tcPr/>
          <w:p>
            <w:pPr>
              <w:pStyle w:val="Compact"/>
              <w:jc w:val="left"/>
            </w:pPr>
            <w:r>
              <w:t xml:space="preserve">Fe 17</w:t>
            </w:r>
          </w:p>
        </w:tc>
        <w:tc>
          <w:tcPr/>
          <w:p>
            <w:pPr>
              <w:pStyle w:val="Compact"/>
              <w:jc w:val="right"/>
            </w:pPr>
            <w:r>
              <w:t xml:space="preserve">15.0129</w:t>
            </w:r>
          </w:p>
        </w:tc>
        <w:tc>
          <w:tcPr/>
          <w:p>
            <w:pPr>
              <w:pStyle w:val="Compact"/>
              <w:jc w:val="right"/>
            </w:pPr>
            <w:r>
              <w:t xml:space="preserve">2042.7</w:t>
            </w:r>
          </w:p>
        </w:tc>
        <w:tc>
          <w:tcPr/>
          <w:p>
            <w:pPr>
              <w:pStyle w:val="Compact"/>
              <w:jc w:val="right"/>
            </w:pPr>
            <w:r>
              <w:t xml:space="preserve">478.855</w:t>
            </w:r>
          </w:p>
        </w:tc>
      </w:tr>
      <w:tr>
        <w:tc>
          <w:tcPr/>
          <w:p>
            <w:pPr>
              <w:pStyle w:val="Compact"/>
              <w:jc w:val="left"/>
            </w:pPr>
            <w:r>
              <w:t xml:space="preserve">O 7</w:t>
            </w:r>
          </w:p>
        </w:tc>
        <w:tc>
          <w:tcPr/>
          <w:p>
            <w:pPr>
              <w:pStyle w:val="Compact"/>
              <w:jc w:val="right"/>
            </w:pPr>
            <w:r>
              <w:t xml:space="preserve">21.601</w:t>
            </w:r>
          </w:p>
        </w:tc>
        <w:tc>
          <w:tcPr/>
          <w:p>
            <w:pPr>
              <w:pStyle w:val="Compact"/>
              <w:jc w:val="right"/>
            </w:pPr>
            <w:r>
              <w:t xml:space="preserve">1123.45</w:t>
            </w:r>
          </w:p>
        </w:tc>
        <w:tc>
          <w:tcPr/>
          <w:p>
            <w:pPr>
              <w:pStyle w:val="Compact"/>
              <w:jc w:val="right"/>
            </w:pPr>
            <w:r>
              <w:t xml:space="preserve">708.85</w:t>
            </w:r>
          </w:p>
        </w:tc>
      </w:tr>
      <w:tr>
        <w:tc>
          <w:tcPr/>
          <w:p>
            <w:pPr>
              <w:pStyle w:val="Compact"/>
              <w:jc w:val="left"/>
            </w:pPr>
            <w:r>
              <w:t xml:space="preserve">Si 12</w:t>
            </w:r>
          </w:p>
        </w:tc>
        <w:tc>
          <w:tcPr/>
          <w:p>
            <w:pPr>
              <w:pStyle w:val="Compact"/>
              <w:jc w:val="right"/>
            </w:pPr>
            <w:r>
              <w:t xml:space="preserve">44.16</w:t>
            </w:r>
          </w:p>
        </w:tc>
        <w:tc>
          <w:tcPr/>
          <w:p>
            <w:pPr>
              <w:pStyle w:val="Compact"/>
              <w:jc w:val="right"/>
            </w:pPr>
            <w:r>
              <w:t xml:space="preserve">561.971</w:t>
            </w:r>
          </w:p>
        </w:tc>
        <w:tc>
          <w:tcPr/>
          <w:p>
            <w:pPr>
              <w:pStyle w:val="Compact"/>
              <w:jc w:val="right"/>
            </w:pPr>
            <w:r>
              <w:t xml:space="preserve">144.449</w:t>
            </w:r>
          </w:p>
        </w:tc>
      </w:tr>
    </w:tbl>
    <w:bookmarkEnd w:id="33"/>
    <w:p>
      <w:pPr>
        <w:pStyle w:val="BodyText"/>
      </w:pPr>
      <w:r>
        <w:t xml:space="preserve">We note that from these modeled intensity estimates we recovered the expected FIP ratios for both line pairs.</w:t>
      </w:r>
    </w:p>
    <w:p>
      <w:pPr>
        <w:pStyle w:val="SourceCode"/>
      </w:pPr>
      <w:r>
        <w:rPr>
          <w:rStyle w:val="NormalTok"/>
        </w:rPr>
        <w:t xml:space="preserve">table[</w:t>
      </w:r>
      <w:r>
        <w:rPr>
          <w:rStyle w:val="DecValTok"/>
        </w:rPr>
        <w:t xml:space="preserve">1</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table[</w:t>
      </w:r>
      <w:r>
        <w:rPr>
          <w:rStyle w:val="DecValTok"/>
        </w:rPr>
        <w:t xml:space="preserve">0</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(table[</w:t>
      </w:r>
      <w:r>
        <w:rPr>
          <w:rStyle w:val="DecValTok"/>
        </w:rPr>
        <w:t xml:space="preserve">1</w:t>
      </w:r>
      <w:r>
        <w:rPr>
          <w:rStyle w:val="NormalTok"/>
        </w:rPr>
        <w:t xml:space="preserve">][</w:t>
      </w:r>
      <w:r>
        <w:rPr>
          <w:rStyle w:val="DecValTok"/>
        </w:rPr>
        <w:t xml:space="preserve">3</w:t>
      </w:r>
      <w:r>
        <w:rPr>
          <w:rStyle w:val="NormalTok"/>
        </w:rPr>
        <w:t xml:space="preserve">] </w:t>
      </w:r>
      <w:r>
        <w:rPr>
          <w:rStyle w:val="OperatorTok"/>
        </w:rPr>
        <w:t xml:space="preserve">/</w:t>
      </w:r>
      <w:r>
        <w:rPr>
          <w:rStyle w:val="NormalTok"/>
        </w:rPr>
        <w:t xml:space="preserve"> table[</w:t>
      </w:r>
      <w:r>
        <w:rPr>
          <w:rStyle w:val="DecValTok"/>
        </w:rPr>
        <w:t xml:space="preserve">0</w:t>
      </w:r>
      <w:r>
        <w:rPr>
          <w:rStyle w:val="NormalTok"/>
        </w:rPr>
        <w:t xml:space="preserve">][</w:t>
      </w:r>
      <w:r>
        <w:rPr>
          <w:rStyle w:val="DecValTok"/>
        </w:rPr>
        <w:t xml:space="preserve">3</w:t>
      </w:r>
      <w:r>
        <w:rPr>
          <w:rStyle w:val="NormalTok"/>
        </w:rPr>
        <w:t xml:space="preserve">])</w:t>
      </w:r>
    </w:p>
    <w:p>
      <w:pPr>
        <w:pStyle w:val="SourceCode"/>
      </w:pPr>
      <w:r>
        <w:rPr>
          <w:rStyle w:val="VerbatimChar"/>
        </w:rPr>
        <w:t xml:space="preserve">array([3.01995172])</w:t>
      </w:r>
    </w:p>
    <w:p>
      <w:pPr>
        <w:pStyle w:val="SourceCode"/>
      </w:pPr>
      <w:r>
        <w:rPr>
          <w:rStyle w:val="NormalTok"/>
        </w:rPr>
        <w:t xml:space="preserve">table[</w:t>
      </w:r>
      <w:r>
        <w:rPr>
          <w:rStyle w:val="DecValTok"/>
        </w:rPr>
        <w:t xml:space="preserve">3</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table[</w:t>
      </w:r>
      <w:r>
        <w:rPr>
          <w:rStyle w:val="DecValTok"/>
        </w:rPr>
        <w:t xml:space="preserve">2</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(table[</w:t>
      </w:r>
      <w:r>
        <w:rPr>
          <w:rStyle w:val="DecValTok"/>
        </w:rPr>
        <w:t xml:space="preserve">3</w:t>
      </w:r>
      <w:r>
        <w:rPr>
          <w:rStyle w:val="NormalTok"/>
        </w:rPr>
        <w:t xml:space="preserve">][</w:t>
      </w:r>
      <w:r>
        <w:rPr>
          <w:rStyle w:val="DecValTok"/>
        </w:rPr>
        <w:t xml:space="preserve">3</w:t>
      </w:r>
      <w:r>
        <w:rPr>
          <w:rStyle w:val="NormalTok"/>
        </w:rPr>
        <w:t xml:space="preserve">] </w:t>
      </w:r>
      <w:r>
        <w:rPr>
          <w:rStyle w:val="OperatorTok"/>
        </w:rPr>
        <w:t xml:space="preserve">/</w:t>
      </w:r>
      <w:r>
        <w:rPr>
          <w:rStyle w:val="NormalTok"/>
        </w:rPr>
        <w:t xml:space="preserve"> table[</w:t>
      </w:r>
      <w:r>
        <w:rPr>
          <w:rStyle w:val="DecValTok"/>
        </w:rPr>
        <w:t xml:space="preserve">2</w:t>
      </w:r>
      <w:r>
        <w:rPr>
          <w:rStyle w:val="NormalTok"/>
        </w:rPr>
        <w:t xml:space="preserve">][</w:t>
      </w:r>
      <w:r>
        <w:rPr>
          <w:rStyle w:val="DecValTok"/>
        </w:rPr>
        <w:t xml:space="preserve">3</w:t>
      </w:r>
      <w:r>
        <w:rPr>
          <w:rStyle w:val="NormalTok"/>
        </w:rPr>
        <w:t xml:space="preserve">])</w:t>
      </w:r>
    </w:p>
    <w:p>
      <w:pPr>
        <w:pStyle w:val="SourceCode"/>
      </w:pPr>
      <w:r>
        <w:rPr>
          <w:rStyle w:val="VerbatimChar"/>
        </w:rPr>
        <w:t xml:space="preserve">array([2.45470892])</w:t>
      </w:r>
    </w:p>
    <w:bookmarkEnd w:id="34"/>
    <w:bookmarkStart w:id="38" w:name="Xeeb2c8b81b9b16fce238c555eae01c1872b18c7"/>
    <w:p>
      <w:pPr>
        <w:pStyle w:val="Heading2"/>
      </w:pPr>
      <w:r>
        <w:t xml:space="preserve">Estimating Intensity Ratios from MOXSI Forward Model</w:t>
      </w:r>
    </w:p>
    <w:p>
      <w:pPr>
        <w:pStyle w:val="FirstParagraph"/>
      </w:pPr>
      <w:r>
        <w:t xml:space="preserve">Next, we can compute the intensity ratios from our forward modeled spectra. We model the spectra of individual elements so as to better illustrate how particular ions are observed by MOXSI without the contamination of the continuum.</w:t>
      </w:r>
    </w:p>
    <w:tbl>
      <w:tblPr>
        <w:tblStyle w:val="Table"/>
        <w:tblW w:type="pct" w:w="5000"/>
        <w:tblLook w:firstRow="0" w:lastRow="0" w:firstColumn="0" w:lastColumn="0" w:noHBand="0" w:noVBand="0" w:val="0000"/>
        <w:jc w:val="start"/>
      </w:tblPr>
      <w:tblGrid>
        <w:gridCol w:w="7920"/>
      </w:tblGrid>
      <w:tr>
        <w:tc>
          <w:tcPr/>
          <w:p>
            <w:pPr>
              <w:jc w:val="center"/>
            </w:pPr>
            <w:r>
              <w:drawing>
                <wp:inline>
                  <wp:extent cx="5334000" cy="2930598"/>
                  <wp:effectExtent b="0" l="0" r="0" t="0"/>
                  <wp:docPr descr="" title="" id="36" name="Picture"/>
                  <a:graphic>
                    <a:graphicData uri="http://schemas.openxmlformats.org/drawingml/2006/picture">
                      <pic:pic>
                        <pic:nvPicPr>
                          <pic:cNvPr descr="rfa-abundance-report_files/figure-docx/cell-16-output-1.png" id="37" name="Picture"/>
                          <pic:cNvPicPr>
                            <a:picLocks noChangeArrowheads="1" noChangeAspect="1"/>
                          </pic:cNvPicPr>
                        </pic:nvPicPr>
                        <pic:blipFill>
                          <a:blip r:embed="rId35"/>
                          <a:stretch>
                            <a:fillRect/>
                          </a:stretch>
                        </pic:blipFill>
                        <pic:spPr bwMode="auto">
                          <a:xfrm>
                            <a:off x="0" y="0"/>
                            <a:ext cx="5334000" cy="2930598"/>
                          </a:xfrm>
                          <a:prstGeom prst="rect">
                            <a:avLst/>
                          </a:prstGeom>
                          <a:noFill/>
                          <a:ln w="9525">
                            <a:noFill/>
                            <a:headEnd/>
                            <a:tailEnd/>
                          </a:ln>
                        </pic:spPr>
                      </pic:pic>
                    </a:graphicData>
                  </a:graphic>
                </wp:inline>
              </w:drawing>
            </w:r>
          </w:p>
          <w:p>
            <w:pPr>
              <w:jc w:val="center"/>
            </w:pPr>
            <w:pPr>
              <w:jc w:val="start"/>
              <w:spacing w:before="200"/>
              <w:pStyle w:val="ImageCaption"/>
            </w:pPr>
            <w:r>
              <w:t xml:space="preserve">Modeled MOXSI spectra from an active region for the four elements of interest in the abundance ratio. The solid line shows the photospheric intensities and the solid line shows the coronal intensities.</w:t>
            </w:r>
          </w:p>
        </w:tc>
      </w:tr>
    </w:tbl>
    <w:p>
      <w:pPr>
        <w:pStyle w:val="BodyText"/>
      </w:pPr>
      <w:r>
        <w:t xml:space="preserve">The intensity ratio</w:t>
      </w:r>
    </w:p>
    <w:p>
      <w:pPr>
        <w:pStyle w:val="BodyText"/>
      </w:pPr>
      <m:oMathPara>
        <m:oMathParaPr>
          <m:jc m:val="center"/>
        </m:oMathParaPr>
        <m:oMath>
          <m:f>
            <m:fPr>
              <m:type m:val="bar"/>
            </m:fPr>
            <m:num>
              <m:r>
                <m:t>F</m:t>
              </m:r>
              <m:d>
                <m:dPr>
                  <m:begChr m:val="("/>
                  <m:endChr m:val=")"/>
                  <m:sepChr m:val=""/>
                  <m:grow/>
                </m:dPr>
                <m:e>
                  <m:r>
                    <m:rPr>
                      <m:nor/>
                      <m:sty m:val="p"/>
                    </m:rPr>
                    <m:t>Fe</m:t>
                  </m:r>
                </m:e>
              </m:d>
            </m:num>
            <m:den>
              <m:r>
                <m:t>F</m:t>
              </m:r>
              <m:d>
                <m:dPr>
                  <m:begChr m:val="("/>
                  <m:endChr m:val=")"/>
                  <m:sepChr m:val=""/>
                  <m:grow/>
                </m:dPr>
                <m:e>
                  <m:r>
                    <m:rPr>
                      <m:nor/>
                      <m:sty m:val="p"/>
                    </m:rPr>
                    <m:t>Ne</m:t>
                  </m:r>
                </m:e>
              </m:d>
            </m:den>
          </m:f>
          <m:r>
            <m:rPr>
              <m:sty m:val="p"/>
            </m:rPr>
            <m:t>=</m:t>
          </m:r>
          <m:f>
            <m:fPr>
              <m:type m:val="bar"/>
            </m:fPr>
            <m:num>
              <m:sSub>
                <m:e>
                  <m:r>
                    <m:t>I</m:t>
                  </m:r>
                </m:e>
                <m:sub>
                  <m:r>
                    <m:t>C</m:t>
                  </m:r>
                </m:sub>
              </m:sSub>
              <m:d>
                <m:dPr>
                  <m:begChr m:val="("/>
                  <m:endChr m:val=")"/>
                  <m:sepChr m:val=""/>
                  <m:grow/>
                </m:dPr>
                <m:e>
                  <m:r>
                    <m:rPr>
                      <m:nor/>
                      <m:sty m:val="p"/>
                    </m:rPr>
                    <m:t>Fe XVII 15.01 Å</m:t>
                  </m:r>
                </m:e>
              </m:d>
            </m:num>
            <m:den>
              <m:sSub>
                <m:e>
                  <m:r>
                    <m:t>I</m:t>
                  </m:r>
                </m:e>
                <m:sub>
                  <m:r>
                    <m:t>C</m:t>
                  </m:r>
                </m:sub>
              </m:sSub>
              <m:d>
                <m:dPr>
                  <m:begChr m:val="("/>
                  <m:endChr m:val=")"/>
                  <m:sepChr m:val=""/>
                  <m:grow/>
                </m:dPr>
                <m:e>
                  <m:r>
                    <m:rPr>
                      <m:nor/>
                      <m:sty m:val="p"/>
                    </m:rPr>
                    <m:t>Ne X 12.13 Å</m:t>
                  </m:r>
                </m:e>
              </m:d>
            </m:den>
          </m:f>
          <m:f>
            <m:fPr>
              <m:type m:val="bar"/>
            </m:fPr>
            <m:num>
              <m:sSub>
                <m:e>
                  <m:r>
                    <m:t>I</m:t>
                  </m:r>
                </m:e>
                <m:sub>
                  <m:r>
                    <m:t>P</m:t>
                  </m:r>
                </m:sub>
              </m:sSub>
              <m:d>
                <m:dPr>
                  <m:begChr m:val="("/>
                  <m:endChr m:val=")"/>
                  <m:sepChr m:val=""/>
                  <m:grow/>
                </m:dPr>
                <m:e>
                  <m:r>
                    <m:rPr>
                      <m:nor/>
                      <m:sty m:val="p"/>
                    </m:rPr>
                    <m:t>Ne X 12.13 Å</m:t>
                  </m:r>
                </m:e>
              </m:d>
            </m:num>
            <m:den>
              <m:sSub>
                <m:e>
                  <m:r>
                    <m:t>I</m:t>
                  </m:r>
                </m:e>
                <m:sub>
                  <m:r>
                    <m:t>P</m:t>
                  </m:r>
                </m:sub>
              </m:sSub>
              <m:d>
                <m:dPr>
                  <m:begChr m:val="("/>
                  <m:endChr m:val=")"/>
                  <m:sepChr m:val=""/>
                  <m:grow/>
                </m:dPr>
                <m:e>
                  <m:r>
                    <m:rPr>
                      <m:nor/>
                      <m:sty m:val="p"/>
                    </m:rPr>
                    <m:t>Fe XVII 15.01 Å</m:t>
                  </m:r>
                </m:e>
              </m:d>
            </m:den>
          </m:f>
        </m:oMath>
      </m:oMathPara>
    </w:p>
    <w:p>
      <w:pPr>
        <w:pStyle w:val="FirstParagraph"/>
      </w:pPr>
      <w:r>
        <w:t xml:space="preserve">can then be computed from our forward-modeled spectra.</w:t>
      </w:r>
    </w:p>
    <w:p>
      <w:pPr>
        <w:pStyle w:val="SourceCode"/>
      </w:pPr>
      <w:r>
        <w:rPr>
          <w:rStyle w:val="NormalTok"/>
        </w:rPr>
        <w:t xml:space="preserve">(intensity_coronal_fe17 </w:t>
      </w:r>
      <w:r>
        <w:rPr>
          <w:rStyle w:val="OperatorTok"/>
        </w:rPr>
        <w:t xml:space="preserve">/</w:t>
      </w:r>
      <w:r>
        <w:rPr>
          <w:rStyle w:val="NormalTok"/>
        </w:rPr>
        <w:t xml:space="preserve"> intensity_coronal_ne10) </w:t>
      </w:r>
      <w:r>
        <w:rPr>
          <w:rStyle w:val="OperatorTok"/>
        </w:rPr>
        <w:t xml:space="preserve">/</w:t>
      </w:r>
      <w:r>
        <w:rPr>
          <w:rStyle w:val="NormalTok"/>
        </w:rPr>
        <w:t xml:space="preserve"> (intensity_photospheric_fe17 </w:t>
      </w:r>
      <w:r>
        <w:rPr>
          <w:rStyle w:val="OperatorTok"/>
        </w:rPr>
        <w:t xml:space="preserve">/</w:t>
      </w:r>
      <w:r>
        <w:rPr>
          <w:rStyle w:val="NormalTok"/>
        </w:rPr>
        <w:t xml:space="preserve"> intensity_photospheric_ne10)</w:t>
      </w:r>
    </w:p>
    <w:p>
      <w:pPr>
        <w:pStyle w:val="FirstParagraph"/>
      </w:pPr>
      <m:oMath>
        <m:r>
          <m:t>4.4282927</m:t>
        </m:r>
        <m:r>
          <m:t> </m:t>
        </m:r>
      </m:oMath>
    </w:p>
    <w:p>
      <w:pPr>
        <w:pStyle w:val="BodyText"/>
      </w:pPr>
      <w:r>
        <w:t xml:space="preserve">Similarly, the intensity ratio</w:t>
      </w:r>
    </w:p>
    <w:p>
      <w:pPr>
        <w:pStyle w:val="BodyText"/>
      </w:pPr>
      <m:oMathPara>
        <m:oMathParaPr>
          <m:jc m:val="center"/>
        </m:oMathParaPr>
        <m:oMath>
          <m:f>
            <m:fPr>
              <m:type m:val="bar"/>
            </m:fPr>
            <m:num>
              <m:r>
                <m:t>F</m:t>
              </m:r>
              <m:d>
                <m:dPr>
                  <m:begChr m:val="("/>
                  <m:endChr m:val=")"/>
                  <m:sepChr m:val=""/>
                  <m:grow/>
                </m:dPr>
                <m:e>
                  <m:r>
                    <m:rPr>
                      <m:nor/>
                      <m:sty m:val="p"/>
                    </m:rPr>
                    <m:t>Si</m:t>
                  </m:r>
                </m:e>
              </m:d>
            </m:num>
            <m:den>
              <m:r>
                <m:t>F</m:t>
              </m:r>
              <m:r>
                <m:rPr>
                  <m:sty m:val="p"/>
                </m:rPr>
                <m:t>(</m:t>
              </m:r>
              <m:r>
                <m:rPr>
                  <m:nor/>
                  <m:sty m:val="p"/>
                </m:rPr>
                <m:t>O)</m:t>
              </m:r>
            </m:den>
          </m:f>
          <m:r>
            <m:rPr>
              <m:sty m:val="p"/>
            </m:rPr>
            <m:t>=</m:t>
          </m:r>
          <m:f>
            <m:fPr>
              <m:type m:val="bar"/>
            </m:fPr>
            <m:num>
              <m:sSub>
                <m:e>
                  <m:r>
                    <m:t>I</m:t>
                  </m:r>
                </m:e>
                <m:sub>
                  <m:r>
                    <m:t>C</m:t>
                  </m:r>
                </m:sub>
              </m:sSub>
              <m:d>
                <m:dPr>
                  <m:begChr m:val="("/>
                  <m:endChr m:val=")"/>
                  <m:sepChr m:val=""/>
                  <m:grow/>
                </m:dPr>
                <m:e>
                  <m:r>
                    <m:rPr>
                      <m:nor/>
                      <m:sty m:val="p"/>
                    </m:rPr>
                    <m:t>Si XII 44.16 Å</m:t>
                  </m:r>
                </m:e>
              </m:d>
            </m:num>
            <m:den>
              <m:sSub>
                <m:e>
                  <m:r>
                    <m:t>I</m:t>
                  </m:r>
                </m:e>
                <m:sub>
                  <m:r>
                    <m:t>C</m:t>
                  </m:r>
                </m:sub>
              </m:sSub>
              <m:d>
                <m:dPr>
                  <m:begChr m:val="("/>
                  <m:endChr m:val=")"/>
                  <m:sepChr m:val=""/>
                  <m:grow/>
                </m:dPr>
                <m:e>
                  <m:r>
                    <m:rPr>
                      <m:nor/>
                      <m:sty m:val="p"/>
                    </m:rPr>
                    <m:t>O VII 21.601 Å</m:t>
                  </m:r>
                </m:e>
              </m:d>
            </m:den>
          </m:f>
          <m:f>
            <m:fPr>
              <m:type m:val="bar"/>
            </m:fPr>
            <m:num>
              <m:sSub>
                <m:e>
                  <m:r>
                    <m:t>I</m:t>
                  </m:r>
                </m:e>
                <m:sub>
                  <m:r>
                    <m:t>P</m:t>
                  </m:r>
                </m:sub>
              </m:sSub>
              <m:d>
                <m:dPr>
                  <m:begChr m:val="("/>
                  <m:endChr m:val=")"/>
                  <m:sepChr m:val=""/>
                  <m:grow/>
                </m:dPr>
                <m:e>
                  <m:r>
                    <m:rPr>
                      <m:nor/>
                      <m:sty m:val="p"/>
                    </m:rPr>
                    <m:t>O VII 21.601 Å</m:t>
                  </m:r>
                </m:e>
              </m:d>
            </m:num>
            <m:den>
              <m:sSub>
                <m:e>
                  <m:r>
                    <m:t>I</m:t>
                  </m:r>
                </m:e>
                <m:sub>
                  <m:r>
                    <m:t>P</m:t>
                  </m:r>
                </m:sub>
              </m:sSub>
              <m:d>
                <m:dPr>
                  <m:begChr m:val="("/>
                  <m:endChr m:val=")"/>
                  <m:sepChr m:val=""/>
                  <m:grow/>
                </m:dPr>
                <m:e>
                  <m:r>
                    <m:rPr>
                      <m:nor/>
                      <m:sty m:val="p"/>
                    </m:rPr>
                    <m:t>Si XII 44.16 Å</m:t>
                  </m:r>
                </m:e>
              </m:d>
            </m:den>
          </m:f>
        </m:oMath>
      </m:oMathPara>
    </w:p>
    <w:p>
      <w:pPr>
        <w:pStyle w:val="FirstParagraph"/>
      </w:pPr>
      <w:r>
        <w:t xml:space="preserve">can also be computed.</w:t>
      </w:r>
    </w:p>
    <w:p>
      <w:pPr>
        <w:pStyle w:val="SourceCode"/>
      </w:pPr>
      <w:r>
        <w:rPr>
          <w:rStyle w:val="NormalTok"/>
        </w:rPr>
        <w:t xml:space="preserve">(intensity_coronal_si12 </w:t>
      </w:r>
      <w:r>
        <w:rPr>
          <w:rStyle w:val="OperatorTok"/>
        </w:rPr>
        <w:t xml:space="preserve">/</w:t>
      </w:r>
      <w:r>
        <w:rPr>
          <w:rStyle w:val="NormalTok"/>
        </w:rPr>
        <w:t xml:space="preserve"> intensity_coronal_o7) </w:t>
      </w:r>
      <w:r>
        <w:rPr>
          <w:rStyle w:val="OperatorTok"/>
        </w:rPr>
        <w:t xml:space="preserve">/</w:t>
      </w:r>
      <w:r>
        <w:rPr>
          <w:rStyle w:val="NormalTok"/>
        </w:rPr>
        <w:t xml:space="preserve"> (intensity_photospheric_si12 </w:t>
      </w:r>
      <w:r>
        <w:rPr>
          <w:rStyle w:val="OperatorTok"/>
        </w:rPr>
        <w:t xml:space="preserve">/</w:t>
      </w:r>
      <w:r>
        <w:rPr>
          <w:rStyle w:val="NormalTok"/>
        </w:rPr>
        <w:t xml:space="preserve"> intensity_photospheric_o7)</w:t>
      </w:r>
    </w:p>
    <w:p>
      <w:pPr>
        <w:pStyle w:val="FirstParagraph"/>
      </w:pPr>
      <m:oMath>
        <m:r>
          <m:t>2.6533907</m:t>
        </m:r>
        <m:r>
          <m:t> </m:t>
        </m:r>
      </m:oMath>
    </w:p>
    <w:p>
      <w:pPr>
        <w:pStyle w:val="BodyText"/>
      </w:pPr>
      <w:r>
        <w:t xml:space="preserve">We find that ratios of our forward modeled MOXSI spectra at the locations of our diagostic lines for coronal and photospheric abundances are consistent with those theoretical ratios, particularly for the cool Si/O pair.</w:t>
      </w:r>
      <w:r>
        <w:t xml:space="preserve"> </w:t>
      </w:r>
      <w:r>
        <w:rPr>
          <w:bCs/>
          <w:b/>
        </w:rPr>
        <w:t xml:space="preserve">This indicates that these lines, as measured by MOXSI, have significant diagnostic power to measure changes in abundance at both hot and cool temperatures.</w:t>
      </w:r>
    </w:p>
    <w:p>
      <w:pPr>
        <w:pStyle w:val="BodyText"/>
      </w:pPr>
      <w:r>
        <w:t xml:space="preserve">We note that the Fe/Ne pair is higher than the expected theoretical result. This is likely due to the uncertainty in the line location due to the spatially-extended nature of the active region and the variable location of the hot emission within that spatial region.</w:t>
      </w:r>
    </w:p>
    <w:bookmarkEnd w:id="38"/>
    <w:bookmarkStart w:id="54" w:name="estimating-snr-in-key-diagnostic-lines"/>
    <w:p>
      <w:pPr>
        <w:pStyle w:val="Heading2"/>
      </w:pPr>
      <w:r>
        <w:t xml:space="preserve">Estimating SNR in Key Diagnostic Lines</w:t>
      </w:r>
    </w:p>
    <w:p>
      <w:pPr>
        <w:pStyle w:val="FirstParagraph"/>
      </w:pPr>
      <w:r>
        <w:t xml:space="preserve">Finally, to estimate SNR in each line we require for abundance diagnsotics, we extract the intensity of each line by fitting a Lorentzian plus background at each line location in our full forward-modeled MOXSI spectra. We then use the resulting intensity (above the background) combined with the uncertainty of the fit to estimate a signal-to-noise ratio (SNR) for each diagnostic line.</w:t>
      </w:r>
    </w:p>
    <w:p>
      <w:pPr>
        <w:pStyle w:val="BodyText"/>
      </w:pPr>
      <w:r>
        <w:t xml:space="preserve">First, determine an approximate initial model by fitting the zeroth order</w:t>
      </w:r>
      <w:r>
        <w:t xml:space="preserve"> </w:t>
      </w:r>
      <w:r>
        <w:t xml:space="preserve">“</w:t>
      </w:r>
      <w:r>
        <w:t xml:space="preserve">spectra</w:t>
      </w:r>
      <w:r>
        <w:t xml:space="preserve">”</w:t>
      </w:r>
      <w:r>
        <w:t xml:space="preserve">. Note that this effectively determines the spatial location and width of the active region as rebinned onto the dispersion axis.</w:t>
      </w:r>
    </w:p>
    <w:p>
      <w:pPr>
        <w:pStyle w:val="BodyText"/>
      </w:pPr>
      <w:r>
        <w:drawing>
          <wp:inline>
            <wp:extent cx="5043054" cy="4257963"/>
            <wp:effectExtent b="0" l="0" r="0" t="0"/>
            <wp:docPr descr="" title="" id="40" name="Picture"/>
            <a:graphic>
              <a:graphicData uri="http://schemas.openxmlformats.org/drawingml/2006/picture">
                <pic:pic>
                  <pic:nvPicPr>
                    <pic:cNvPr descr="rfa-abundance-report_files/figure-docx/cell-22-output-1.png" id="41" name="Picture"/>
                    <pic:cNvPicPr>
                      <a:picLocks noChangeArrowheads="1" noChangeAspect="1"/>
                    </pic:cNvPicPr>
                  </pic:nvPicPr>
                  <pic:blipFill>
                    <a:blip r:embed="rId39"/>
                    <a:stretch>
                      <a:fillRect/>
                    </a:stretch>
                  </pic:blipFill>
                  <pic:spPr bwMode="auto">
                    <a:xfrm>
                      <a:off x="0" y="0"/>
                      <a:ext cx="5043054" cy="4257963"/>
                    </a:xfrm>
                    <a:prstGeom prst="rect">
                      <a:avLst/>
                    </a:prstGeom>
                    <a:noFill/>
                    <a:ln w="9525">
                      <a:noFill/>
                      <a:headEnd/>
                      <a:tailEnd/>
                    </a:ln>
                  </pic:spPr>
                </pic:pic>
              </a:graphicData>
            </a:graphic>
          </wp:inline>
        </w:drawing>
      </w:r>
    </w:p>
    <w:p>
      <w:pPr>
        <w:pStyle w:val="BodyText"/>
      </w:pPr>
      <w:r>
        <w:t xml:space="preserve">We note that this spectra is modeled in photon space using an integration time of 1 h, incorporating effects due to the PSF with an accompanying 30 arcsecond pointing jitter. The effect of charge spreading is not included for this particular model.</w:t>
      </w:r>
    </w:p>
    <w:p>
      <w:pPr>
        <w:pStyle w:val="BodyText"/>
      </w:pPr>
      <w:r>
        <w:drawing>
          <wp:inline>
            <wp:extent cx="5334000" cy="3207860"/>
            <wp:effectExtent b="0" l="0" r="0" t="0"/>
            <wp:docPr descr="" title="" id="43" name="Picture"/>
            <a:graphic>
              <a:graphicData uri="http://schemas.openxmlformats.org/drawingml/2006/picture">
                <pic:pic>
                  <pic:nvPicPr>
                    <pic:cNvPr descr="rfa-abundance-report_files/figure-docx/cell-27-output-1.png" id="44" name="Picture"/>
                    <pic:cNvPicPr>
                      <a:picLocks noChangeArrowheads="1" noChangeAspect="1"/>
                    </pic:cNvPicPr>
                  </pic:nvPicPr>
                  <pic:blipFill>
                    <a:blip r:embed="rId42"/>
                    <a:stretch>
                      <a:fillRect/>
                    </a:stretch>
                  </pic:blipFill>
                  <pic:spPr bwMode="auto">
                    <a:xfrm>
                      <a:off x="0" y="0"/>
                      <a:ext cx="5334000" cy="3207860"/>
                    </a:xfrm>
                    <a:prstGeom prst="rect">
                      <a:avLst/>
                    </a:prstGeom>
                    <a:noFill/>
                    <a:ln w="9525">
                      <a:noFill/>
                      <a:headEnd/>
                      <a:tailEnd/>
                    </a:ln>
                  </pic:spPr>
                </pic:pic>
              </a:graphicData>
            </a:graphic>
          </wp:inline>
        </w:drawing>
      </w:r>
    </w:p>
    <w:p>
      <w:pPr>
        <w:pStyle w:val="BodyText"/>
      </w:pPr>
      <w:r>
        <w:drawing>
          <wp:inline>
            <wp:extent cx="5334000" cy="3245688"/>
            <wp:effectExtent b="0" l="0" r="0" t="0"/>
            <wp:docPr descr="" title="" id="46" name="Picture"/>
            <a:graphic>
              <a:graphicData uri="http://schemas.openxmlformats.org/drawingml/2006/picture">
                <pic:pic>
                  <pic:nvPicPr>
                    <pic:cNvPr descr="rfa-abundance-report_files/figure-docx/cell-27-output-2.png" id="47" name="Picture"/>
                    <pic:cNvPicPr>
                      <a:picLocks noChangeArrowheads="1" noChangeAspect="1"/>
                    </pic:cNvPicPr>
                  </pic:nvPicPr>
                  <pic:blipFill>
                    <a:blip r:embed="rId45"/>
                    <a:stretch>
                      <a:fillRect/>
                    </a:stretch>
                  </pic:blipFill>
                  <pic:spPr bwMode="auto">
                    <a:xfrm>
                      <a:off x="0" y="0"/>
                      <a:ext cx="5334000" cy="3245688"/>
                    </a:xfrm>
                    <a:prstGeom prst="rect">
                      <a:avLst/>
                    </a:prstGeom>
                    <a:noFill/>
                    <a:ln w="9525">
                      <a:noFill/>
                      <a:headEnd/>
                      <a:tailEnd/>
                    </a:ln>
                  </pic:spPr>
                </pic:pic>
              </a:graphicData>
            </a:graphic>
          </wp:inline>
        </w:drawing>
      </w:r>
    </w:p>
    <w:p>
      <w:pPr>
        <w:pStyle w:val="BodyText"/>
      </w:pPr>
      <w:r>
        <w:drawing>
          <wp:inline>
            <wp:extent cx="5334000" cy="3241865"/>
            <wp:effectExtent b="0" l="0" r="0" t="0"/>
            <wp:docPr descr="" title="" id="49" name="Picture"/>
            <a:graphic>
              <a:graphicData uri="http://schemas.openxmlformats.org/drawingml/2006/picture">
                <pic:pic>
                  <pic:nvPicPr>
                    <pic:cNvPr descr="rfa-abundance-report_files/figure-docx/cell-27-output-3.png" id="50" name="Picture"/>
                    <pic:cNvPicPr>
                      <a:picLocks noChangeArrowheads="1" noChangeAspect="1"/>
                    </pic:cNvPicPr>
                  </pic:nvPicPr>
                  <pic:blipFill>
                    <a:blip r:embed="rId48"/>
                    <a:stretch>
                      <a:fillRect/>
                    </a:stretch>
                  </pic:blipFill>
                  <pic:spPr bwMode="auto">
                    <a:xfrm>
                      <a:off x="0" y="0"/>
                      <a:ext cx="5334000" cy="3241865"/>
                    </a:xfrm>
                    <a:prstGeom prst="rect">
                      <a:avLst/>
                    </a:prstGeom>
                    <a:noFill/>
                    <a:ln w="9525">
                      <a:noFill/>
                      <a:headEnd/>
                      <a:tailEnd/>
                    </a:ln>
                  </pic:spPr>
                </pic:pic>
              </a:graphicData>
            </a:graphic>
          </wp:inline>
        </w:drawing>
      </w:r>
    </w:p>
    <w:p>
      <w:pPr>
        <w:pStyle w:val="BodyText"/>
      </w:pPr>
      <w:r>
        <w:drawing>
          <wp:inline>
            <wp:extent cx="5334000" cy="3230450"/>
            <wp:effectExtent b="0" l="0" r="0" t="0"/>
            <wp:docPr descr="" title="" id="52" name="Picture"/>
            <a:graphic>
              <a:graphicData uri="http://schemas.openxmlformats.org/drawingml/2006/picture">
                <pic:pic>
                  <pic:nvPicPr>
                    <pic:cNvPr descr="rfa-abundance-report_files/figure-docx/cell-27-output-4.png" id="53" name="Picture"/>
                    <pic:cNvPicPr>
                      <a:picLocks noChangeArrowheads="1" noChangeAspect="1"/>
                    </pic:cNvPicPr>
                  </pic:nvPicPr>
                  <pic:blipFill>
                    <a:blip r:embed="rId51"/>
                    <a:stretch>
                      <a:fillRect/>
                    </a:stretch>
                  </pic:blipFill>
                  <pic:spPr bwMode="auto">
                    <a:xfrm>
                      <a:off x="0" y="0"/>
                      <a:ext cx="5334000" cy="3230450"/>
                    </a:xfrm>
                    <a:prstGeom prst="rect">
                      <a:avLst/>
                    </a:prstGeom>
                    <a:noFill/>
                    <a:ln w="9525">
                      <a:noFill/>
                      <a:headEnd/>
                      <a:tailEnd/>
                    </a:ln>
                  </pic:spPr>
                </pic:pic>
              </a:graphicData>
            </a:graphic>
          </wp:inline>
        </w:drawing>
      </w:r>
    </w:p>
    <w:p>
      <w:pPr>
        <w:pStyle w:val="BodyText"/>
      </w:pPr>
      <w:r>
        <w:t xml:space="preserve">We note that in all diagnostic lines but Ne X 12.13 Å,</w:t>
      </w:r>
      <w:r>
        <w:t xml:space="preserve"> </w:t>
      </w:r>
      <w:r>
        <w:rPr>
          <w:bCs/>
          <w:b/>
        </w:rPr>
        <w:t xml:space="preserve">we achieve adequate SNR as well as over 100 photons above the background</w:t>
      </w:r>
      <w:r>
        <w:t xml:space="preserve"> </w:t>
      </w:r>
      <w:r>
        <w:t xml:space="preserve">with an integration time of 1.5 hours. We intend to mitigate the lack of signal in Ne X 12.13 Å by performing more sophisticated inversions as well as exploring the use of additional high-temperature, high-FIP lines that can be used in combination with Fe XVII 15.01 Å for abundance diagnostics.</w:t>
      </w:r>
    </w:p>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color w:val="d73a49"/>
      <w:b/>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color w:val="ff5555"/>
      <w:b/>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RFA 15: MOXSI Abundance Diagnostics in Active Regions</dc:title>
  <dc:creator>Will Barnes; Albert Shih; Jake Parker</dc:creator>
  <cp:keywords/>
  <dcterms:created xsi:type="dcterms:W3CDTF">2025-01-29T17:38:46Z</dcterms:created>
  <dcterms:modified xsi:type="dcterms:W3CDTF">2025-01-29T17:38:46Z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2025-01-29</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