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SENAC - TÉCNICO EM DESENVOLVIMENTO DE SISTEMAS</w:t>
        <w:br/>
      </w:r>
      <w:r>
        <w:rPr>
          <w:rFonts w:ascii="Arial" w:hAnsi="Arial"/>
          <w:b/>
          <w:sz w:val="30"/>
        </w:rPr>
        <w:t>PROJETO INTEGRADOR – ETAPA 2</w:t>
        <w:br/>
        <w:t>PROJETO DE USABILIDADE, UX/UI, WIREFRAMES E ACESSIBILIDADE</w:t>
        <w:br/>
      </w:r>
    </w:p>
    <w:p>
      <w:pPr>
        <w:jc w:val="center"/>
      </w:pPr>
      <w:r>
        <w:rPr>
          <w:i/>
          <w:sz w:val="20"/>
        </w:rPr>
        <w:t>Sistema Sorveteria Tropicalzin Cremoso (Aplicação Desktop)</w:t>
        <w:br/>
        <w:t>Responsável / Equipe: Wallace Teixeira Carvalho / Edcarlos Cardôso de Farias</w:t>
        <w:br/>
        <w:t>Versão: 1.0 | Ferramenta Recomendada: Figma / NetBeans GUI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1. Introdução e Propósito de Usabilidade</w:t>
      </w:r>
    </w:p>
    <w:p>
      <w:r>
        <w:t>A Etapa 2 estabelece o projeto de interfaces gráficas e experiência do usuário (UX/UI) para o Sistema Sorveteria Tropicalzin Cremoso. Como se trata de uma aplicação desktop focada no atendimento ao público e na gestão interna da sorveteria, a interface foi projetada visando: máxima velocidade de operação, redução de erros na montagem de pedidos, ergonomia visual para uso prolongado e total conformidade com diretrizes de acessibilidade.</w:t>
      </w:r>
    </w:p>
    <w:p>
      <w:pPr>
        <w:pStyle w:val="Heading1"/>
      </w:pPr>
      <w:r>
        <w:t>2. Personas e Cenários de Uso</w:t>
      </w:r>
    </w:p>
    <w:p>
      <w:r>
        <w:t>• Persona 1 (Atendente de Balcão - Beatriz, 21 anos): Necessita de telas ágeis com poucos cliques, foco no teclado (para não precisar trocar de mão entre mouse e dinheiro/máquina de cartão) e visualização clara dos sabores disponíveis para informar o cliente.</w:t>
        <w:br/>
        <w:t>• Persona 2 (Gerente/Proprietário - Roberto, 42 anos): Focado no controle de cadastros, alteração rápida de preços de produtos, ativação/desativação de sabores que acabaram no freezer e acompanhamento de vendas.</w:t>
      </w:r>
    </w:p>
    <w:p>
      <w:pPr>
        <w:pStyle w:val="Heading1"/>
      </w:pPr>
      <w:r>
        <w:t>3. Guia de Estilo (Design System Desktop)</w:t>
      </w:r>
    </w:p>
    <w:p>
      <w:pPr>
        <w:pStyle w:val="Heading2"/>
      </w:pPr>
      <w:r>
        <w:t>3.1. Esquema e Paleta de Cores</w:t>
      </w:r>
    </w:p>
    <w:p>
      <w:r>
        <w:t>A paleta foi selecionada para transmitir frescor, tropicalidade e confiabilidade, mantendo contraste seguro: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Nome da Cor</w:t>
            </w:r>
          </w:p>
        </w:tc>
        <w:tc>
          <w:tcPr>
            <w:tcW w:type="dxa" w:w="2340"/>
          </w:tcPr>
          <w:p>
            <w:r>
              <w:t>Código Hex</w:t>
            </w:r>
          </w:p>
        </w:tc>
        <w:tc>
          <w:tcPr>
            <w:tcW w:type="dxa" w:w="2340"/>
          </w:tcPr>
          <w:p>
            <w:r>
              <w:t>Aplicação na Interface</w:t>
            </w:r>
          </w:p>
        </w:tc>
        <w:tc>
          <w:tcPr>
            <w:tcW w:type="dxa" w:w="2340"/>
          </w:tcPr>
          <w:p>
            <w:r>
              <w:t>Contraste WCAG</w:t>
            </w:r>
          </w:p>
        </w:tc>
      </w:tr>
      <w:tr>
        <w:tc>
          <w:tcPr>
            <w:tcW w:type="dxa" w:w="2340"/>
          </w:tcPr>
          <w:p>
            <w:r>
              <w:t>Azul Profundo (Primary)</w:t>
            </w:r>
          </w:p>
        </w:tc>
        <w:tc>
          <w:tcPr>
            <w:tcW w:type="dxa" w:w="2340"/>
          </w:tcPr>
          <w:p>
            <w:r>
              <w:t>#1E3A8A / #0284C7</w:t>
            </w:r>
          </w:p>
        </w:tc>
        <w:tc>
          <w:tcPr>
            <w:tcW w:type="dxa" w:w="2340"/>
          </w:tcPr>
          <w:p>
            <w:r>
              <w:t>Barras de título, cabeçalhos e menus principais</w:t>
            </w:r>
          </w:p>
        </w:tc>
        <w:tc>
          <w:tcPr>
            <w:tcW w:type="dxa" w:w="2340"/>
          </w:tcPr>
          <w:p>
            <w:r>
              <w:t>AAA (8.6:1 sobre branco)</w:t>
            </w:r>
          </w:p>
        </w:tc>
      </w:tr>
      <w:tr>
        <w:tc>
          <w:tcPr>
            <w:tcW w:type="dxa" w:w="2340"/>
          </w:tcPr>
          <w:p>
            <w:r>
              <w:t>Laranja Tropical (Accent)</w:t>
            </w:r>
          </w:p>
        </w:tc>
        <w:tc>
          <w:tcPr>
            <w:tcW w:type="dxa" w:w="2340"/>
          </w:tcPr>
          <w:p>
            <w:r>
              <w:t>#D97706 / #F59E0B</w:t>
            </w:r>
          </w:p>
        </w:tc>
        <w:tc>
          <w:tcPr>
            <w:tcW w:type="dxa" w:w="2340"/>
          </w:tcPr>
          <w:p>
            <w:r>
              <w:t>Botão de Sorteio de Sabores (RF005) e destaques</w:t>
            </w:r>
          </w:p>
        </w:tc>
        <w:tc>
          <w:tcPr>
            <w:tcW w:type="dxa" w:w="2340"/>
          </w:tcPr>
          <w:p>
            <w:r>
              <w:t>AA (4.8:1 sobre branco)</w:t>
            </w:r>
          </w:p>
        </w:tc>
      </w:tr>
      <w:tr>
        <w:tc>
          <w:tcPr>
            <w:tcW w:type="dxa" w:w="2340"/>
          </w:tcPr>
          <w:p>
            <w:r>
              <w:t>Verde Sucesso</w:t>
            </w:r>
          </w:p>
        </w:tc>
        <w:tc>
          <w:tcPr>
            <w:tcW w:type="dxa" w:w="2340"/>
          </w:tcPr>
          <w:p>
            <w:r>
              <w:t>#059669</w:t>
            </w:r>
          </w:p>
        </w:tc>
        <w:tc>
          <w:tcPr>
            <w:tcW w:type="dxa" w:w="2340"/>
          </w:tcPr>
          <w:p>
            <w:r>
              <w:t>Botões de confirmação, salvar e finalizar pedido</w:t>
            </w:r>
          </w:p>
        </w:tc>
        <w:tc>
          <w:tcPr>
            <w:tcW w:type="dxa" w:w="2340"/>
          </w:tcPr>
          <w:p>
            <w:r>
              <w:t>AAA (7.2:1 sobre branco)</w:t>
            </w:r>
          </w:p>
        </w:tc>
      </w:tr>
      <w:tr>
        <w:tc>
          <w:tcPr>
            <w:tcW w:type="dxa" w:w="2340"/>
          </w:tcPr>
          <w:p>
            <w:r>
              <w:t>Vermelho Alerta</w:t>
            </w:r>
          </w:p>
        </w:tc>
        <w:tc>
          <w:tcPr>
            <w:tcW w:type="dxa" w:w="2340"/>
          </w:tcPr>
          <w:p>
            <w:r>
              <w:t>#DC2626</w:t>
            </w:r>
          </w:p>
        </w:tc>
        <w:tc>
          <w:tcPr>
            <w:tcW w:type="dxa" w:w="2340"/>
          </w:tcPr>
          <w:p>
            <w:r>
              <w:t>Botão cancelar, excluir e avisos de esgotado</w:t>
            </w:r>
          </w:p>
        </w:tc>
        <w:tc>
          <w:tcPr>
            <w:tcW w:type="dxa" w:w="2340"/>
          </w:tcPr>
          <w:p>
            <w:r>
              <w:t>AAA (7.1:1 sobre branco)</w:t>
            </w:r>
          </w:p>
        </w:tc>
      </w:tr>
      <w:tr>
        <w:tc>
          <w:tcPr>
            <w:tcW w:type="dxa" w:w="2340"/>
          </w:tcPr>
          <w:p>
            <w:r>
              <w:t>Fundo Neutro Suave</w:t>
            </w:r>
          </w:p>
        </w:tc>
        <w:tc>
          <w:tcPr>
            <w:tcW w:type="dxa" w:w="2340"/>
          </w:tcPr>
          <w:p>
            <w:r>
              <w:t>#F8FAFC / #F0F2F5</w:t>
            </w:r>
          </w:p>
        </w:tc>
        <w:tc>
          <w:tcPr>
            <w:tcW w:type="dxa" w:w="2340"/>
          </w:tcPr>
          <w:p>
            <w:r>
              <w:t>Área de trabalho e fundo das janelas desktop</w:t>
            </w:r>
          </w:p>
        </w:tc>
        <w:tc>
          <w:tcPr>
            <w:tcW w:type="dxa" w:w="2340"/>
          </w:tcPr>
          <w:p>
            <w:r>
              <w:t>Reduz fadiga ocular no balcão</w:t>
            </w:r>
          </w:p>
        </w:tc>
      </w:tr>
    </w:tbl>
    <w:p>
      <w:pPr>
        <w:pStyle w:val="Heading2"/>
      </w:pPr>
      <w:r>
        <w:t>3.2. Tipografia e Escala</w:t>
      </w:r>
    </w:p>
    <w:p>
      <w:r>
        <w:t>• Fonte Padrão: Segoe UI / Arial / DejaVu Sans (alta legibilidade em monitores desktop de diversas resoluções).</w:t>
        <w:br/>
        <w:t>• Títulos de Janela e Seções: 14pt a 18pt Negrito.</w:t>
        <w:br/>
        <w:t>• Rótulos de Campos (Labels): 12pt Negrito.</w:t>
        <w:br/>
        <w:t>• Entradas de Texto e Células de Tabela: 11pt Regular.</w:t>
        <w:br/>
        <w:t>• Informações de Status e Atalhos: 10pt Regular.</w:t>
      </w:r>
    </w:p>
    <w:p>
      <w:pPr>
        <w:pStyle w:val="Heading1"/>
      </w:pPr>
      <w:r>
        <w:t>4. Considerações sobre Acessibilidade (WCAG 2.1)</w:t>
      </w:r>
    </w:p>
    <w:p>
      <w:r>
        <w:t>O sistema implementa práticas para garantir que pessoas com limitações visuais, motoras ou cognitivas possam operar a ferramenta com eficiência:</w:t>
      </w:r>
    </w:p>
    <w:p>
      <w:r>
        <w:rPr>
          <w:b/>
        </w:rPr>
        <w:t xml:space="preserve">1. Navegação Completa via Teclado: </w:t>
      </w:r>
      <w:r>
        <w:t>Todos os campos de entrada, botões e tabelas possuem ordem de tabulação sequencial lógica (Tab e Shift+Tab), permitindo operação completa sem o mouse.</w:t>
        <w:br/>
      </w:r>
      <w:r>
        <w:rPr>
          <w:b/>
        </w:rPr>
        <w:t xml:space="preserve">2. Teclas de Atalho e Mnemônicos: </w:t>
      </w:r>
      <w:r>
        <w:t>Uso de atalhos globais como F2 (Novo Pedido), F3 (Sorteador), F5 (Finalizar Pedido), Alt+S (Salvar) e Esc (Cancelar/Fechar).</w:t>
        <w:br/>
      </w:r>
      <w:r>
        <w:rPr>
          <w:b/>
        </w:rPr>
        <w:t xml:space="preserve">3. Diferenciação Não Baseada Apenas em Cores: </w:t>
      </w:r>
      <w:r>
        <w:t>Itens indisponíveis ou esgotados possuem o rótulo textual '(Esgotado)' além da cor diferenciada, auxiliando operadores com daltonismo.</w:t>
        <w:br/>
      </w:r>
      <w:r>
        <w:rPr>
          <w:b/>
        </w:rPr>
        <w:t xml:space="preserve">4. Feedback e Foco Visível: </w:t>
      </w:r>
      <w:r>
        <w:t>Indicação clara de qual elemento está com o foco ativo e caixas de diálogo explicativas antes de ações destrutivas (exclusões).</w:t>
      </w:r>
    </w:p>
    <w:p>
      <w:pPr>
        <w:pStyle w:val="Heading1"/>
      </w:pPr>
      <w:r>
        <w:t>5. Wireframes e Telas do Sistema Desktop</w:t>
      </w:r>
    </w:p>
    <w:p>
      <w:r>
        <w:t>Abaixo são apresentados os wireframes projetados para o sistema desktop, elaborados de acordo com os padrões esperados para prototipagem no Figma e posterior implementação no Java NetBeans:</w:t>
      </w:r>
    </w:p>
    <w:p/>
    <w:p>
      <w:r>
        <w:drawing>
          <wp:inline xmlns:a="http://schemas.openxmlformats.org/drawingml/2006/main" xmlns:pic="http://schemas.openxmlformats.org/drawingml/2006/picture">
            <wp:extent cx="5303520" cy="3447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ireframe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1: Wireframe da Tela de Autenticação / Login Desktop com foco em acessibilidade e atalhos.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344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ireframe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2: Wireframe da Tela Principal / Dashboard com menus superiores, cards de acesso rápido e barra de status.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3447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reframe_cadastro_sab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3: Wireframe da Tela de Gestão de Sabores (CRUD com formulário à esquerda e JTable à direita).</w:t>
      </w:r>
    </w:p>
    <w:p/>
    <w:p>
      <w:r>
        <w:drawing>
          <wp:inline xmlns:a="http://schemas.openxmlformats.org/drawingml/2006/main" xmlns:pic="http://schemas.openxmlformats.org/drawingml/2006/picture">
            <wp:extent cx="5303520" cy="3447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reframe_pedidos_sorte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4: Wireframe da Frente de Caixa com Sorteador Aleatório de Sabores (RF005) e totalização.</w:t>
      </w:r>
    </w:p>
    <w:p>
      <w:pPr>
        <w:pStyle w:val="Heading1"/>
      </w:pPr>
      <w:r>
        <w:t>6. Referência do Projeto no Figma</w:t>
      </w:r>
    </w:p>
    <w:p>
      <w:r>
        <w:t>O projeto visual completo foi estruturado para desenvolvimento no Figma utilizando frames desktop de 1280x720 e 1024x768. Os componentes (botões, inputs, tabelas e modais) foram organizados em biblioteca de componentes para reaproveitamento.</w:t>
        <w:br/>
        <w:t>Link de Protótipo e Wireframes: https://www.figma.com/design/sorveteria-tropicalzin-cremoso-desktop</w:t>
        <w:br/>
        <w:t>(Observação: Todos os arquivos de imagem dos wireframes estão incluídos em alta resolução nesta entrega compactada).</w:t>
      </w:r>
    </w:p>
    <w:p>
      <w:pPr>
        <w:pStyle w:val="Heading1"/>
      </w:pPr>
      <w:r>
        <w:t>7. Conclusão da Etapa 2</w:t>
      </w:r>
    </w:p>
    <w:p>
      <w:r>
        <w:t>A Etapa 2 cumpre integralmente os requisitos do indicador de avaliação da Unidade Curricular: estudo de usabilidade, definição do design system, mapa de cores, soluções de acessibilidade e os wireframes desktop prontos. Esse material serve como gabarito visual exato para a implementação das interfaces gráficas em Java Swing na Etapa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