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EBB" w:rsidRDefault="00291EBB" w:rsidP="00FD6032">
      <w:pPr>
        <w:pStyle w:val="Title"/>
      </w:pPr>
      <w:r>
        <w:t xml:space="preserve">Deep sequencing of </w:t>
      </w:r>
      <w:r w:rsidRPr="00A24306">
        <w:rPr>
          <w:i/>
        </w:rPr>
        <w:t>Plasmodium falciparum</w:t>
      </w:r>
      <w:r>
        <w:t xml:space="preserve"> genetic crosses: a resource for the study of genome variation and meiotic recombination</w:t>
      </w:r>
      <w:r w:rsidR="00FD6032">
        <w:t xml:space="preserve"> – </w:t>
      </w:r>
      <w:r w:rsidR="00B95EC7">
        <w:br/>
        <w:t>F</w:t>
      </w:r>
      <w:r w:rsidR="00FD6032">
        <w:t xml:space="preserve">igures and </w:t>
      </w:r>
      <w:bookmarkStart w:id="0" w:name="_GoBack"/>
      <w:bookmarkEnd w:id="0"/>
      <w:r w:rsidR="00FD6032">
        <w:t>tables</w:t>
      </w:r>
    </w:p>
    <w:p w:rsidR="00A22A0E" w:rsidRDefault="00A22A0E" w:rsidP="00B54ACB">
      <w:pPr>
        <w:pStyle w:val="Heading1"/>
      </w:pPr>
      <w:r>
        <w:br w:type="page"/>
      </w:r>
    </w:p>
    <w:p w:rsidR="00DA1F35" w:rsidRDefault="00DA1F35" w:rsidP="00455715">
      <w:proofErr w:type="gramStart"/>
      <w:r>
        <w:rPr>
          <w:b/>
        </w:rPr>
        <w:lastRenderedPageBreak/>
        <w:t>Table 1.</w:t>
      </w:r>
      <w:proofErr w:type="gramEnd"/>
      <w:r>
        <w:rPr>
          <w:b/>
        </w:rPr>
        <w:t xml:space="preserve"> </w:t>
      </w:r>
      <w:proofErr w:type="gramStart"/>
      <w:r w:rsidR="004F5908" w:rsidRPr="007238BB">
        <w:t xml:space="preserve">Summary of </w:t>
      </w:r>
      <w:r w:rsidR="004F5908">
        <w:t>sequence and variation data.</w:t>
      </w:r>
      <w:proofErr w:type="gramEnd"/>
    </w:p>
    <w:tbl>
      <w:tblPr>
        <w:tblStyle w:val="MediumList2-Accent1"/>
        <w:tblW w:w="5000" w:type="pct"/>
        <w:tblLook w:val="04A0"/>
      </w:tblPr>
      <w:tblGrid>
        <w:gridCol w:w="2703"/>
        <w:gridCol w:w="2472"/>
        <w:gridCol w:w="2032"/>
        <w:gridCol w:w="2035"/>
      </w:tblGrid>
      <w:tr w:rsidR="004F5908" w:rsidRPr="009D0DED" w:rsidTr="00041074">
        <w:trPr>
          <w:cnfStyle w:val="100000000000"/>
          <w:trHeight w:val="272"/>
        </w:trPr>
        <w:tc>
          <w:tcPr>
            <w:cnfStyle w:val="001000000100"/>
            <w:tcW w:w="1455" w:type="pct"/>
            <w:noWrap/>
          </w:tcPr>
          <w:p w:rsidR="004F5908" w:rsidRPr="009D0DED" w:rsidRDefault="004F5908" w:rsidP="00041074">
            <w:pPr>
              <w:rPr>
                <w:rFonts w:asciiTheme="minorHAnsi" w:eastAsiaTheme="minorEastAsia" w:hAnsiTheme="minorHAnsi" w:cs="Arial"/>
                <w:color w:val="auto"/>
                <w:sz w:val="22"/>
                <w:szCs w:val="22"/>
              </w:rPr>
            </w:pPr>
          </w:p>
        </w:tc>
        <w:tc>
          <w:tcPr>
            <w:tcW w:w="1340" w:type="pct"/>
          </w:tcPr>
          <w:p w:rsidR="004F5908" w:rsidRPr="009D0DED" w:rsidRDefault="00D74182" w:rsidP="00041074">
            <w:pPr>
              <w:jc w:val="center"/>
              <w:cnfStyle w:val="10000000000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004F5908" w:rsidRPr="009D0DED">
              <w:rPr>
                <w:rFonts w:asciiTheme="minorHAnsi" w:eastAsiaTheme="minorEastAsia" w:hAnsiTheme="minorHAnsi" w:cs="Arial"/>
                <w:color w:val="auto"/>
                <w:sz w:val="22"/>
                <w:szCs w:val="22"/>
              </w:rPr>
              <w:t>HB3</w:t>
            </w:r>
          </w:p>
        </w:tc>
        <w:tc>
          <w:tcPr>
            <w:tcW w:w="1102" w:type="pct"/>
          </w:tcPr>
          <w:p w:rsidR="004F5908" w:rsidRPr="009D0DED" w:rsidRDefault="00D74182" w:rsidP="00041074">
            <w:pPr>
              <w:jc w:val="center"/>
              <w:cnfStyle w:val="10000000000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004F5908" w:rsidRPr="009D0DED">
              <w:rPr>
                <w:rFonts w:asciiTheme="minorHAnsi" w:eastAsiaTheme="minorEastAsia" w:hAnsiTheme="minorHAnsi" w:cs="Arial"/>
                <w:color w:val="auto"/>
                <w:sz w:val="22"/>
                <w:szCs w:val="22"/>
              </w:rPr>
              <w:t>Dd2</w:t>
            </w:r>
          </w:p>
        </w:tc>
        <w:tc>
          <w:tcPr>
            <w:tcW w:w="1103" w:type="pct"/>
          </w:tcPr>
          <w:p w:rsidR="004F5908" w:rsidRPr="009D0DED" w:rsidRDefault="00D74182" w:rsidP="00041074">
            <w:pPr>
              <w:jc w:val="center"/>
              <w:cnfStyle w:val="10000000000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004F5908" w:rsidRPr="009D0DED">
              <w:rPr>
                <w:rFonts w:asciiTheme="minorHAnsi" w:eastAsiaTheme="minorEastAsia" w:hAnsiTheme="minorHAnsi" w:cs="Arial"/>
                <w:color w:val="auto"/>
                <w:sz w:val="22"/>
                <w:szCs w:val="22"/>
              </w:rPr>
              <w:t>GB4</w:t>
            </w:r>
          </w:p>
        </w:tc>
      </w:tr>
      <w:tr w:rsidR="004F5908" w:rsidRPr="009D0DED" w:rsidTr="00041074">
        <w:trPr>
          <w:cnfStyle w:val="000000100000"/>
          <w:trHeight w:val="279"/>
        </w:trPr>
        <w:tc>
          <w:tcPr>
            <w:cnfStyle w:val="00100000000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
            </w:r>
          </w:p>
        </w:tc>
        <w:tc>
          <w:tcPr>
            <w:tcW w:w="1340"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15</w:t>
            </w:r>
          </w:p>
        </w:tc>
        <w:tc>
          <w:tcPr>
            <w:tcW w:w="1102"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35</w:t>
            </w:r>
          </w:p>
        </w:tc>
        <w:tc>
          <w:tcPr>
            <w:tcW w:w="1103"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28</w:t>
            </w:r>
          </w:p>
        </w:tc>
      </w:tr>
      <w:tr w:rsidR="004F5908" w:rsidRPr="009D0DED" w:rsidTr="00041074">
        <w:trPr>
          <w:trHeight w:val="236"/>
        </w:trPr>
        <w:tc>
          <w:tcPr>
            <w:cnfStyle w:val="00100000000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2"/>
            </w:r>
          </w:p>
        </w:tc>
        <w:tc>
          <w:tcPr>
            <w:tcW w:w="1340" w:type="pct"/>
          </w:tcPr>
          <w:p w:rsidR="004F5908" w:rsidRPr="009D0DED" w:rsidRDefault="00D74182" w:rsidP="00041074">
            <w:pPr>
              <w:jc w:val="center"/>
              <w:cnfStyle w:val="000000000000"/>
              <w:rPr>
                <w:rFonts w:asciiTheme="minorHAnsi" w:hAnsiTheme="minorHAnsi" w:cs="Arial"/>
              </w:rPr>
            </w:pPr>
            <w:r>
              <w:rPr>
                <w:rFonts w:asciiTheme="minorHAnsi" w:hAnsiTheme="minorHAnsi" w:cs="Arial"/>
              </w:rPr>
              <w:t>102</w:t>
            </w:r>
            <w:r w:rsidR="004F5908" w:rsidRPr="009D0DED">
              <w:rPr>
                <w:rFonts w:asciiTheme="minorHAnsi" w:hAnsiTheme="minorHAnsi" w:cs="Arial"/>
              </w:rPr>
              <w:t>X (41-173)</w:t>
            </w:r>
          </w:p>
        </w:tc>
        <w:tc>
          <w:tcPr>
            <w:tcW w:w="1102" w:type="pct"/>
          </w:tcPr>
          <w:p w:rsidR="004F5908" w:rsidRPr="009D0DED" w:rsidRDefault="004F5908" w:rsidP="00041074">
            <w:pPr>
              <w:jc w:val="center"/>
              <w:cnfStyle w:val="000000000000"/>
              <w:rPr>
                <w:rFonts w:asciiTheme="minorHAnsi" w:hAnsiTheme="minorHAnsi" w:cs="Arial"/>
              </w:rPr>
            </w:pPr>
            <w:r w:rsidRPr="009D0DED">
              <w:rPr>
                <w:rFonts w:asciiTheme="minorHAnsi" w:hAnsiTheme="minorHAnsi" w:cs="Arial"/>
              </w:rPr>
              <w:t>110X (22-637)</w:t>
            </w:r>
          </w:p>
        </w:tc>
        <w:tc>
          <w:tcPr>
            <w:tcW w:w="1103" w:type="pct"/>
          </w:tcPr>
          <w:p w:rsidR="004F5908" w:rsidRPr="009D0DED" w:rsidRDefault="00D74182" w:rsidP="00041074">
            <w:pPr>
              <w:jc w:val="center"/>
              <w:cnfStyle w:val="000000000000"/>
              <w:rPr>
                <w:rFonts w:asciiTheme="minorHAnsi" w:hAnsiTheme="minorHAnsi" w:cs="Arial"/>
              </w:rPr>
            </w:pPr>
            <w:r>
              <w:rPr>
                <w:rFonts w:asciiTheme="minorHAnsi" w:hAnsiTheme="minorHAnsi" w:cs="Arial"/>
              </w:rPr>
              <w:t>107X (55</w:t>
            </w:r>
            <w:r w:rsidR="004F5908" w:rsidRPr="009D0DED">
              <w:rPr>
                <w:rFonts w:asciiTheme="minorHAnsi" w:hAnsiTheme="minorHAnsi" w:cs="Arial"/>
              </w:rPr>
              <w:t>-250)</w:t>
            </w:r>
          </w:p>
        </w:tc>
      </w:tr>
      <w:tr w:rsidR="004F5908" w:rsidRPr="009D0DED" w:rsidTr="00041074">
        <w:trPr>
          <w:cnfStyle w:val="000000100000"/>
          <w:trHeight w:val="279"/>
        </w:trPr>
        <w:tc>
          <w:tcPr>
            <w:cnfStyle w:val="00100000000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3"/>
            </w:r>
          </w:p>
        </w:tc>
        <w:tc>
          <w:tcPr>
            <w:tcW w:w="1340"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15388</w:t>
            </w:r>
          </w:p>
        </w:tc>
        <w:tc>
          <w:tcPr>
            <w:tcW w:w="1102"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14885</w:t>
            </w:r>
          </w:p>
        </w:tc>
        <w:tc>
          <w:tcPr>
            <w:tcW w:w="1103"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14392</w:t>
            </w:r>
          </w:p>
        </w:tc>
      </w:tr>
      <w:tr w:rsidR="004F5908" w:rsidRPr="009D0DED" w:rsidTr="00041074">
        <w:trPr>
          <w:trHeight w:val="279"/>
        </w:trPr>
        <w:tc>
          <w:tcPr>
            <w:cnfStyle w:val="001000000000"/>
            <w:tcW w:w="1455" w:type="pct"/>
            <w:noWrap/>
          </w:tcPr>
          <w:p w:rsidR="004F5908" w:rsidRPr="009D0DED" w:rsidRDefault="004F5908" w:rsidP="00041074">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4"/>
            </w:r>
          </w:p>
        </w:tc>
        <w:tc>
          <w:tcPr>
            <w:tcW w:w="1340" w:type="pct"/>
          </w:tcPr>
          <w:p w:rsidR="004F5908" w:rsidRPr="009D0DED" w:rsidRDefault="004F5908" w:rsidP="00041074">
            <w:pPr>
              <w:jc w:val="center"/>
              <w:cnfStyle w:val="000000000000"/>
              <w:rPr>
                <w:rFonts w:asciiTheme="minorHAnsi" w:hAnsiTheme="minorHAnsi" w:cs="Arial"/>
              </w:rPr>
            </w:pPr>
            <w:r w:rsidRPr="009D0DED">
              <w:rPr>
                <w:rFonts w:asciiTheme="minorHAnsi" w:hAnsiTheme="minorHAnsi" w:cs="Arial"/>
              </w:rPr>
              <w:t>26699</w:t>
            </w:r>
          </w:p>
        </w:tc>
        <w:tc>
          <w:tcPr>
            <w:tcW w:w="1102" w:type="pct"/>
          </w:tcPr>
          <w:p w:rsidR="004F5908" w:rsidRPr="009D0DED" w:rsidRDefault="004F5908" w:rsidP="00041074">
            <w:pPr>
              <w:jc w:val="center"/>
              <w:cnfStyle w:val="000000000000"/>
              <w:rPr>
                <w:rFonts w:asciiTheme="minorHAnsi" w:hAnsiTheme="minorHAnsi" w:cs="Arial"/>
              </w:rPr>
            </w:pPr>
            <w:r w:rsidRPr="009D0DED">
              <w:rPr>
                <w:rFonts w:asciiTheme="minorHAnsi" w:hAnsiTheme="minorHAnsi" w:cs="Arial"/>
              </w:rPr>
              <w:t>21576</w:t>
            </w:r>
          </w:p>
        </w:tc>
        <w:tc>
          <w:tcPr>
            <w:tcW w:w="1103" w:type="pct"/>
          </w:tcPr>
          <w:p w:rsidR="004F5908" w:rsidRPr="009D0DED" w:rsidRDefault="004F5908" w:rsidP="00041074">
            <w:pPr>
              <w:jc w:val="center"/>
              <w:cnfStyle w:val="000000000000"/>
              <w:rPr>
                <w:rFonts w:asciiTheme="minorHAnsi" w:hAnsiTheme="minorHAnsi" w:cs="Arial"/>
              </w:rPr>
            </w:pPr>
            <w:r w:rsidRPr="009D0DED">
              <w:rPr>
                <w:rFonts w:asciiTheme="minorHAnsi" w:hAnsiTheme="minorHAnsi" w:cs="Arial"/>
              </w:rPr>
              <w:t>20079</w:t>
            </w:r>
          </w:p>
        </w:tc>
      </w:tr>
      <w:tr w:rsidR="004F5908" w:rsidRPr="009D0DED" w:rsidTr="00041074">
        <w:trPr>
          <w:cnfStyle w:val="000000100000"/>
          <w:trHeight w:val="279"/>
        </w:trPr>
        <w:tc>
          <w:tcPr>
            <w:cnfStyle w:val="001000000000"/>
            <w:tcW w:w="1455" w:type="pct"/>
            <w:noWrap/>
          </w:tcPr>
          <w:p w:rsidR="004F5908" w:rsidRPr="009D0DED" w:rsidRDefault="004F5908" w:rsidP="00041074">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5"/>
            </w:r>
          </w:p>
        </w:tc>
        <w:tc>
          <w:tcPr>
            <w:tcW w:w="1340" w:type="pct"/>
          </w:tcPr>
          <w:p w:rsidR="004F5908" w:rsidRPr="009D0DED" w:rsidRDefault="004F5908" w:rsidP="00041074">
            <w:pPr>
              <w:jc w:val="center"/>
              <w:cnfStyle w:val="00000010000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4F5908" w:rsidRPr="009D0DED" w:rsidRDefault="004F5908" w:rsidP="00041074">
            <w:pPr>
              <w:jc w:val="center"/>
              <w:cnfStyle w:val="00000010000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4F5908" w:rsidRPr="009D0DED" w:rsidRDefault="004F5908" w:rsidP="00041074">
            <w:pPr>
              <w:jc w:val="center"/>
              <w:cnfStyle w:val="00000010000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4F5908" w:rsidRPr="009D0DED" w:rsidTr="00041074">
        <w:trPr>
          <w:trHeight w:val="279"/>
        </w:trPr>
        <w:tc>
          <w:tcPr>
            <w:cnfStyle w:val="001000000000"/>
            <w:tcW w:w="1455" w:type="pct"/>
            <w:noWrap/>
          </w:tcPr>
          <w:p w:rsidR="004F5908" w:rsidRPr="009D0DED" w:rsidRDefault="004F5908" w:rsidP="00041074">
            <w:pPr>
              <w:rPr>
                <w:rFonts w:asciiTheme="minorHAnsi" w:eastAsiaTheme="minorEastAsia" w:hAnsiTheme="minorHAnsi" w:cs="Arial"/>
              </w:rPr>
            </w:pPr>
            <w:r>
              <w:rPr>
                <w:rFonts w:asciiTheme="minorHAnsi" w:eastAsiaTheme="minorEastAsia" w:hAnsiTheme="minorHAnsi" w:cs="Arial"/>
              </w:rPr>
              <w:t>Indel diversity (kbp</w:t>
            </w:r>
            <w:r>
              <w:rPr>
                <w:rFonts w:asciiTheme="minorHAnsi" w:eastAsiaTheme="minorEastAsia" w:hAnsiTheme="minorHAnsi" w:cs="Arial"/>
                <w:vertAlign w:val="superscript"/>
              </w:rPr>
              <w:t>-1</w:t>
            </w:r>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6"/>
            </w:r>
          </w:p>
        </w:tc>
        <w:tc>
          <w:tcPr>
            <w:tcW w:w="1340" w:type="pct"/>
          </w:tcPr>
          <w:p w:rsidR="004F5908" w:rsidRPr="009D0DED" w:rsidRDefault="004F5908" w:rsidP="00041074">
            <w:pPr>
              <w:jc w:val="center"/>
              <w:cnfStyle w:val="00000000000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4F5908" w:rsidRPr="009D0DED" w:rsidRDefault="004F5908" w:rsidP="00041074">
            <w:pPr>
              <w:jc w:val="center"/>
              <w:cnfStyle w:val="00000000000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4F5908" w:rsidRPr="009D0DED" w:rsidRDefault="004F5908" w:rsidP="00041074">
            <w:pPr>
              <w:jc w:val="center"/>
              <w:cnfStyle w:val="00000000000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4F5908" w:rsidRPr="009D0DED" w:rsidTr="00041074">
        <w:trPr>
          <w:cnfStyle w:val="000000100000"/>
          <w:trHeight w:val="279"/>
        </w:trPr>
        <w:tc>
          <w:tcPr>
            <w:cnfStyle w:val="001000000000"/>
            <w:tcW w:w="1455" w:type="pct"/>
            <w:noWrap/>
          </w:tcPr>
          <w:p w:rsidR="004F5908" w:rsidRPr="009D0DED" w:rsidRDefault="004F5908" w:rsidP="00041074">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7"/>
            </w:r>
          </w:p>
        </w:tc>
        <w:tc>
          <w:tcPr>
            <w:tcW w:w="1340"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286 (2-1699)</w:t>
            </w:r>
          </w:p>
        </w:tc>
        <w:tc>
          <w:tcPr>
            <w:tcW w:w="1102"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304 (2-2027)</w:t>
            </w:r>
          </w:p>
        </w:tc>
        <w:tc>
          <w:tcPr>
            <w:tcW w:w="1103" w:type="pct"/>
          </w:tcPr>
          <w:p w:rsidR="004F5908" w:rsidRPr="009D0DED" w:rsidRDefault="004F5908" w:rsidP="00041074">
            <w:pPr>
              <w:jc w:val="center"/>
              <w:cnfStyle w:val="000000100000"/>
              <w:rPr>
                <w:rFonts w:asciiTheme="minorHAnsi" w:hAnsiTheme="minorHAnsi" w:cs="Arial"/>
              </w:rPr>
            </w:pPr>
            <w:r w:rsidRPr="009D0DED">
              <w:rPr>
                <w:rFonts w:asciiTheme="minorHAnsi" w:hAnsiTheme="minorHAnsi" w:cs="Arial"/>
              </w:rPr>
              <w:t>324 (2-2173)</w:t>
            </w:r>
          </w:p>
        </w:tc>
      </w:tr>
    </w:tbl>
    <w:p w:rsidR="00DA1F35" w:rsidRDefault="00DA1F35">
      <w:r>
        <w:br w:type="page"/>
      </w:r>
    </w:p>
    <w:p w:rsidR="008E6094" w:rsidRDefault="008E6094">
      <w:proofErr w:type="gramStart"/>
      <w:r>
        <w:rPr>
          <w:b/>
        </w:rPr>
        <w:lastRenderedPageBreak/>
        <w:t>Figure 1.</w:t>
      </w:r>
      <w:proofErr w:type="gramEnd"/>
      <w:r w:rsidR="00EB66F7">
        <w:rPr>
          <w:b/>
        </w:rPr>
        <w:t xml:space="preserve"> </w:t>
      </w:r>
      <w:proofErr w:type="gramStart"/>
      <w:r w:rsidR="00EB66F7">
        <w:t xml:space="preserve">Properties of </w:t>
      </w:r>
      <w:r w:rsidR="004F5908">
        <w:t>INDEL</w:t>
      </w:r>
      <w:r w:rsidR="00EB66F7">
        <w:t>s.</w:t>
      </w:r>
      <w:proofErr w:type="gramEnd"/>
      <w:r>
        <w:t xml:space="preserve"> </w:t>
      </w:r>
      <w:r w:rsidR="00B14FB1" w:rsidRPr="00B14FB1">
        <w:rPr>
          <w:b/>
        </w:rPr>
        <w:t>A</w:t>
      </w:r>
      <w:r w:rsidR="00B14FB1">
        <w:t xml:space="preserve">, </w:t>
      </w:r>
      <w:r w:rsidR="004F5908">
        <w:t xml:space="preserve">INDEL size distribution (size &gt; 0 are insertions, size &lt; 0 are deletions). </w:t>
      </w:r>
      <w:r w:rsidR="00B14FB1">
        <w:t xml:space="preserve">Solid black bars represent the frequency of </w:t>
      </w:r>
      <w:r w:rsidR="004F5908">
        <w:t>INDEL</w:t>
      </w:r>
      <w:r w:rsidR="00B14FB1">
        <w:t xml:space="preserve">s that are expansions or contractions of short tandem repeats (STR), solid white bars represent the frequency of non-STR </w:t>
      </w:r>
      <w:r w:rsidR="00782015">
        <w:t>INDEL</w:t>
      </w:r>
      <w:r w:rsidR="00B14FB1">
        <w:t xml:space="preserve">s. Most coding </w:t>
      </w:r>
      <w:r w:rsidR="00782015">
        <w:t>INDEL</w:t>
      </w:r>
      <w:r w:rsidR="00B14FB1">
        <w:t xml:space="preserve">s are size multiples of 3, preserving the reading frame. Most non-coding </w:t>
      </w:r>
      <w:r w:rsidR="00782015">
        <w:t>INDEL</w:t>
      </w:r>
      <w:r w:rsidR="00B14FB1">
        <w:t xml:space="preserve">s are size-multiples of 2, reflecting the abundance of </w:t>
      </w:r>
      <w:proofErr w:type="gramStart"/>
      <w:r w:rsidR="00EB66F7">
        <w:t>poly(</w:t>
      </w:r>
      <w:proofErr w:type="gramEnd"/>
      <w:r w:rsidR="00EB66F7">
        <w:t>AT) repeats in non-coding regions.</w:t>
      </w:r>
      <w:r w:rsidR="004F5908">
        <w:t xml:space="preserve"> </w:t>
      </w:r>
      <w:r w:rsidR="00EB66F7">
        <w:rPr>
          <w:b/>
        </w:rPr>
        <w:t>B</w:t>
      </w:r>
      <w:r w:rsidR="00EB66F7">
        <w:t>, amino acids inserted and deleted</w:t>
      </w:r>
      <w:r w:rsidR="006F5016">
        <w:t xml:space="preserve"> </w:t>
      </w:r>
      <w:r w:rsidR="00782015">
        <w:t>(</w:t>
      </w:r>
      <w:r w:rsidR="006F5016">
        <w:t>relative to the 3D7 reference genome</w:t>
      </w:r>
      <w:r w:rsidR="00782015">
        <w:t>)</w:t>
      </w:r>
      <w:r w:rsidR="00A637B0">
        <w:t xml:space="preserve">. </w:t>
      </w:r>
      <w:proofErr w:type="gramStart"/>
      <w:r w:rsidR="00EB66F7">
        <w:rPr>
          <w:b/>
        </w:rPr>
        <w:t>C</w:t>
      </w:r>
      <w:r w:rsidR="00EB66F7">
        <w:t xml:space="preserve">, </w:t>
      </w:r>
      <w:r w:rsidR="00782015">
        <w:t xml:space="preserve">INDEL </w:t>
      </w:r>
      <w:r w:rsidR="00EB66F7">
        <w:t xml:space="preserve">diversity in intergenic regions relative to the position of </w:t>
      </w:r>
      <w:r w:rsidR="0030404B">
        <w:t>core promoters predicted by Brick et al. (2008)</w:t>
      </w:r>
      <w:r w:rsidR="00EB66F7">
        <w:t>.</w:t>
      </w:r>
      <w:proofErr w:type="gramEnd"/>
      <w:r w:rsidR="00EB66F7">
        <w:t xml:space="preserve"> </w:t>
      </w:r>
      <w:r w:rsidR="007B3BED">
        <w:t xml:space="preserve">Each point represents the mean </w:t>
      </w:r>
      <w:r w:rsidR="00782015">
        <w:t>INDEL</w:t>
      </w:r>
      <w:r w:rsidR="007B3BED">
        <w:t xml:space="preserve"> diversity in a 50bp window at a given distance from the centre of a core promoter. Vertical bars represent the 95% confidence interval from 1000 bootstraps.</w:t>
      </w:r>
      <w:r w:rsidR="006A5E4A">
        <w:t xml:space="preserve"> The dashed line is at the mean intergenic diversity for the given </w:t>
      </w:r>
      <w:r w:rsidR="00782015">
        <w:t xml:space="preserve">INDEL </w:t>
      </w:r>
      <w:r w:rsidR="006A5E4A">
        <w:t>class</w:t>
      </w:r>
      <w:r w:rsidR="00BB0E8C">
        <w:t xml:space="preserve"> (STR/non-STR)</w:t>
      </w:r>
      <w:r w:rsidR="006A5E4A">
        <w:t>.</w:t>
      </w:r>
    </w:p>
    <w:p w:rsidR="00555D67" w:rsidRDefault="00555D67"/>
    <w:p w:rsidR="008E6094" w:rsidRDefault="00291EBB" w:rsidP="00455715">
      <w:r>
        <w:rPr>
          <w:noProof/>
          <w:lang w:eastAsia="en-GB"/>
        </w:rPr>
        <w:drawing>
          <wp:inline distT="0" distB="0" distL="0" distR="0">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3172" cy="3152140"/>
                    </a:xfrm>
                    <a:prstGeom prst="rect">
                      <a:avLst/>
                    </a:prstGeom>
                  </pic:spPr>
                </pic:pic>
              </a:graphicData>
            </a:graphic>
          </wp:inline>
        </w:drawing>
      </w:r>
    </w:p>
    <w:p w:rsidR="00DA1DCA" w:rsidRDefault="00DA1DCA">
      <w:r>
        <w:br w:type="page"/>
      </w:r>
    </w:p>
    <w:p w:rsidR="00291EBB" w:rsidRDefault="00DA1DCA">
      <w:proofErr w:type="gramStart"/>
      <w:r>
        <w:rPr>
          <w:b/>
        </w:rPr>
        <w:lastRenderedPageBreak/>
        <w:t>Figure 2.</w:t>
      </w:r>
      <w:proofErr w:type="gramEnd"/>
      <w:r>
        <w:t xml:space="preserve"> </w:t>
      </w:r>
      <w:proofErr w:type="gramStart"/>
      <w:r w:rsidR="00505630">
        <w:t>Nucleotide diversity and sites of complex variation in the core genome.</w:t>
      </w:r>
      <w:proofErr w:type="gramEnd"/>
      <w:r w:rsidR="00505630">
        <w:t xml:space="preserve"> Nucleotide diversity is shown for each cross in 500bp half-overlapping windows across the core genome (which excludes </w:t>
      </w:r>
      <w:proofErr w:type="spellStart"/>
      <w:r w:rsidR="00505630">
        <w:t>hypervariable</w:t>
      </w:r>
      <w:proofErr w:type="spellEnd"/>
      <w:r w:rsidR="00505630">
        <w:t xml:space="preserve"> regions containing </w:t>
      </w:r>
      <w:proofErr w:type="spellStart"/>
      <w:r w:rsidR="00505630">
        <w:rPr>
          <w:i/>
        </w:rPr>
        <w:t>var</w:t>
      </w:r>
      <w:proofErr w:type="spellEnd"/>
      <w:r w:rsidR="00505630">
        <w:t xml:space="preserve">, </w:t>
      </w:r>
      <w:proofErr w:type="spellStart"/>
      <w:r w:rsidR="00505630">
        <w:rPr>
          <w:i/>
        </w:rPr>
        <w:t>rif</w:t>
      </w:r>
      <w:proofErr w:type="spellEnd"/>
      <w:r w:rsidR="00505630">
        <w:t xml:space="preserve"> or </w:t>
      </w:r>
      <w:proofErr w:type="spellStart"/>
      <w:r w:rsidR="00505630">
        <w:rPr>
          <w:i/>
        </w:rPr>
        <w:t>stevor</w:t>
      </w:r>
      <w:proofErr w:type="spellEnd"/>
      <w:r w:rsidR="00505630">
        <w:t xml:space="preserve"> genes)</w:t>
      </w:r>
      <w:r w:rsidR="00041074">
        <w:t xml:space="preserve"> using SNPs discovered by either variant calling method and passing all quality filters</w:t>
      </w:r>
      <w:r w:rsidR="00505630">
        <w:t xml:space="preserve">. The peak of nucleotide diversity in chromosome 10 is expanded to show four distinct peaks due to the merozoite surface antigens </w:t>
      </w:r>
      <w:r w:rsidR="0030404B">
        <w:rPr>
          <w:i/>
        </w:rPr>
        <w:t>msp</w:t>
      </w:r>
      <w:r w:rsidR="00505630" w:rsidRPr="001447BA">
        <w:rPr>
          <w:i/>
        </w:rPr>
        <w:t>3</w:t>
      </w:r>
      <w:r w:rsidR="00505630">
        <w:t xml:space="preserve">, </w:t>
      </w:r>
      <w:r w:rsidR="0030404B">
        <w:rPr>
          <w:i/>
        </w:rPr>
        <w:t>msp</w:t>
      </w:r>
      <w:r w:rsidR="00505630" w:rsidRPr="001447BA">
        <w:rPr>
          <w:i/>
        </w:rPr>
        <w:t>6</w:t>
      </w:r>
      <w:r w:rsidR="00505630">
        <w:t xml:space="preserve">, </w:t>
      </w:r>
      <w:proofErr w:type="spellStart"/>
      <w:r w:rsidR="0030404B">
        <w:rPr>
          <w:i/>
        </w:rPr>
        <w:t>dblmsp</w:t>
      </w:r>
      <w:proofErr w:type="spellEnd"/>
      <w:r w:rsidR="0030404B">
        <w:rPr>
          <w:i/>
        </w:rPr>
        <w:t xml:space="preserve"> </w:t>
      </w:r>
      <w:r w:rsidR="00505630">
        <w:t xml:space="preserve">and </w:t>
      </w:r>
      <w:r w:rsidR="0030404B">
        <w:rPr>
          <w:i/>
        </w:rPr>
        <w:t>dblmsp</w:t>
      </w:r>
      <w:r w:rsidR="00505630" w:rsidRPr="001447BA">
        <w:rPr>
          <w:i/>
        </w:rPr>
        <w:t>2</w:t>
      </w:r>
      <w:r w:rsidR="00505630">
        <w:rPr>
          <w:i/>
        </w:rPr>
        <w:t>.</w:t>
      </w:r>
      <w:r w:rsidR="00505630">
        <w:t xml:space="preserve"> All labelled loci (with the exception of </w:t>
      </w:r>
      <w:r w:rsidR="0030404B">
        <w:rPr>
          <w:i/>
        </w:rPr>
        <w:t>ama</w:t>
      </w:r>
      <w:r w:rsidR="00505630" w:rsidRPr="0030404B">
        <w:rPr>
          <w:i/>
        </w:rPr>
        <w:t>1</w:t>
      </w:r>
      <w:r w:rsidR="00505630">
        <w:t xml:space="preserve">) are sites of complex variation where assembly of sequence reads is required to determine the non-reference alleles. </w:t>
      </w:r>
    </w:p>
    <w:p w:rsidR="00555D67" w:rsidRDefault="00555D67"/>
    <w:p w:rsidR="00291EBB" w:rsidRDefault="00291EBB" w:rsidP="00455715">
      <w:r>
        <w:rPr>
          <w:noProof/>
          <w:lang w:eastAsia="en-GB"/>
        </w:rPr>
        <w:drawing>
          <wp:inline distT="0" distB="0" distL="0" distR="0">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8584" cy="3583940"/>
                    </a:xfrm>
                    <a:prstGeom prst="rect">
                      <a:avLst/>
                    </a:prstGeom>
                  </pic:spPr>
                </pic:pic>
              </a:graphicData>
            </a:graphic>
          </wp:inline>
        </w:drawing>
      </w:r>
    </w:p>
    <w:p w:rsidR="00291EBB" w:rsidRDefault="00291EBB">
      <w:r>
        <w:br w:type="page"/>
      </w:r>
    </w:p>
    <w:p w:rsidR="00291EBB" w:rsidRDefault="00291EBB">
      <w:proofErr w:type="gramStart"/>
      <w:r w:rsidRPr="00DA1F35">
        <w:rPr>
          <w:b/>
        </w:rPr>
        <w:lastRenderedPageBreak/>
        <w:t>Figure 3.</w:t>
      </w:r>
      <w:proofErr w:type="gramEnd"/>
      <w:r w:rsidR="00CD7D43">
        <w:t xml:space="preserve"> </w:t>
      </w:r>
      <w:proofErr w:type="gramStart"/>
      <w:r w:rsidR="00CD7D43">
        <w:t>Crossover (CO) and non-crossover (NCO) recombination parameters.</w:t>
      </w:r>
      <w:proofErr w:type="gramEnd"/>
      <w:r w:rsidR="00CD7D43">
        <w:t xml:space="preserve"> </w:t>
      </w:r>
      <w:proofErr w:type="gramStart"/>
      <w:r w:rsidR="00CD7D43">
        <w:rPr>
          <w:b/>
        </w:rPr>
        <w:t>A,</w:t>
      </w:r>
      <w:r w:rsidR="00CD7D43">
        <w:t xml:space="preserve"> CO recombination rate by cross.</w:t>
      </w:r>
      <w:proofErr w:type="gramEnd"/>
      <w:r w:rsidR="00CD7D43">
        <w:t xml:space="preserve"> </w:t>
      </w:r>
      <w:proofErr w:type="gramStart"/>
      <w:r w:rsidR="00CD7D43">
        <w:rPr>
          <w:b/>
        </w:rPr>
        <w:t xml:space="preserve">B, </w:t>
      </w:r>
      <w:r w:rsidR="00CD7D43">
        <w:t>CO recombination rate by chromosome.</w:t>
      </w:r>
      <w:proofErr w:type="gramEnd"/>
      <w:r w:rsidR="00CD7D43">
        <w:t xml:space="preserve"> </w:t>
      </w:r>
      <w:proofErr w:type="gramStart"/>
      <w:r w:rsidR="00CD7D43">
        <w:rPr>
          <w:b/>
        </w:rPr>
        <w:t>C,</w:t>
      </w:r>
      <w:r w:rsidR="00CD7D43">
        <w:t xml:space="preserve"> CO recombination rate relative to centromere position.</w:t>
      </w:r>
      <w:proofErr w:type="gramEnd"/>
      <w:r w:rsidR="006D13CA">
        <w:t xml:space="preserve"> Error bars show the 95% confidence interval from 1000 bootstraps.</w:t>
      </w:r>
      <w:r w:rsidR="00CD7D43">
        <w:t xml:space="preserve"> </w:t>
      </w:r>
      <w:proofErr w:type="gramStart"/>
      <w:r w:rsidR="00CD7D43">
        <w:rPr>
          <w:b/>
        </w:rPr>
        <w:t>D,</w:t>
      </w:r>
      <w:r w:rsidR="00CD7D43">
        <w:t xml:space="preserve"> NCO tract length distribution.</w:t>
      </w:r>
      <w:proofErr w:type="gramEnd"/>
      <w:r w:rsidR="00CD7D43">
        <w:t xml:space="preserve"> The dashed line shows the distribution of minimal tract lengths that would be observed with the available markers if NCO tract lengths follow a geometric distribution with parameter </w:t>
      </w:r>
      <w:r w:rsidR="00CD7D43">
        <w:rPr>
          <w:i/>
        </w:rPr>
        <w:t>phi</w:t>
      </w:r>
      <w:r w:rsidR="00CD7D43">
        <w:t xml:space="preserve"> = 0.9993. </w:t>
      </w:r>
      <w:r w:rsidR="00CD7D43">
        <w:rPr>
          <w:b/>
        </w:rPr>
        <w:t>E,</w:t>
      </w:r>
      <w:r w:rsidR="00CD7D43">
        <w:t xml:space="preserve"> Quantile-quantile plot of actual NCO minimal tract lengths versus the expected distribution of minimal tract lengths that would be observed with the given markers if NCO tract length is modelled as a geometric distribution with parameter </w:t>
      </w:r>
      <w:r w:rsidR="00CD7D43">
        <w:rPr>
          <w:i/>
        </w:rPr>
        <w:t>phi</w:t>
      </w:r>
      <w:r w:rsidR="00CD7D43">
        <w:t xml:space="preserve"> = 0.9993. The data fit the model well except for an excess of tracts with minimal length greater than ~3kb. </w:t>
      </w:r>
      <w:r w:rsidR="00CD7D43">
        <w:rPr>
          <w:b/>
        </w:rPr>
        <w:t xml:space="preserve">F, </w:t>
      </w:r>
      <w:r w:rsidR="00CD7D43">
        <w:t>NCO recombination rate by chromosome, adjusted for incomplete discovery of NCO events.</w:t>
      </w:r>
    </w:p>
    <w:p w:rsidR="00555D67" w:rsidRDefault="00555D67"/>
    <w:p w:rsidR="00291EBB" w:rsidRDefault="00291EBB" w:rsidP="00455715">
      <w:r>
        <w:rPr>
          <w:noProof/>
          <w:lang w:eastAsia="en-GB"/>
        </w:rPr>
        <w:drawing>
          <wp:inline distT="0" distB="0" distL="0" distR="0">
            <wp:extent cx="5731510" cy="381226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812264"/>
                    </a:xfrm>
                    <a:prstGeom prst="rect">
                      <a:avLst/>
                    </a:prstGeom>
                  </pic:spPr>
                </pic:pic>
              </a:graphicData>
            </a:graphic>
          </wp:inline>
        </w:drawing>
      </w:r>
    </w:p>
    <w:p w:rsidR="00291EBB" w:rsidRDefault="00291EBB">
      <w:r>
        <w:br w:type="page"/>
      </w:r>
    </w:p>
    <w:p w:rsidR="00291EBB" w:rsidRDefault="00291EBB">
      <w:proofErr w:type="gramStart"/>
      <w:r w:rsidRPr="00DA1F35">
        <w:rPr>
          <w:b/>
        </w:rPr>
        <w:lastRenderedPageBreak/>
        <w:t>Figure 4.</w:t>
      </w:r>
      <w:proofErr w:type="gramEnd"/>
      <w:r w:rsidR="006D13CA">
        <w:t xml:space="preserve"> </w:t>
      </w:r>
      <w:proofErr w:type="gramStart"/>
      <w:r w:rsidR="006D13CA">
        <w:t xml:space="preserve">Copy number variation and recombination spanning the anti-folate resistance gene </w:t>
      </w:r>
      <w:r w:rsidR="006D13CA">
        <w:rPr>
          <w:i/>
        </w:rPr>
        <w:t xml:space="preserve">gch1 </w:t>
      </w:r>
      <w:r w:rsidR="006D13CA">
        <w:t>on chromosome 12.</w:t>
      </w:r>
      <w:proofErr w:type="gramEnd"/>
      <w:r w:rsidR="006D13CA">
        <w:t xml:space="preserve"> </w:t>
      </w:r>
      <w:r w:rsidR="00B95EC7" w:rsidRPr="00B95EC7">
        <w:rPr>
          <w:b/>
        </w:rPr>
        <w:t>A</w:t>
      </w:r>
      <w:r w:rsidR="00B95EC7">
        <w:t>, CNV</w:t>
      </w:r>
      <w:r w:rsidR="0037590A">
        <w:t>s</w:t>
      </w:r>
      <w:r w:rsidR="00B95EC7">
        <w:t xml:space="preserve"> in the 3D7 and </w:t>
      </w:r>
      <w:proofErr w:type="gramStart"/>
      <w:r w:rsidR="00B95EC7">
        <w:t>HB3(</w:t>
      </w:r>
      <w:proofErr w:type="gramEnd"/>
      <w:r w:rsidR="00B95EC7">
        <w:t>1) parental clones</w:t>
      </w:r>
      <w:r w:rsidR="0037590A">
        <w:t xml:space="preserve">; </w:t>
      </w:r>
      <w:r w:rsidR="0037590A" w:rsidRPr="0037590A">
        <w:rPr>
          <w:rFonts w:ascii="Times New Roman" w:hAnsi="Times New Roman" w:cs="Times New Roman"/>
          <w:i/>
        </w:rPr>
        <w:t>α</w:t>
      </w:r>
      <w:r w:rsidR="0037590A">
        <w:t xml:space="preserve"> labels the segment amplified in HB3, </w:t>
      </w:r>
      <w:r w:rsidR="0037590A" w:rsidRPr="0037590A">
        <w:rPr>
          <w:rFonts w:ascii="Times New Roman" w:hAnsi="Times New Roman" w:cs="Times New Roman"/>
          <w:i/>
        </w:rPr>
        <w:t>β</w:t>
      </w:r>
      <w:r w:rsidR="0037590A" w:rsidRPr="0037590A">
        <w:rPr>
          <w:rFonts w:ascii="Times New Roman" w:hAnsi="Times New Roman" w:cs="Times New Roman"/>
        </w:rPr>
        <w:t xml:space="preserve"> </w:t>
      </w:r>
      <w:r w:rsidR="0037590A">
        <w:t xml:space="preserve">labels the segment amplified in 3D7. </w:t>
      </w:r>
      <w:r w:rsidR="0037590A">
        <w:rPr>
          <w:b/>
        </w:rPr>
        <w:t>B</w:t>
      </w:r>
      <w:r w:rsidR="0037590A">
        <w:t xml:space="preserve">, CNV and recombination in clone C06, progeny of 3D7xHB3. </w:t>
      </w:r>
      <w:r w:rsidR="0037590A">
        <w:rPr>
          <w:b/>
        </w:rPr>
        <w:t>C</w:t>
      </w:r>
      <w:r w:rsidR="0037590A">
        <w:t xml:space="preserve">, CNV and recombination in clone C05, progeny of 3D7xHB3. </w:t>
      </w:r>
      <w:r w:rsidR="0037590A">
        <w:rPr>
          <w:b/>
        </w:rPr>
        <w:t>D</w:t>
      </w:r>
      <w:r w:rsidR="0037590A">
        <w:t xml:space="preserve">, CNVs in the HB3(2) and Dd2 parental clones; </w:t>
      </w:r>
      <w:r w:rsidR="0037590A" w:rsidRPr="0037590A">
        <w:rPr>
          <w:rFonts w:ascii="Times New Roman" w:hAnsi="Times New Roman" w:cs="Times New Roman"/>
          <w:i/>
        </w:rPr>
        <w:t>γ</w:t>
      </w:r>
      <w:r w:rsidR="0037590A">
        <w:t xml:space="preserve"> labels the segment amplified in Dd2. </w:t>
      </w:r>
      <w:r w:rsidR="0037590A">
        <w:rPr>
          <w:b/>
        </w:rPr>
        <w:t>E</w:t>
      </w:r>
      <w:r w:rsidR="0037590A">
        <w:t xml:space="preserve">, CNV and recombination in clone CH3_61, progeny of HB3xDd2. </w:t>
      </w:r>
      <w:r w:rsidR="0037590A">
        <w:rPr>
          <w:b/>
        </w:rPr>
        <w:t>F</w:t>
      </w:r>
      <w:r w:rsidR="0037590A">
        <w:t xml:space="preserve">, CNVs in the 7G8 and GB4 parental clones. </w:t>
      </w:r>
      <w:r w:rsidR="00B95EC7">
        <w:t xml:space="preserve">CN = copy number, </w:t>
      </w:r>
      <w:r w:rsidR="0037590A">
        <w:t xml:space="preserve">black circular markers show the actual depth of coverage within 300bp non-overlapping windows, excluding windows where GC content was below 20%, and normalised by dividing by the average depth over the core genome regions of chromosome 14; solid black line is the copy number state predicted by fitting a Gaussian hidden Markov model to the coverage data (Supplementary Information). </w:t>
      </w:r>
      <w:r w:rsidR="00B95EC7">
        <w:t>FA = reads aligned facing away from each other (</w:t>
      </w:r>
      <w:r w:rsidR="0037590A">
        <w:t xml:space="preserve">expected at boundaries of a </w:t>
      </w:r>
      <w:r w:rsidR="00B95EC7">
        <w:t>tandem array), SS = reads aligned in the same orientation (</w:t>
      </w:r>
      <w:r w:rsidR="0037590A">
        <w:t>expected at boundaries of a</w:t>
      </w:r>
      <w:r w:rsidR="00B95EC7">
        <w:t xml:space="preserve"> tandem inversion)</w:t>
      </w:r>
      <w:r w:rsidR="0037590A">
        <w:t>, scale is depth of coverage (i.e., 0-40X).</w:t>
      </w:r>
      <w:r w:rsidR="009B3FAB">
        <w:t xml:space="preserve"> AB =</w:t>
      </w:r>
      <w:r w:rsidR="002F3282">
        <w:t xml:space="preserve"> fraction of aligned reads contai</w:t>
      </w:r>
      <w:r w:rsidR="009B3FAB">
        <w:t>ning the first parent’s allele; recombination events within an</w:t>
      </w:r>
      <w:r w:rsidR="002F3282">
        <w:t xml:space="preserve"> amplified region can lead to regions of pseudo-heterozygosity within a progeny clone, where one copy of the amplified region is inherited from each parent, indicated by regions where the allele balance is approximately 0.5.</w:t>
      </w:r>
    </w:p>
    <w:p w:rsidR="00B95EC7" w:rsidRDefault="00B95EC7">
      <w:pPr>
        <w:spacing w:line="480" w:lineRule="auto"/>
        <w:rPr>
          <w:noProof/>
          <w:lang w:eastAsia="en-GB"/>
        </w:rPr>
      </w:pPr>
      <w:r>
        <w:rPr>
          <w:noProof/>
          <w:lang w:eastAsia="en-GB"/>
        </w:rPr>
        <w:br w:type="page"/>
      </w:r>
    </w:p>
    <w:p w:rsidR="00291EBB" w:rsidRDefault="00B95EC7" w:rsidP="00455715">
      <w:r>
        <w:rPr>
          <w:noProof/>
          <w:lang w:eastAsia="en-GB"/>
        </w:rPr>
        <w:lastRenderedPageBreak/>
        <w:drawing>
          <wp:inline distT="0" distB="0" distL="0" distR="0">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0" cstate="print"/>
                    <a:stretch>
                      <a:fillRect/>
                    </a:stretch>
                  </pic:blipFill>
                  <pic:spPr>
                    <a:xfrm>
                      <a:off x="0" y="0"/>
                      <a:ext cx="5731510" cy="8107045"/>
                    </a:xfrm>
                    <a:prstGeom prst="rect">
                      <a:avLst/>
                    </a:prstGeom>
                  </pic:spPr>
                </pic:pic>
              </a:graphicData>
            </a:graphic>
          </wp:inline>
        </w:drawing>
      </w:r>
    </w:p>
    <w:p w:rsidR="00291EBB" w:rsidRDefault="00291EBB">
      <w:r>
        <w:br w:type="page"/>
      </w:r>
    </w:p>
    <w:p w:rsidR="00291EBB" w:rsidRDefault="00291EBB">
      <w:proofErr w:type="gramStart"/>
      <w:r w:rsidRPr="00DA1F35">
        <w:rPr>
          <w:b/>
        </w:rPr>
        <w:lastRenderedPageBreak/>
        <w:t>Figure 5.</w:t>
      </w:r>
      <w:proofErr w:type="gramEnd"/>
      <w:r w:rsidR="009B73DB">
        <w:t xml:space="preserve"> </w:t>
      </w:r>
      <w:r w:rsidR="0004094A">
        <w:t>TODO</w:t>
      </w:r>
    </w:p>
    <w:p w:rsidR="00291EBB" w:rsidRPr="00DA1DCA" w:rsidRDefault="00291EBB" w:rsidP="00455715"/>
    <w:sectPr w:rsidR="00291EBB" w:rsidRPr="00DA1DCA" w:rsidSect="005D38AA">
      <w:footerReference w:type="default" r:id="rId1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0C6D" w:rsidRDefault="00320C6D" w:rsidP="00437EDC">
      <w:pPr>
        <w:spacing w:after="0" w:line="240" w:lineRule="auto"/>
      </w:pPr>
      <w:r>
        <w:separator/>
      </w:r>
    </w:p>
  </w:endnote>
  <w:endnote w:type="continuationSeparator" w:id="0">
    <w:p w:rsidR="00320C6D" w:rsidRDefault="00320C6D" w:rsidP="00437E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2283994"/>
      <w:docPartObj>
        <w:docPartGallery w:val="Page Numbers (Bottom of Page)"/>
        <w:docPartUnique/>
      </w:docPartObj>
    </w:sdtPr>
    <w:sdtEndPr>
      <w:rPr>
        <w:noProof/>
      </w:rPr>
    </w:sdtEndPr>
    <w:sdtContent>
      <w:p w:rsidR="00437EDC" w:rsidRDefault="006654BB">
        <w:pPr>
          <w:pStyle w:val="Footer"/>
          <w:jc w:val="center"/>
        </w:pPr>
        <w:r>
          <w:fldChar w:fldCharType="begin"/>
        </w:r>
        <w:r w:rsidR="00437EDC">
          <w:instrText xml:space="preserve"> PAGE   \* MERGEFORMAT </w:instrText>
        </w:r>
        <w:r>
          <w:fldChar w:fldCharType="separate"/>
        </w:r>
        <w:r w:rsidR="0004094A">
          <w:rPr>
            <w:noProof/>
          </w:rPr>
          <w:t>8</w:t>
        </w:r>
        <w:r>
          <w:rPr>
            <w:noProof/>
          </w:rPr>
          <w:fldChar w:fldCharType="end"/>
        </w:r>
      </w:p>
    </w:sdtContent>
  </w:sdt>
  <w:p w:rsidR="00437EDC" w:rsidRDefault="00437ED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0C6D" w:rsidRDefault="00320C6D" w:rsidP="00437EDC">
      <w:pPr>
        <w:spacing w:after="0" w:line="240" w:lineRule="auto"/>
      </w:pPr>
      <w:r>
        <w:separator/>
      </w:r>
    </w:p>
  </w:footnote>
  <w:footnote w:type="continuationSeparator" w:id="0">
    <w:p w:rsidR="00320C6D" w:rsidRDefault="00320C6D" w:rsidP="00437EDC">
      <w:pPr>
        <w:spacing w:after="0" w:line="240" w:lineRule="auto"/>
      </w:pPr>
      <w:r>
        <w:continuationSeparator/>
      </w:r>
    </w:p>
  </w:footnote>
  <w:footnote w:id="1">
    <w:p w:rsidR="004F5908" w:rsidRDefault="004F5908" w:rsidP="004F5908">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2">
    <w:p w:rsidR="004F5908" w:rsidRDefault="004F5908" w:rsidP="004F5908">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3">
    <w:p w:rsidR="004F5908" w:rsidRDefault="004F5908" w:rsidP="004F5908">
      <w:pPr>
        <w:pStyle w:val="FootnoteText"/>
      </w:pPr>
      <w:r>
        <w:rPr>
          <w:rStyle w:val="FootnoteReference"/>
        </w:rPr>
        <w:footnoteRef/>
      </w:r>
      <w:r>
        <w:t xml:space="preserve"> Total number of segregating SNPs combined from both alignment and assembly calling methods that passed all quality filters.</w:t>
      </w:r>
    </w:p>
  </w:footnote>
  <w:footnote w:id="4">
    <w:p w:rsidR="004F5908" w:rsidRDefault="004F5908" w:rsidP="004F5908">
      <w:pPr>
        <w:pStyle w:val="FootnoteText"/>
      </w:pPr>
      <w:r>
        <w:rPr>
          <w:rStyle w:val="FootnoteReference"/>
        </w:rPr>
        <w:footnoteRef/>
      </w:r>
      <w:r>
        <w:t xml:space="preserve"> Total number of segregating indels combined from both alignment and assembly calling methods that passed all quality filters.</w:t>
      </w:r>
    </w:p>
  </w:footnote>
  <w:footnote w:id="5">
    <w:p w:rsidR="004F5908" w:rsidRDefault="004F5908" w:rsidP="004F5908">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6">
    <w:p w:rsidR="004F5908" w:rsidRDefault="004F5908" w:rsidP="004F5908">
      <w:pPr>
        <w:pStyle w:val="FootnoteText"/>
      </w:pPr>
      <w:r>
        <w:rPr>
          <w:rStyle w:val="FootnoteReference"/>
        </w:rPr>
        <w:footnoteRef/>
      </w:r>
      <w:r>
        <w:t xml:space="preserve"> Indel diversity (number of segregating indels per kilo base pair) calculated over 10kb non-overlapping windows within the core genome. Values shown are the median (5-95</w:t>
      </w:r>
      <w:r w:rsidRPr="004815AB">
        <w:rPr>
          <w:vertAlign w:val="superscript"/>
        </w:rPr>
        <w:t>th</w:t>
      </w:r>
      <w:r>
        <w:t xml:space="preserve"> percentile).</w:t>
      </w:r>
    </w:p>
  </w:footnote>
  <w:footnote w:id="7">
    <w:p w:rsidR="004F5908" w:rsidRDefault="004F5908" w:rsidP="004F5908">
      <w:pPr>
        <w:pStyle w:val="FootnoteText"/>
      </w:pPr>
      <w:r>
        <w:rPr>
          <w:rStyle w:val="FootnoteReference"/>
        </w:rPr>
        <w:footnoteRef/>
      </w:r>
      <w:r>
        <w:t xml:space="preserve"> </w:t>
      </w:r>
      <w:proofErr w:type="gramStart"/>
      <w:r>
        <w:t>Average distance between combined SNP and indel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AF4ECC"/>
    <w:rsid w:val="00007571"/>
    <w:rsid w:val="00030FD5"/>
    <w:rsid w:val="00033F79"/>
    <w:rsid w:val="0004094A"/>
    <w:rsid w:val="00041074"/>
    <w:rsid w:val="00047A3B"/>
    <w:rsid w:val="00053ED9"/>
    <w:rsid w:val="000A122A"/>
    <w:rsid w:val="001007E7"/>
    <w:rsid w:val="00122218"/>
    <w:rsid w:val="00154022"/>
    <w:rsid w:val="00172573"/>
    <w:rsid w:val="00185C2A"/>
    <w:rsid w:val="001A05DF"/>
    <w:rsid w:val="001A0F4B"/>
    <w:rsid w:val="001B12EF"/>
    <w:rsid w:val="001C6B3A"/>
    <w:rsid w:val="001E2026"/>
    <w:rsid w:val="001E3542"/>
    <w:rsid w:val="002100AD"/>
    <w:rsid w:val="0023386D"/>
    <w:rsid w:val="00240CAC"/>
    <w:rsid w:val="00243AE6"/>
    <w:rsid w:val="002669A1"/>
    <w:rsid w:val="00281526"/>
    <w:rsid w:val="00291EBB"/>
    <w:rsid w:val="002963C2"/>
    <w:rsid w:val="002B2DE9"/>
    <w:rsid w:val="002C2110"/>
    <w:rsid w:val="002D6850"/>
    <w:rsid w:val="002F3282"/>
    <w:rsid w:val="002F4399"/>
    <w:rsid w:val="0030404B"/>
    <w:rsid w:val="00305E93"/>
    <w:rsid w:val="00315A9C"/>
    <w:rsid w:val="00320C6D"/>
    <w:rsid w:val="003276ED"/>
    <w:rsid w:val="003339CF"/>
    <w:rsid w:val="0037590A"/>
    <w:rsid w:val="0037777D"/>
    <w:rsid w:val="003B6A67"/>
    <w:rsid w:val="003D0F89"/>
    <w:rsid w:val="003D4C7D"/>
    <w:rsid w:val="003E12B6"/>
    <w:rsid w:val="003E1466"/>
    <w:rsid w:val="003E310E"/>
    <w:rsid w:val="003F152C"/>
    <w:rsid w:val="003F526A"/>
    <w:rsid w:val="004154F4"/>
    <w:rsid w:val="00415A75"/>
    <w:rsid w:val="00437EDC"/>
    <w:rsid w:val="0044554F"/>
    <w:rsid w:val="004542DF"/>
    <w:rsid w:val="00455715"/>
    <w:rsid w:val="004F5908"/>
    <w:rsid w:val="00505630"/>
    <w:rsid w:val="00513B06"/>
    <w:rsid w:val="005400E6"/>
    <w:rsid w:val="00555D67"/>
    <w:rsid w:val="005564FF"/>
    <w:rsid w:val="00572164"/>
    <w:rsid w:val="00587CF2"/>
    <w:rsid w:val="005C6262"/>
    <w:rsid w:val="005D38AA"/>
    <w:rsid w:val="005E345F"/>
    <w:rsid w:val="0060440E"/>
    <w:rsid w:val="00607A6D"/>
    <w:rsid w:val="0062082D"/>
    <w:rsid w:val="00636AA8"/>
    <w:rsid w:val="0064359D"/>
    <w:rsid w:val="006607C6"/>
    <w:rsid w:val="006654BB"/>
    <w:rsid w:val="00670CEF"/>
    <w:rsid w:val="00693A88"/>
    <w:rsid w:val="00695CD7"/>
    <w:rsid w:val="006A5E4A"/>
    <w:rsid w:val="006A755F"/>
    <w:rsid w:val="006B263D"/>
    <w:rsid w:val="006B5085"/>
    <w:rsid w:val="006C10B3"/>
    <w:rsid w:val="006D06AD"/>
    <w:rsid w:val="006D13CA"/>
    <w:rsid w:val="006F5016"/>
    <w:rsid w:val="006F5853"/>
    <w:rsid w:val="00715599"/>
    <w:rsid w:val="00716302"/>
    <w:rsid w:val="00720E40"/>
    <w:rsid w:val="00721EDF"/>
    <w:rsid w:val="007566BE"/>
    <w:rsid w:val="00782015"/>
    <w:rsid w:val="0078230B"/>
    <w:rsid w:val="007852AF"/>
    <w:rsid w:val="007B3BED"/>
    <w:rsid w:val="0080056D"/>
    <w:rsid w:val="0080209F"/>
    <w:rsid w:val="00806E49"/>
    <w:rsid w:val="00817440"/>
    <w:rsid w:val="008376F7"/>
    <w:rsid w:val="0087590F"/>
    <w:rsid w:val="008860C5"/>
    <w:rsid w:val="008A7C42"/>
    <w:rsid w:val="008B77F3"/>
    <w:rsid w:val="008E1E0D"/>
    <w:rsid w:val="008E2100"/>
    <w:rsid w:val="008E6094"/>
    <w:rsid w:val="00934FFD"/>
    <w:rsid w:val="00961887"/>
    <w:rsid w:val="009772C1"/>
    <w:rsid w:val="0097767A"/>
    <w:rsid w:val="00985084"/>
    <w:rsid w:val="00990F19"/>
    <w:rsid w:val="009A0BA2"/>
    <w:rsid w:val="009A428B"/>
    <w:rsid w:val="009B349C"/>
    <w:rsid w:val="009B3FAB"/>
    <w:rsid w:val="009B73DB"/>
    <w:rsid w:val="009C6A19"/>
    <w:rsid w:val="00A22A0E"/>
    <w:rsid w:val="00A25A05"/>
    <w:rsid w:val="00A409B6"/>
    <w:rsid w:val="00A637B0"/>
    <w:rsid w:val="00A71652"/>
    <w:rsid w:val="00A7523A"/>
    <w:rsid w:val="00AD2554"/>
    <w:rsid w:val="00AD50B3"/>
    <w:rsid w:val="00AF4ECC"/>
    <w:rsid w:val="00B14FB1"/>
    <w:rsid w:val="00B17F7E"/>
    <w:rsid w:val="00B32C86"/>
    <w:rsid w:val="00B45F40"/>
    <w:rsid w:val="00B506B0"/>
    <w:rsid w:val="00B54ACB"/>
    <w:rsid w:val="00B60A68"/>
    <w:rsid w:val="00B70AB9"/>
    <w:rsid w:val="00B95EC7"/>
    <w:rsid w:val="00BB0E8C"/>
    <w:rsid w:val="00BC70DA"/>
    <w:rsid w:val="00BD09BA"/>
    <w:rsid w:val="00BD726E"/>
    <w:rsid w:val="00C25811"/>
    <w:rsid w:val="00C51EEA"/>
    <w:rsid w:val="00CC2C1D"/>
    <w:rsid w:val="00CC5A6C"/>
    <w:rsid w:val="00CD15CC"/>
    <w:rsid w:val="00CD62D6"/>
    <w:rsid w:val="00CD7D43"/>
    <w:rsid w:val="00CE12AB"/>
    <w:rsid w:val="00CE3B4E"/>
    <w:rsid w:val="00D04D9E"/>
    <w:rsid w:val="00D212E0"/>
    <w:rsid w:val="00D33531"/>
    <w:rsid w:val="00D726B4"/>
    <w:rsid w:val="00D74182"/>
    <w:rsid w:val="00DA1DCA"/>
    <w:rsid w:val="00DA1F35"/>
    <w:rsid w:val="00DB602D"/>
    <w:rsid w:val="00DC0A41"/>
    <w:rsid w:val="00E24F73"/>
    <w:rsid w:val="00E64667"/>
    <w:rsid w:val="00E70652"/>
    <w:rsid w:val="00E9409C"/>
    <w:rsid w:val="00EB66F7"/>
    <w:rsid w:val="00F0153A"/>
    <w:rsid w:val="00F103BF"/>
    <w:rsid w:val="00F149ED"/>
    <w:rsid w:val="00F339DB"/>
    <w:rsid w:val="00FB43AC"/>
    <w:rsid w:val="00FD6032"/>
    <w:rsid w:val="00FF1FF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908"/>
    <w:pPr>
      <w:spacing w:line="360" w:lineRule="auto"/>
    </w:pPr>
  </w:style>
  <w:style w:type="paragraph" w:styleId="Heading1">
    <w:name w:val="heading 1"/>
    <w:basedOn w:val="Normal"/>
    <w:next w:val="Normal"/>
    <w:link w:val="Heading1Char"/>
    <w:uiPriority w:val="9"/>
    <w:qFormat/>
    <w:rsid w:val="00A22A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2A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66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2A0E"/>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B54ACB"/>
  </w:style>
  <w:style w:type="paragraph" w:styleId="Header">
    <w:name w:val="header"/>
    <w:basedOn w:val="Normal"/>
    <w:link w:val="HeaderChar"/>
    <w:uiPriority w:val="99"/>
    <w:unhideWhenUsed/>
    <w:rsid w:val="00437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EDC"/>
  </w:style>
  <w:style w:type="paragraph" w:styleId="Footer">
    <w:name w:val="footer"/>
    <w:basedOn w:val="Normal"/>
    <w:link w:val="FooterChar"/>
    <w:uiPriority w:val="99"/>
    <w:unhideWhenUsed/>
    <w:rsid w:val="00437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EDC"/>
  </w:style>
  <w:style w:type="character" w:customStyle="1" w:styleId="Heading3Char">
    <w:name w:val="Heading 3 Char"/>
    <w:basedOn w:val="DefaultParagraphFont"/>
    <w:link w:val="Heading3"/>
    <w:uiPriority w:val="9"/>
    <w:rsid w:val="007566B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22218"/>
    <w:rPr>
      <w:color w:val="0000FF" w:themeColor="hyperlink"/>
      <w:u w:val="single"/>
    </w:rPr>
  </w:style>
  <w:style w:type="paragraph" w:styleId="BalloonText">
    <w:name w:val="Balloon Text"/>
    <w:basedOn w:val="Normal"/>
    <w:link w:val="BalloonTextChar"/>
    <w:uiPriority w:val="99"/>
    <w:semiHidden/>
    <w:unhideWhenUsed/>
    <w:rsid w:val="008E6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094"/>
    <w:rPr>
      <w:rFonts w:ascii="Tahoma" w:hAnsi="Tahoma" w:cs="Tahoma"/>
      <w:sz w:val="16"/>
      <w:szCs w:val="16"/>
    </w:rPr>
  </w:style>
  <w:style w:type="table" w:styleId="MediumList2-Accent1">
    <w:name w:val="Medium List 2 Accent 1"/>
    <w:basedOn w:val="TableNormal"/>
    <w:uiPriority w:val="66"/>
    <w:rsid w:val="004F5908"/>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semiHidden/>
    <w:unhideWhenUsed/>
    <w:rsid w:val="004F59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5908"/>
    <w:rPr>
      <w:sz w:val="20"/>
      <w:szCs w:val="20"/>
    </w:rPr>
  </w:style>
  <w:style w:type="character" w:styleId="FootnoteReference">
    <w:name w:val="footnote reference"/>
    <w:basedOn w:val="DefaultParagraphFont"/>
    <w:uiPriority w:val="99"/>
    <w:semiHidden/>
    <w:unhideWhenUsed/>
    <w:rsid w:val="004F5908"/>
    <w:rPr>
      <w:vertAlign w:val="superscript"/>
    </w:rPr>
  </w:style>
  <w:style w:type="paragraph" w:styleId="Title">
    <w:name w:val="Title"/>
    <w:basedOn w:val="Normal"/>
    <w:next w:val="Normal"/>
    <w:link w:val="TitleChar"/>
    <w:uiPriority w:val="10"/>
    <w:qFormat/>
    <w:rsid w:val="00FD60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6032"/>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908"/>
    <w:pPr>
      <w:spacing w:line="360" w:lineRule="auto"/>
    </w:pPr>
  </w:style>
  <w:style w:type="paragraph" w:styleId="Heading1">
    <w:name w:val="heading 1"/>
    <w:basedOn w:val="Normal"/>
    <w:next w:val="Normal"/>
    <w:link w:val="Heading1Char"/>
    <w:uiPriority w:val="9"/>
    <w:qFormat/>
    <w:rsid w:val="00A22A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2A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66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2A0E"/>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B54ACB"/>
  </w:style>
  <w:style w:type="paragraph" w:styleId="Header">
    <w:name w:val="header"/>
    <w:basedOn w:val="Normal"/>
    <w:link w:val="HeaderChar"/>
    <w:uiPriority w:val="99"/>
    <w:unhideWhenUsed/>
    <w:rsid w:val="00437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EDC"/>
  </w:style>
  <w:style w:type="paragraph" w:styleId="Footer">
    <w:name w:val="footer"/>
    <w:basedOn w:val="Normal"/>
    <w:link w:val="FooterChar"/>
    <w:uiPriority w:val="99"/>
    <w:unhideWhenUsed/>
    <w:rsid w:val="00437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EDC"/>
  </w:style>
  <w:style w:type="character" w:customStyle="1" w:styleId="Heading3Char">
    <w:name w:val="Heading 3 Char"/>
    <w:basedOn w:val="DefaultParagraphFont"/>
    <w:link w:val="Heading3"/>
    <w:uiPriority w:val="9"/>
    <w:rsid w:val="007566B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22218"/>
    <w:rPr>
      <w:color w:val="0000FF" w:themeColor="hyperlink"/>
      <w:u w:val="single"/>
    </w:rPr>
  </w:style>
  <w:style w:type="paragraph" w:styleId="BalloonText">
    <w:name w:val="Balloon Text"/>
    <w:basedOn w:val="Normal"/>
    <w:link w:val="BalloonTextChar"/>
    <w:uiPriority w:val="99"/>
    <w:semiHidden/>
    <w:unhideWhenUsed/>
    <w:rsid w:val="008E6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094"/>
    <w:rPr>
      <w:rFonts w:ascii="Tahoma" w:hAnsi="Tahoma" w:cs="Tahoma"/>
      <w:sz w:val="16"/>
      <w:szCs w:val="16"/>
    </w:rPr>
  </w:style>
  <w:style w:type="table" w:styleId="MediumList2-Accent1">
    <w:name w:val="Medium List 2 Accent 1"/>
    <w:basedOn w:val="TableNormal"/>
    <w:uiPriority w:val="66"/>
    <w:rsid w:val="004F5908"/>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semiHidden/>
    <w:unhideWhenUsed/>
    <w:rsid w:val="004F59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5908"/>
    <w:rPr>
      <w:sz w:val="20"/>
      <w:szCs w:val="20"/>
    </w:rPr>
  </w:style>
  <w:style w:type="character" w:styleId="FootnoteReference">
    <w:name w:val="footnote reference"/>
    <w:basedOn w:val="DefaultParagraphFont"/>
    <w:uiPriority w:val="99"/>
    <w:semiHidden/>
    <w:unhideWhenUsed/>
    <w:rsid w:val="004F5908"/>
    <w:rPr>
      <w:vertAlign w:val="superscript"/>
    </w:rPr>
  </w:style>
  <w:style w:type="paragraph" w:styleId="Title">
    <w:name w:val="Title"/>
    <w:basedOn w:val="Normal"/>
    <w:next w:val="Normal"/>
    <w:link w:val="TitleChar"/>
    <w:uiPriority w:val="10"/>
    <w:qFormat/>
    <w:rsid w:val="00FD60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6032"/>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157A0-223D-4FA8-A13B-8A62AD168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8</Pages>
  <Words>698</Words>
  <Characters>3983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4672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aliman</cp:lastModifiedBy>
  <cp:revision>15</cp:revision>
  <cp:lastPrinted>2014-12-12T11:42:00Z</cp:lastPrinted>
  <dcterms:created xsi:type="dcterms:W3CDTF">2014-11-06T11:03:00Z</dcterms:created>
  <dcterms:modified xsi:type="dcterms:W3CDTF">2015-05-08T21:57:00Z</dcterms:modified>
</cp:coreProperties>
</file>