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w:t>
      </w:r>
      <w:bookmarkStart w:id="0" w:name="_GoBack"/>
      <w:bookmarkEnd w:id="0"/>
      <w:r w:rsidR="00395FA2">
        <w:t xml:space="preserve">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E0FEE">
        <w:t>INDEL</w:t>
      </w:r>
      <w:r w:rsidR="008D7DCE">
        <w:t xml:space="preserve"> and complex polymorphisms. </w:t>
      </w:r>
      <w:r w:rsidR="00F803F5">
        <w:t xml:space="preserve">We confirm that </w:t>
      </w:r>
      <w:r w:rsidR="00FE0FE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 (@@REF).</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(@@REFs), the </w:t>
      </w:r>
      <w:r w:rsidR="0066222C">
        <w:lastRenderedPageBreak/>
        <w:t>mutational processes that generate diversity (@@REF) and the genetic basis for artemisinin resistance (@@REF).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entirety. The highly compact @@2XMb genome has an extremely biased nucleotide composition, with 80.X% (A+T) content overall and over @@X% (A+T) in non-coding regions (@@REF).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(@@REF).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 (@@REF).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 (@@REF)</w:t>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 xml:space="preserve">Data on insertion/deletion (INDEL) variation are limited (@@REF) although several lines of evidence suggest that small INDELs may be unusually abundant (@@REFs).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B1727B">
        <w:t>to a few well-studied loci (e.g., @@REFs).</w:t>
      </w:r>
    </w:p>
    <w:p w:rsidR="00DE11E6" w:rsidRDefault="001C088D" w:rsidP="001C088D">
      <w:r>
        <w:t xml:space="preserve">In studies of genome variation in humans and other species (@@TODO species examples) trios, crosses and other types of pedigree have proved an invaluable resource. Pedigree information </w:t>
      </w:r>
      <w:r w:rsidR="006065AE">
        <w:t>can be</w:t>
      </w:r>
      <w:r>
        <w:t xml:space="preserve"> use</w:t>
      </w:r>
      <w:r w:rsidR="006065AE">
        <w:t>d</w:t>
      </w:r>
      <w:r>
        <w:t xml:space="preserve"> </w:t>
      </w:r>
      <w:r w:rsidR="006065AE">
        <w:t>to identify</w:t>
      </w:r>
      <w:r>
        <w:t xml:space="preserve"> errors in the process of high throughput sequencing of genomic DNA and </w:t>
      </w:r>
      <w:r w:rsidR="00EA3CED">
        <w:t>variant discovery</w:t>
      </w:r>
      <w:r>
        <w:t xml:space="preserve">. By sequencing related individuals, </w:t>
      </w:r>
      <w:r w:rsidR="00213F97">
        <w:t xml:space="preserve">variants </w:t>
      </w:r>
      <w:r>
        <w:t xml:space="preserve">that are in violation of Mendelian segregation can be identified. Although such </w:t>
      </w:r>
      <w:r w:rsidR="00213F97">
        <w:t>variants</w:t>
      </w:r>
      <w:r>
        <w:t xml:space="preserve"> may occasionally arise naturally, for example through </w:t>
      </w:r>
      <w:r>
        <w:rPr>
          <w:i/>
        </w:rPr>
        <w:t>de novo</w:t>
      </w:r>
      <w:r>
        <w:t xml:space="preserve"> mutation, in general they provide a </w:t>
      </w:r>
      <w:r w:rsidR="00213F97">
        <w:t>good</w:t>
      </w:r>
      <w:r>
        <w:t xml:space="preserve"> indicator of genotyping error (@@REF). Mendelian errors have therefore been widely used to </w:t>
      </w:r>
      <w:r w:rsidR="00DE11E6">
        <w:t xml:space="preserve">calibrate and </w:t>
      </w:r>
      <w:r>
        <w:t>validate methods for variant discov</w:t>
      </w:r>
      <w:r w:rsidR="00DE11E6">
        <w:t>ery and genotype calling</w:t>
      </w:r>
      <w:r>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40749C">
        <w:t>Although</w:t>
      </w:r>
      <w:r w:rsidR="00A72CFF">
        <w:t xml:space="preserve"> sexually reproducing, the parasite is haploid for the majority of its life cycle, and exists only briefly as a diploid when taken up into the mosquito mid-gut, where it undergoes meiosis (@@REF </w:t>
      </w:r>
      <w:proofErr w:type="spellStart"/>
      <w:r w:rsidR="00A72CFF">
        <w:t>Walliker</w:t>
      </w:r>
      <w:proofErr w:type="spellEnd"/>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causes of drug resistance (@@REF) and host specificity (@@REF). However, although only three crosses have been performed, each cross yields a large number of progeny clones</w:t>
      </w:r>
      <w:r w:rsidR="00EA3CED">
        <w:t xml:space="preserve">, each the result of </w:t>
      </w:r>
      <w:r w:rsidR="00EA3CED">
        <w:lastRenderedPageBreak/>
        <w:t>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A72CFF">
        <w:rPr>
          <w:i/>
        </w:rPr>
        <w:t>Plasmodium falciparum</w:t>
      </w:r>
      <w:r w:rsidR="00A72CFF">
        <w:t xml:space="preserve">, because they represent the only </w:t>
      </w:r>
      <w:r w:rsidR="00530F60">
        <w:t xml:space="preserve">controlled Mendelian </w:t>
      </w:r>
      <w:r w:rsidR="00A72CFF">
        <w:t>system within which methods for variant discovery can be calibrated</w:t>
      </w:r>
      <w:r w:rsidR="00530F60">
        <w:t xml:space="preserve"> </w:t>
      </w:r>
      <w:r w:rsidR="00A72CFF">
        <w:t>to produce robust results.</w:t>
      </w:r>
    </w:p>
    <w:p w:rsidR="00A72CFF" w:rsidRDefault="00783242" w:rsidP="001C088D">
      <w:r>
        <w:t xml:space="preserve">Here we describe a data resource comprising whole genome deep sequencing of parents and progeny of three experimental </w:t>
      </w:r>
      <w:r>
        <w:rPr>
          <w:i/>
        </w:rPr>
        <w:t>Plasmodium falciparum</w:t>
      </w:r>
      <w:r>
        <w:t xml:space="preserve"> </w:t>
      </w:r>
      <w:r w:rsidR="00530F60">
        <w:t xml:space="preserve">genetic </w:t>
      </w:r>
      <w:r>
        <w:t>crosses, involving the parental clones 3D7, HB3, Dd2, 7G8 and GB4, representing three distinct continental origins. We use a combination of methods for variant discovery, leveraging both alignment of sequence reads to the 3D7 reference genome and reference-fre</w:t>
      </w:r>
      <w:r w:rsidR="00BF5E5E">
        <w:t>e sequence assembly, to build a</w:t>
      </w:r>
      <w:r>
        <w:t xml:space="preserve"> map of genome variation within each cross </w:t>
      </w:r>
      <w:r w:rsidR="009044CA">
        <w:t>incorporating</w:t>
      </w:r>
      <w:r>
        <w:t xml:space="preserve"> SNP, </w:t>
      </w:r>
      <w:r w:rsidR="00FE0FE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E0FE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E0FE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explore some open questions regarding meiotic recombination in </w:t>
      </w:r>
      <w:r w:rsidRPr="00A32224">
        <w:rPr>
          <w:i/>
        </w:rPr>
        <w:t>P. falciparum</w:t>
      </w:r>
      <w:r w:rsidR="00065004">
        <w:t>.</w:t>
      </w:r>
      <w:r>
        <w:t xml:space="preserve"> </w:t>
      </w:r>
      <w:r w:rsidR="00065004">
        <w:t>Previous studies have estimated the crossover recombination rate (@@REFs), provided evidence that non-crossover events occur (@@REF</w:t>
      </w:r>
      <w:r w:rsidR="006E7EA9">
        <w:t>s</w:t>
      </w:r>
      <w:r w:rsidR="00065004">
        <w:t>)</w:t>
      </w:r>
      <w:r w:rsidR="006E7EA9">
        <w:t>, demonstrated that at least some recombination events occur within coding regions (@@REFs)</w:t>
      </w:r>
      <w:r w:rsidR="00065004">
        <w:t xml:space="preserve"> and suggested that recombination events are not uniformly distributed </w:t>
      </w:r>
      <w:r w:rsidR="006E7EA9">
        <w:t xml:space="preserve">over the genome (@@REF). Here we combine SNP and </w:t>
      </w:r>
      <w:r w:rsidR="00FE0FE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(@@REFs)</w:t>
      </w:r>
      <w:r w:rsidR="006E7EA9">
        <w:t xml:space="preserve">. </w:t>
      </w:r>
      <w:r w:rsidR="001C4E6F">
        <w:t xml:space="preserve">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w:t>
      </w:r>
      <w:r w:rsidR="001C4E6F">
        <w:lastRenderedPageBreak/>
        <w:t>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from the crosses 3D7×HB3 (@@REF), HB3×Dd2 (@@REF) and 7G8×GB4 (@@REF)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 xml:space="preserve">The clone HB3 is a parent in two crosses, however because DNA samples were obtained from different sources and had different culturing histories the two HB3 clones were sequenced and genotyped separately, and are here labelled HB3(1) and HB3(2) for crosses 3D7 x HB3 and HB3 x Dd2 respectively. The progeny clones </w:t>
      </w:r>
      <w:r w:rsidR="00BA4DCF">
        <w:t xml:space="preserve">from all crosses </w:t>
      </w:r>
      <w:r w:rsidR="0072106A">
        <w:t>had previously been isolated via limiting dilution and s</w:t>
      </w:r>
      <w:r w:rsidR="006C1DD2">
        <w:t>hown to each be derived from independent meiose</w:t>
      </w:r>
      <w:r w:rsidR="0072106A">
        <w:t>s</w:t>
      </w:r>
      <w:r w:rsidR="009E51A2">
        <w:t xml:space="preserve"> (@@REF)</w:t>
      </w:r>
      <w:r w:rsidR="0072106A">
        <w:t xml:space="preserve">. For several progeny 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5"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(@@REF),</w:t>
      </w:r>
      <w:r w:rsidR="005D178D">
        <w:t xml:space="preserve"> and almost all genes in the </w:t>
      </w:r>
      <w:r w:rsidR="00AD509E">
        <w:t xml:space="preserve">associated </w:t>
      </w:r>
      <w:proofErr w:type="spellStart"/>
      <w:proofErr w:type="gramStart"/>
      <w:r w:rsidR="005D178D">
        <w:rPr>
          <w:i/>
        </w:rPr>
        <w:t>rif</w:t>
      </w:r>
      <w:proofErr w:type="spellEnd"/>
      <w:proofErr w:type="gram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w:t>
      </w:r>
      <w:r w:rsidR="005D178D">
        <w:lastRenderedPageBreak/>
        <w:t xml:space="preserve">closely with regions of heterochromatin (@@REF). </w:t>
      </w:r>
      <w:r w:rsidR="00FB2301">
        <w:t xml:space="preserve">Within the core genome all samples exhibited some degree of bias such that coverage was lower where (A+T) content was above 80% (supplementary figure @@N), however the high depth of sequencing meant that coverage was sufficient to support variant calling in both coding and non-coding regions.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E0FEE">
        <w:t>INDEL</w:t>
      </w:r>
      <w:r>
        <w:t xml:space="preserve"> and complex variation</w:t>
      </w:r>
      <w:r w:rsidR="00092516">
        <w:t xml:space="preserve"> within the core genome</w:t>
      </w:r>
    </w:p>
    <w:p w:rsidR="00BF5714" w:rsidRDefault="00BF5714" w:rsidP="00831572">
      <w:r>
        <w:t xml:space="preserve">SNPs, small </w:t>
      </w:r>
      <w:r w:rsidR="00FE0FEE">
        <w:t>INDEL</w:t>
      </w:r>
      <w:r>
        <w:t xml:space="preserve">s and regions of complex polymorphism were discovered and genotyped within each cross by two independent methods, one based on alignment of sequence reads to the 3D7 reference genome (@@REFs), the other based on partial assembly of sequence reads and comparison of assembled contigs (@@REF).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E0FE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E0FEE">
        <w:t>INDEL</w:t>
      </w:r>
      <w:r w:rsidR="004177B6">
        <w:t xml:space="preserve">s, or comparing results of the two 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part of a separate project (@@REF</w:t>
      </w:r>
      <w:r w:rsidR="00995125">
        <w:t xml:space="preserve"> Pf3k</w:t>
      </w:r>
      <w:r w:rsidR="00EC2A4A">
        <w:t>) and will be reported elsewhere.</w:t>
      </w:r>
      <w:r w:rsidR="00995125">
        <w:t xml:space="preserve"> To provide the greatest possible resolution for the present study, filtered variants called by each method were combined into a single call set for each cross (see methods). All SNP and </w:t>
      </w:r>
      <w:r w:rsidR="00FE0FEE">
        <w:t>INDEL</w:t>
      </w:r>
      <w:r w:rsidR="00995125">
        <w:t xml:space="preserve"> calls can be downloaded from a public FTP site (@@REF) or browsed via the web application at </w:t>
      </w:r>
      <w:hyperlink r:id="rId6" w:history="1">
        <w:r w:rsidR="00995125" w:rsidRPr="000B39EA">
          <w:rPr>
            <w:rStyle w:val="Hyperlink"/>
          </w:rPr>
          <w:t>http://www.malariagen.net/apps/pf-crosses</w:t>
        </w:r>
      </w:hyperlink>
      <w:r w:rsidR="00995125">
        <w:t xml:space="preserve">. </w:t>
      </w:r>
    </w:p>
    <w:p w:rsidR="00A4677A" w:rsidRDefault="00A4677A" w:rsidP="00A4677A">
      <w:pPr>
        <w:pStyle w:val="Heading4"/>
      </w:pPr>
      <w:r>
        <w:t>INDELs are the most abundant form of polymorphism</w:t>
      </w:r>
    </w:p>
    <w:p w:rsidR="00FE0FEE" w:rsidRDefault="008A5CF4" w:rsidP="00601883">
      <w:r>
        <w:t xml:space="preserve">Analysis of the combined variant call sets revealed that, within the core genome, </w:t>
      </w:r>
      <w:r w:rsidR="00FE0FEE">
        <w:t>INDEL</w:t>
      </w:r>
      <w:r>
        <w:t xml:space="preserve">s were more abundant than SNPs in all three crosses (table @@N). Overall 83% of </w:t>
      </w:r>
      <w:r w:rsidR="00FE0FEE">
        <w:t>INDEL</w:t>
      </w:r>
      <w:r>
        <w:t xml:space="preserve">s were found in non-coding regions, where </w:t>
      </w:r>
      <w:r w:rsidR="00FE0FEE">
        <w:t>INDEL</w:t>
      </w:r>
      <w:r>
        <w:t xml:space="preserve">s were 3 times more abundant than SNPs. </w:t>
      </w:r>
      <w:r w:rsidR="00FE0FEE">
        <w:t>INDEL</w:t>
      </w:r>
      <w:r>
        <w:t xml:space="preserve">s were also relatively </w:t>
      </w:r>
      <w:r>
        <w:lastRenderedPageBreak/>
        <w:t xml:space="preserve">abundant in coding regions, with the ratio of SNPs to </w:t>
      </w:r>
      <w:r w:rsidR="00FE0FEE">
        <w:t>INDEL</w:t>
      </w:r>
      <w:r>
        <w:t>s being approximately @@N</w:t>
      </w:r>
      <w:proofErr w:type="gramStart"/>
      <w:r>
        <w:t>:M</w:t>
      </w:r>
      <w:proofErr w:type="gramEnd"/>
      <w:r>
        <w:t>.</w:t>
      </w:r>
      <w:r w:rsidR="00601883">
        <w:t xml:space="preserve"> This level of </w:t>
      </w:r>
      <w:r w:rsidR="00FE0FEE">
        <w:t>INDEL</w:t>
      </w:r>
      <w:r w:rsidR="00601883">
        <w:t xml:space="preserve"> diversity is </w:t>
      </w:r>
      <w:r w:rsidR="00FC41A4">
        <w:t xml:space="preserve">exceptionally high </w:t>
      </w:r>
      <w:r w:rsidR="00601883">
        <w:t>when compared with other species for which data are available, for example, @@</w:t>
      </w:r>
      <w:r w:rsidR="00FE0FEE">
        <w:t xml:space="preserve">TODO </w:t>
      </w:r>
      <w:r w:rsidR="00601883">
        <w:t>comparison SNP:</w:t>
      </w:r>
      <w:r w:rsidR="00FE0FEE">
        <w:t>INDEL</w:t>
      </w:r>
      <w:r w:rsidR="00601883">
        <w:t xml:space="preserve"> rates in other species@@.</w:t>
      </w:r>
      <w:r>
        <w:t xml:space="preserve"> </w:t>
      </w:r>
      <w:r w:rsidR="00FE0FEE">
        <w:t xml:space="preserve">The vast majority of INDELs found in the crosses were expansions or contractions of short tandem repeats (STRs), i.e., microsatellites (figure 1A). In non-coding regions 83% of INDELs were STR length variations, of which 71% were variations within </w:t>
      </w:r>
      <w:proofErr w:type="gramStart"/>
      <w:r w:rsidR="00FE0FEE">
        <w:t>poly(</w:t>
      </w:r>
      <w:proofErr w:type="gramEnd"/>
      <w:r w:rsidR="00FE0FEE">
        <w:t xml:space="preserve">AT) repeats. In coding regions 77% of INDELs were STR variations, of which the majority were within </w:t>
      </w:r>
      <w:proofErr w:type="gramStart"/>
      <w:r w:rsidR="00FE0FEE">
        <w:t>poly(</w:t>
      </w:r>
      <w:proofErr w:type="gramEnd"/>
      <w:r w:rsidR="00FE0FEE">
        <w:t xml:space="preserve">asparagine) or poly(isoleucine) tracts. Tandem repeat sequences are prone to slipped strand mis-pairing during DNA replication (@@REF) and are known to be associated with high rates of INDEL mutation in other species (@@REF). Poly(AT) repeats are very common in the non-coding regions of the </w:t>
      </w:r>
      <w:r w:rsidR="00FE0FEE" w:rsidRPr="00720774">
        <w:rPr>
          <w:i/>
        </w:rPr>
        <w:t>P. falciparum</w:t>
      </w:r>
      <w:r w:rsidR="00FE0FEE">
        <w:t xml:space="preserve"> genome, and poly(asparagine) and poly(isoleucine) repeats are unusually abundant within the </w:t>
      </w:r>
      <w:proofErr w:type="spellStart"/>
      <w:r w:rsidR="00FE0FEE">
        <w:t>exome</w:t>
      </w:r>
      <w:proofErr w:type="spellEnd"/>
      <w:r w:rsidR="00FE0FEE">
        <w:t xml:space="preserve"> (@@REF), hence the high INDEL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INDEL variation, frame shift mutations within coding regions are expected to have severe consequences and hence be negatively selected. Consistent with this expectation, 94% of coding INDELs were found to be size multiples of 3 and hence preserved the reading frame (figure 1A). Within non-coding regions, the potential consequences of INDEL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INDEL diversity in the crosses was found to display a </w:t>
      </w:r>
      <w:r w:rsidR="005F7D85">
        <w:t>specific</w:t>
      </w:r>
      <w:r>
        <w:t xml:space="preserve"> architecture relative to the central positions of these predicted promoters, with an excess of non-STR INDELs within the first 50bp upstream of the promoter centre, and a deficit of STR INDELs 100-200bp upstream and 0-100bp downstream of the promoter centre (figure 1C; supplementary figure @@TODO). Further experimental work will be required to determine whether these INDELs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w:t>
      </w:r>
      <w:r>
        <w:lastRenderedPageBreak/>
        <w:t xml:space="preserve">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 xml:space="preserve">sequencing, thus we take this opportunity to revisit questions regarding meiotic recombination. </w:t>
      </w:r>
      <w:r w:rsidR="00316BAD">
        <w:t>For each cross, SNP and INDEL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haplotype blocks found in the progeny, and to identify both simple and complex conversion tracts (see methods). Because occasional genotyping errors could also manifest as short </w:t>
      </w:r>
      <w:r w:rsidR="00DE05F9">
        <w:t xml:space="preserve">haplotype </w:t>
      </w:r>
      <w:r w:rsidR="00936076">
        <w:t xml:space="preserve">blocks, all putative conversion tracts supported by only </w:t>
      </w:r>
      <w:r w:rsidR="00936076">
        <w:lastRenderedPageBreak/>
        <w:t>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t>Kruskal</w:t>
      </w:r>
      <w:proofErr w:type="spellEnd"/>
      <w:r>
        <w:t>-Wallis H-test) (figure 5A). There was a strong linear correlation between chromosome size and CO recombination rate, with a rate of 0.55 predicted for the smallest chromosome (figure 5B) consistent with 0.5 expected if the recombination rate is calibrated to produce at least one CO per bivalent (@@REF).</w:t>
      </w:r>
    </w:p>
    <w:p w:rsidR="00DE05F9" w:rsidRDefault="009C2480" w:rsidP="009C2480">
      <w:r>
        <w:t>The centromeres were cold</w:t>
      </w:r>
      <w:r w:rsidR="00D96060">
        <w:t>-</w:t>
      </w:r>
      <w:r>
        <w:t xml:space="preserve">spots of CO recombination, </w:t>
      </w:r>
      <w:r w:rsidR="00DE05F9">
        <w:t xml:space="preserve">as expected from studies in other eukaryotes, </w:t>
      </w:r>
      <w:r>
        <w:t xml:space="preserve">although the effect was highly localised (figure 5C).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 xml:space="preserve">section. Of the remaining 324 tracts, 94 were associated with a CO and 230 were assumed to be NCO conversion tracts. The majority of observed NCO conversion tracts had a minimal size less than 1kb, and 73% were smaller than 2kb (figure 5D). The relatively small size of conversion tracts and the available marker density </w:t>
      </w:r>
      <w:r w:rsidR="005D73F0">
        <w:lastRenderedPageBreak/>
        <w:t xml:space="preserve">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length greater than 3kb (figure 5D, figure 5E).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chromosome size and NCO rate (figure 5F)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w:t>
      </w:r>
      <w:r>
        <w:lastRenderedPageBreak/>
        <w:t>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w:t>
      </w:r>
      <w:r w:rsidR="00653393">
        <w:lastRenderedPageBreak/>
        <w:t xml:space="preserve">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indel or smaller CNV variants within the segment that segregate between the two parents. In the analyses of genome variation and recombination described in the preceding sections, all SNP and indel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w:t>
      </w:r>
      <w:r>
        <w:lastRenderedPageBreak/>
        <w:t xml:space="preserve">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Clone C@@ had a region of heterozygosity spanning the entire region duplicated in HB3, with borders that appear</w:t>
      </w:r>
      <w:r w:rsidR="002B5CBF">
        <w:t>ed</w:t>
      </w:r>
      <w:r>
        <w:t xml:space="preserve"> to coincide closely with the breakpoints of the duplication (figure @@N).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7"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w:t>
      </w:r>
      <w:r>
        <w:lastRenderedPageBreak/>
        <w:t xml:space="preserve">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INDEL and complex polymorphisms, and spanning both coding and non-coding regions of the core genome. These data have been calibrated using Mendelian errors and validated using sequencing of biological replicates, and thus represent a well-validated resource. They demonstrate that INDELs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INDEL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INDEL diversity has a particular architecture in </w:t>
      </w:r>
      <w:r w:rsidR="00DF2176">
        <w:lastRenderedPageBreak/>
        <w:t>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INDEL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recombination rate in the range @@-</w:t>
      </w:r>
      <w:r w:rsidR="00605B08">
        <w:lastRenderedPageBreak/>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w:t>
      </w:r>
      <w:r w:rsidR="00DF4B94">
        <w:lastRenderedPageBreak/>
        <w:t xml:space="preserve">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 (@@REF) thus variations in the length of tandem repeat regions could alter the homology network and shift the amplification potential to a different set of loci. We have shown here that INDEL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D51DCC">
        <w:t xml:space="preserve">INDEL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w:t>
      </w:r>
      <w:r>
        <w:lastRenderedPageBreak/>
        <w:t xml:space="preserve">@@TODO.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9E1600" w:rsidRPr="009E1600" w:rsidRDefault="009E1600" w:rsidP="009E1600">
      <w:r>
        <w:t>@@TODO</w:t>
      </w:r>
    </w:p>
    <w:sectPr w:rsidR="009E1600" w:rsidRPr="009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4180F"/>
    <w:rsid w:val="00043C58"/>
    <w:rsid w:val="000645D6"/>
    <w:rsid w:val="00065004"/>
    <w:rsid w:val="00092516"/>
    <w:rsid w:val="00094913"/>
    <w:rsid w:val="000C02A8"/>
    <w:rsid w:val="000C7B24"/>
    <w:rsid w:val="000D1E36"/>
    <w:rsid w:val="000E06C9"/>
    <w:rsid w:val="00161CD0"/>
    <w:rsid w:val="00170A38"/>
    <w:rsid w:val="001C088D"/>
    <w:rsid w:val="001C4E6F"/>
    <w:rsid w:val="001E1229"/>
    <w:rsid w:val="002105BA"/>
    <w:rsid w:val="00213F97"/>
    <w:rsid w:val="0022383E"/>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95FA2"/>
    <w:rsid w:val="003C72B7"/>
    <w:rsid w:val="003D0F25"/>
    <w:rsid w:val="003E6777"/>
    <w:rsid w:val="003F0D40"/>
    <w:rsid w:val="003F1EB5"/>
    <w:rsid w:val="0040749C"/>
    <w:rsid w:val="00414247"/>
    <w:rsid w:val="004177B6"/>
    <w:rsid w:val="0043059A"/>
    <w:rsid w:val="00436C33"/>
    <w:rsid w:val="004412FA"/>
    <w:rsid w:val="00450E72"/>
    <w:rsid w:val="004568E5"/>
    <w:rsid w:val="00467EE6"/>
    <w:rsid w:val="00494F68"/>
    <w:rsid w:val="004B714B"/>
    <w:rsid w:val="004C6EBF"/>
    <w:rsid w:val="004C7856"/>
    <w:rsid w:val="00502205"/>
    <w:rsid w:val="00516EE3"/>
    <w:rsid w:val="00530D8A"/>
    <w:rsid w:val="00530F60"/>
    <w:rsid w:val="00536C74"/>
    <w:rsid w:val="005A3815"/>
    <w:rsid w:val="005B37DB"/>
    <w:rsid w:val="005B671D"/>
    <w:rsid w:val="005D178D"/>
    <w:rsid w:val="005D73F0"/>
    <w:rsid w:val="005E5FE9"/>
    <w:rsid w:val="005F7D85"/>
    <w:rsid w:val="005F7DD3"/>
    <w:rsid w:val="00601883"/>
    <w:rsid w:val="00605B08"/>
    <w:rsid w:val="006065AE"/>
    <w:rsid w:val="00607AA0"/>
    <w:rsid w:val="00653393"/>
    <w:rsid w:val="0066222C"/>
    <w:rsid w:val="0066428C"/>
    <w:rsid w:val="006927BD"/>
    <w:rsid w:val="006C1DD2"/>
    <w:rsid w:val="006E7EA9"/>
    <w:rsid w:val="0072106A"/>
    <w:rsid w:val="00725338"/>
    <w:rsid w:val="00732DD8"/>
    <w:rsid w:val="00760802"/>
    <w:rsid w:val="00773905"/>
    <w:rsid w:val="0077582B"/>
    <w:rsid w:val="007827B2"/>
    <w:rsid w:val="00783242"/>
    <w:rsid w:val="007C6969"/>
    <w:rsid w:val="00831572"/>
    <w:rsid w:val="008336DB"/>
    <w:rsid w:val="0084749C"/>
    <w:rsid w:val="008529A0"/>
    <w:rsid w:val="00873E89"/>
    <w:rsid w:val="008901F1"/>
    <w:rsid w:val="008A5CF4"/>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37A3"/>
    <w:rsid w:val="00B6677C"/>
    <w:rsid w:val="00BA4DCF"/>
    <w:rsid w:val="00BB10EC"/>
    <w:rsid w:val="00BF518B"/>
    <w:rsid w:val="00BF5714"/>
    <w:rsid w:val="00BF5E5E"/>
    <w:rsid w:val="00C37853"/>
    <w:rsid w:val="00C63023"/>
    <w:rsid w:val="00C81D5D"/>
    <w:rsid w:val="00CC57FE"/>
    <w:rsid w:val="00CD711E"/>
    <w:rsid w:val="00D05581"/>
    <w:rsid w:val="00D246DE"/>
    <w:rsid w:val="00D329C7"/>
    <w:rsid w:val="00D51DCC"/>
    <w:rsid w:val="00D6625D"/>
    <w:rsid w:val="00D70420"/>
    <w:rsid w:val="00D7475C"/>
    <w:rsid w:val="00D96060"/>
    <w:rsid w:val="00DA1B2C"/>
    <w:rsid w:val="00DA3665"/>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4AC6"/>
    <w:rsid w:val="00EE5A51"/>
    <w:rsid w:val="00EF2C90"/>
    <w:rsid w:val="00F428AA"/>
    <w:rsid w:val="00F70B94"/>
    <w:rsid w:val="00F7616C"/>
    <w:rsid w:val="00F803F5"/>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5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lariagen.net/apps/pf-cross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ariagen.net/apps/pf-crosses" TargetMode="External"/><Relationship Id="rId5" Type="http://schemas.openxmlformats.org/officeDocument/2006/relationships/hyperlink" Target="http://www.malariagen.net/apps/pf-cro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3372</TotalTime>
  <Pages>18</Pages>
  <Words>7811</Words>
  <Characters>44525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78</cp:revision>
  <dcterms:created xsi:type="dcterms:W3CDTF">2014-11-21T18:07:00Z</dcterms:created>
  <dcterms:modified xsi:type="dcterms:W3CDTF">2014-12-12T13:22:00Z</dcterms:modified>
</cp:coreProperties>
</file>