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A24306" w:rsidRDefault="00A24306" w:rsidP="00A24306">
      <w:r w:rsidRPr="00A24306">
        <w:t xml:space="preserve">Alistair Miles, </w:t>
      </w:r>
      <w:proofErr w:type="spellStart"/>
      <w:r w:rsidRPr="00A24306">
        <w:t>Zamin</w:t>
      </w:r>
      <w:proofErr w:type="spellEnd"/>
      <w:r w:rsidRPr="00A24306">
        <w:t xml:space="preserve"> Iqbal, Paul </w:t>
      </w:r>
      <w:proofErr w:type="spellStart"/>
      <w:r w:rsidRPr="00A24306">
        <w:t>Vauterin</w:t>
      </w:r>
      <w:proofErr w:type="spellEnd"/>
      <w:r w:rsidRPr="00A24306">
        <w:t xml:space="preserve">, Richard Pearson, Susana </w:t>
      </w:r>
      <w:proofErr w:type="spellStart"/>
      <w:r w:rsidRPr="00A24306">
        <w:t>Campino</w:t>
      </w:r>
      <w:proofErr w:type="spellEnd"/>
      <w:r w:rsidRPr="00A24306">
        <w:t xml:space="preserve">, </w:t>
      </w:r>
      <w:r w:rsidR="0004180F">
        <w:t xml:space="preserve">Michel Theron, Kelda Gould, </w:t>
      </w:r>
      <w:r w:rsidRPr="00A24306">
        <w:t xml:space="preserve">Daniel Mead, Eleanor Drury, </w:t>
      </w:r>
      <w:r w:rsidR="00395FA2">
        <w:t xml:space="preserve">John O’Brien, Valentin </w:t>
      </w:r>
      <w:proofErr w:type="spellStart"/>
      <w:r w:rsidR="00395FA2">
        <w:t>Ruano</w:t>
      </w:r>
      <w:proofErr w:type="spellEnd"/>
      <w:r w:rsidR="00395FA2">
        <w:t xml:space="preserve"> Rubio, </w:t>
      </w:r>
      <w:r w:rsidRPr="00A24306">
        <w:t xml:space="preserve">Bronwyn </w:t>
      </w:r>
      <w:proofErr w:type="spellStart"/>
      <w:r w:rsidRPr="00A24306">
        <w:t>MacInnis</w:t>
      </w:r>
      <w:proofErr w:type="spellEnd"/>
      <w:r w:rsidRPr="00A24306">
        <w:t xml:space="preserve">, </w:t>
      </w:r>
      <w:r w:rsidR="0004180F">
        <w:t xml:space="preserve">Karen Hayton, </w:t>
      </w:r>
      <w:r w:rsidRPr="00A24306">
        <w:t xml:space="preserve">Lisa Ranford-Cartwright, Michael </w:t>
      </w:r>
      <w:proofErr w:type="spellStart"/>
      <w:r w:rsidRPr="00A24306">
        <w:t>Ferdig</w:t>
      </w:r>
      <w:proofErr w:type="spellEnd"/>
      <w:r w:rsidRPr="00A24306">
        <w:t xml:space="preserve">, </w:t>
      </w:r>
      <w:proofErr w:type="spellStart"/>
      <w:r w:rsidRPr="00A24306">
        <w:t>Xinzhuan</w:t>
      </w:r>
      <w:proofErr w:type="spellEnd"/>
      <w:r w:rsidRPr="00A24306">
        <w:t xml:space="preserve"> Su, Thomas </w:t>
      </w:r>
      <w:proofErr w:type="spellStart"/>
      <w:r w:rsidRPr="00A24306">
        <w:t>Wellems</w:t>
      </w:r>
      <w:proofErr w:type="spellEnd"/>
      <w:r w:rsidRPr="00A24306">
        <w:t xml:space="preserve">, Julian Rayner, Gil </w:t>
      </w:r>
      <w:proofErr w:type="spellStart"/>
      <w:r w:rsidRPr="00A24306">
        <w:t>McVean</w:t>
      </w:r>
      <w:proofErr w:type="spellEnd"/>
      <w:r w:rsidRPr="00A24306">
        <w:t xml:space="preserve"> and Dominic Kwiatkowski</w:t>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E0FEE">
        <w:t>INDEL</w:t>
      </w:r>
      <w:r w:rsidR="008D7DCE">
        <w:t xml:space="preserve"> and complex polymorphisms. </w:t>
      </w:r>
      <w:r w:rsidR="00F803F5">
        <w:t xml:space="preserve">We confirm that </w:t>
      </w:r>
      <w:r w:rsidR="00FE0FE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6065AE">
        <w:t>exploring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CB6C32">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CB6C32">
        <w:fldChar w:fldCharType="separate"/>
      </w:r>
      <w:r w:rsidR="00194EE4" w:rsidRPr="00194EE4">
        <w:rPr>
          <w:noProof/>
        </w:rPr>
        <w:t>(Ashley et al. 2014)</w:t>
      </w:r>
      <w:r w:rsidR="00CB6C32">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CB6C32">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CB6C32">
        <w:fldChar w:fldCharType="separate"/>
      </w:r>
      <w:r w:rsidR="00CB6C32" w:rsidRPr="00CB6C32">
        <w:rPr>
          <w:noProof/>
        </w:rPr>
        <w:t>(Manske</w:t>
      </w:r>
      <w:r w:rsidR="00DB2FDB">
        <w:rPr>
          <w:noProof/>
        </w:rPr>
        <w:t>, Miotto</w:t>
      </w:r>
      <w:r w:rsidR="00CB6C32" w:rsidRPr="00CB6C32">
        <w:rPr>
          <w:noProof/>
        </w:rPr>
        <w:t xml:space="preserve"> </w:t>
      </w:r>
      <w:r w:rsidR="00CB6C32" w:rsidRPr="00CB6C32">
        <w:rPr>
          <w:noProof/>
        </w:rPr>
        <w:lastRenderedPageBreak/>
        <w:t>et al., 2012; Miotto et al., 2013)</w:t>
      </w:r>
      <w:r w:rsidR="00CB6C32">
        <w:fldChar w:fldCharType="end"/>
      </w:r>
      <w:r w:rsidR="0066222C">
        <w:t xml:space="preserve">, </w:t>
      </w:r>
      <w:r w:rsidR="00DB2FDB">
        <w:t xml:space="preserve">the generation of antigenic diversity </w:t>
      </w:r>
      <w:r w:rsidR="00DB2FDB">
        <w:fldChar w:fldCharType="begin" w:fldLock="1"/>
      </w:r>
      <w:r w:rsidR="00EE1931">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DB2FDB">
        <w:fldChar w:fldCharType="separate"/>
      </w:r>
      <w:r w:rsidR="00DB2FDB" w:rsidRPr="00DB2FDB">
        <w:rPr>
          <w:noProof/>
        </w:rPr>
        <w:t>(Claessens, Hamilton</w:t>
      </w:r>
      <w:r w:rsidR="00DB2FDB">
        <w:rPr>
          <w:noProof/>
        </w:rPr>
        <w:t xml:space="preserve"> et al.</w:t>
      </w:r>
      <w:r w:rsidR="00DB2FDB" w:rsidRPr="00DB2FDB">
        <w:rPr>
          <w:noProof/>
        </w:rPr>
        <w:t>, 2014)</w:t>
      </w:r>
      <w:r w:rsidR="00DB2FDB">
        <w:fldChar w:fldCharType="end"/>
      </w:r>
      <w:r w:rsidR="00DB2FDB">
        <w:t xml:space="preserve"> and </w:t>
      </w:r>
      <w:r w:rsidR="0066222C">
        <w:t xml:space="preserve">the genetic basis for artemisinin resistance </w:t>
      </w:r>
      <w:r w:rsidR="006B37E8">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6B37E8">
        <w:fldChar w:fldCharType="separate"/>
      </w:r>
      <w:r w:rsidR="00194EE4" w:rsidRPr="00194EE4">
        <w:rPr>
          <w:noProof/>
        </w:rPr>
        <w:t>(Ariey et al. 2014)</w:t>
      </w:r>
      <w:r w:rsidR="006B37E8">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BB0C47">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B0C47">
        <w:fldChar w:fldCharType="separate"/>
      </w:r>
      <w:r w:rsidR="00194EE4" w:rsidRPr="00194EE4">
        <w:rPr>
          <w:noProof/>
        </w:rPr>
        <w:t>(Gardner et al. 2002)</w:t>
      </w:r>
      <w:r w:rsidR="00BB0C47">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D1442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D14426">
        <w:fldChar w:fldCharType="separate"/>
      </w:r>
      <w:r w:rsidR="00194EE4" w:rsidRPr="00194EE4">
        <w:rPr>
          <w:noProof/>
        </w:rPr>
        <w:t>(Gardner et al. 2002; Zilversmit et al. 2010; Muralidharan &amp; Goldberg 2013; DePristo et al. 2006)</w:t>
      </w:r>
      <w:r w:rsidR="00D14426">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4531F4">
        <w:fldChar w:fldCharType="begin" w:fldLock="1"/>
      </w:r>
      <w:r w:rsidR="00EE1931">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"author" : [ { "dropping-particle" : "", "family" : "Antoine Claessens, William L. Hamilton, Mihir Kekre, Thomas D. Otto, Adnan Faizullabhoy, Julian C. Rayner", "given" : "Dominic Kwiatkowski", "non-dropping-particle" : "", "parse-names" : false, "suffix" : "" } ], "container-title" : "PLoS genetics", "id" : "ITEM-3",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Freitas-Junior et al. 2000; Antoine Claessens, William L. Hamilton, Mihir Kekre, Thomas D. Otto, Adnan Faizullabhoy, Julian C. Rayner 2014)", "manualFormatting" : "(Claessens, Hamilton et al., 2014; Bopp et al., 2013; Freitas-Junior et al., 2000)", "plainTextFormattedCitation" : "(Bopp et al. 2013; Freitas-Junior et al. 2000; Antoine Claessens, William L. Hamilton, Mihir Kekre, Thomas D. Otto, Adnan Faizullabhoy, Julian C. Rayner 2014)", "previouslyFormattedCitation" : "(Bopp et al. 2013; Freitas-Junior et al. 2000; Antoine Claessens, William L. Hamilton, Mihir Kekre, Thomas D. Otto, Adnan Faizullabhoy, Julian C. Rayner 2014)" }, "properties" : { "noteIndex" : 0 }, "schema" : "https://github.com/citation-style-language/schema/raw/master/csl-citation.json" }</w:instrText>
      </w:r>
      <w:r w:rsidR="004531F4">
        <w:fldChar w:fldCharType="separate"/>
      </w:r>
      <w:r w:rsidR="00DB2FDB" w:rsidRPr="00DB2FDB">
        <w:rPr>
          <w:noProof/>
        </w:rPr>
        <w:t>(Claessens, Hamilton</w:t>
      </w:r>
      <w:r w:rsidR="00DB2FDB">
        <w:rPr>
          <w:noProof/>
        </w:rPr>
        <w:t xml:space="preserve"> et al.</w:t>
      </w:r>
      <w:r w:rsidR="00DB2FDB" w:rsidRPr="00DB2FDB">
        <w:rPr>
          <w:noProof/>
        </w:rPr>
        <w:t>, 2014; Bopp et al., 2013; Freitas-Junior et al., 2000)</w:t>
      </w:r>
      <w:r w:rsidR="004531F4">
        <w:fldChar w:fldCharType="end"/>
      </w:r>
      <w:r w:rsidR="0066222C">
        <w:t xml:space="preserve">. Other genes associated with the blood-stage exhibit deep and possibly ancient allelic dimorphisms under balancing selection </w:t>
      </w:r>
      <w:r w:rsidR="00213F97">
        <w:t xml:space="preserve">where one or more allele families </w:t>
      </w:r>
      <w:r w:rsidR="00530F60">
        <w:t>are</w:t>
      </w:r>
      <w:r w:rsidR="00213F97">
        <w:t xml:space="preserve"> be highly diverged from the reference sequence</w:t>
      </w:r>
      <w:r w:rsidR="001C1697">
        <w:t xml:space="preserve"> </w:t>
      </w:r>
      <w:r w:rsidR="001C1697">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1C1697">
        <w:fldChar w:fldCharType="separate"/>
      </w:r>
      <w:r w:rsidR="00194EE4" w:rsidRPr="00194EE4">
        <w:rPr>
          <w:noProof/>
        </w:rPr>
        <w:t>(Roy et al. 2008)</w:t>
      </w:r>
      <w:r w:rsidR="001C1697">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(INDEL</w:t>
      </w:r>
      <w:r w:rsidR="00C73348">
        <w:t xml:space="preserve">) variation are limited </w:t>
      </w:r>
      <w:r w:rsidR="00530F60">
        <w:t xml:space="preserve">although </w:t>
      </w:r>
      <w:r w:rsidR="003D1E9D">
        <w:t>there is</w:t>
      </w:r>
      <w:r w:rsidR="001C1697">
        <w:t xml:space="preserve"> evidence </w:t>
      </w:r>
      <w:r w:rsidR="00530F60">
        <w:t xml:space="preserve">that INDELs may be unusually abundant </w:t>
      </w:r>
      <w:r w:rsidR="003D1E9D">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3D1E9D">
        <w:fldChar w:fldCharType="separate"/>
      </w:r>
      <w:r w:rsidR="00194EE4" w:rsidRPr="00194EE4">
        <w:rPr>
          <w:noProof/>
        </w:rPr>
        <w:t>(Jeffares et al. 2007; Haerty &amp; Golding 2011; Tan et al. 2010)</w:t>
      </w:r>
      <w:r w:rsidR="003D1E9D">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 xml:space="preserve">gene expression. 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opportunities for errors to arise in the process </w:t>
      </w:r>
      <w:r w:rsidR="00094D11">
        <w:t xml:space="preserve">of high throughput sequencing and </w:t>
      </w:r>
      <w:r>
        <w:t xml:space="preserve">variant calling </w:t>
      </w:r>
      <w:r>
        <w:fldChar w:fldCharType="begin" w:fldLock="1"/>
      </w:r>
      <w:r w:rsidR="00EE1931">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"shortTitle" : "Nat Rev Genet", "title" : "The role of replicates for error mitigation in next-generation sequencing.",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fldChar w:fldCharType="separate"/>
      </w:r>
      <w:r w:rsidR="00194EE4" w:rsidRPr="00194EE4">
        <w:rPr>
          <w:noProof/>
        </w:rPr>
        <w:t>(Robasky et al. 2014)</w:t>
      </w:r>
      <w:r>
        <w:fldChar w:fldCharType="end"/>
      </w:r>
      <w:r>
        <w:t xml:space="preserve">. </w:t>
      </w:r>
      <w:r w:rsidR="00016DA9">
        <w:t>Sequencing of replicates provides one strategy for mitigating errors (ibid.). Also, b</w:t>
      </w:r>
      <w:r w:rsidR="001C088D">
        <w:t xml:space="preserve">y sequencing related individuals, </w:t>
      </w:r>
      <w:r w:rsidR="00213F97">
        <w:t xml:space="preserve">variants </w:t>
      </w:r>
      <w:r w:rsidR="001C088D">
        <w:t xml:space="preserve">that are in violation of Mendelian </w:t>
      </w:r>
      <w:r w:rsidR="000900EE">
        <w:t>inheritance</w:t>
      </w:r>
      <w:r w:rsidR="001C088D">
        <w:t xml:space="preserve"> can be identified. Although such </w:t>
      </w:r>
      <w:r w:rsidR="00213F97">
        <w:t>variants</w:t>
      </w:r>
      <w:r w:rsidR="001C088D">
        <w:t xml:space="preserve"> may occasionally arise naturally, for example through </w:t>
      </w:r>
      <w:r w:rsidR="001C088D">
        <w:rPr>
          <w:i/>
        </w:rPr>
        <w:t>de novo</w:t>
      </w:r>
      <w:r w:rsidR="001C088D">
        <w:t xml:space="preserve"> mutation, in general they </w:t>
      </w:r>
      <w:r w:rsidR="00890734">
        <w:t xml:space="preserve">can be used as an </w:t>
      </w:r>
      <w:r w:rsidR="001C088D">
        <w:t>indic</w:t>
      </w:r>
      <w:r>
        <w:t xml:space="preserve">ator of </w:t>
      </w:r>
      <w:r w:rsidR="00890734">
        <w:t xml:space="preserve">genotyping </w:t>
      </w:r>
      <w:r>
        <w:t>error</w:t>
      </w:r>
      <w:r w:rsidR="00890734">
        <w:t xml:space="preserve"> </w:t>
      </w:r>
      <w:r w:rsidR="00890734">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890734">
        <w:fldChar w:fldCharType="separate"/>
      </w:r>
      <w:r w:rsidR="00194EE4" w:rsidRPr="00194EE4">
        <w:rPr>
          <w:noProof/>
        </w:rPr>
        <w:t>(Saunders et al. 2007)</w:t>
      </w:r>
      <w:r w:rsidR="00890734">
        <w:fldChar w:fldCharType="end"/>
      </w:r>
      <w:r w:rsidR="001C088D">
        <w:t xml:space="preserve">. </w:t>
      </w:r>
      <w:r w:rsidR="00DE11E6">
        <w:t xml:space="preserve">Unfortunately, although pedigrees can be readily obtained for most species, this is currently not the case for </w:t>
      </w:r>
      <w:r w:rsidR="00DE11E6" w:rsidRPr="00DE11E6">
        <w:rPr>
          <w:i/>
        </w:rPr>
        <w:t>P. falciparum</w:t>
      </w:r>
      <w:r w:rsidR="00DE11E6">
        <w:t xml:space="preserve">.  </w:t>
      </w:r>
      <w:r w:rsidR="0040749C">
        <w:t>Although</w:t>
      </w:r>
      <w:r w:rsidR="00A72CFF">
        <w:t xml:space="preserve"> sexually reproducing, the parasite is haploid for the majority of its life cycle, and exists only briefly as a diploid when taken up into the mosquito mid-gut, where it undergoes meiosis</w:t>
      </w:r>
      <w:r w:rsidR="001C1697">
        <w:t xml:space="preserve"> </w:t>
      </w:r>
      <w:r w:rsidR="001C1697">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1C1697">
        <w:fldChar w:fldCharType="separate"/>
      </w:r>
      <w:r w:rsidR="00194EE4" w:rsidRPr="00194EE4">
        <w:rPr>
          <w:noProof/>
        </w:rPr>
        <w:t>(Walliker et al. 1987)</w:t>
      </w:r>
      <w:r w:rsidR="001C1697">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B50155">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B50155">
        <w:fldChar w:fldCharType="separate"/>
      </w:r>
      <w:r w:rsidR="00194EE4" w:rsidRPr="00194EE4">
        <w:rPr>
          <w:noProof/>
        </w:rPr>
        <w:t>(Wellems et al. 1991)</w:t>
      </w:r>
      <w:r w:rsidR="00B50155">
        <w:fldChar w:fldCharType="end"/>
      </w:r>
      <w:r w:rsidR="00A72CFF">
        <w:t xml:space="preserve"> and host specificity </w:t>
      </w:r>
      <w:r w:rsidR="00B50155">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0155">
        <w:fldChar w:fldCharType="separate"/>
      </w:r>
      <w:r w:rsidR="00194EE4" w:rsidRPr="00194EE4">
        <w:rPr>
          <w:noProof/>
        </w:rPr>
        <w:t>(Hayton et al. 2008)</w:t>
      </w:r>
      <w:r w:rsidR="00B50155">
        <w:fldChar w:fldCharType="end"/>
      </w:r>
      <w:r w:rsidR="00A72CFF">
        <w:t xml:space="preserve">. However, although only three crosses have been performed, each cross yields a large number of </w:t>
      </w:r>
      <w:r w:rsidR="00A72CFF">
        <w:lastRenderedPageBreak/>
        <w:t>progeny clones</w:t>
      </w:r>
      <w:r w:rsidR="00EA3CED">
        <w:t>, each the result of an independent meiosis</w:t>
      </w:r>
      <w:r w:rsidR="00A72CFF">
        <w:t xml:space="preserve">, and therefore </w:t>
      </w:r>
      <w:r w:rsidR="0040749C">
        <w:t>provides</w:t>
      </w:r>
      <w:r w:rsidR="00A72CFF">
        <w:t xml:space="preserve"> a much higher power to observe Mendelian errors than smaller pedigrees or trios. These three crosses are therefore a precious resource for studying genome variation in </w:t>
      </w:r>
      <w:r w:rsidR="009E5C7B">
        <w:rPr>
          <w:i/>
        </w:rPr>
        <w:t>P.</w:t>
      </w:r>
      <w:r w:rsidR="00A72CFF">
        <w:rPr>
          <w:i/>
        </w:rPr>
        <w:t xml:space="preserve"> falciparum</w:t>
      </w:r>
      <w:r w:rsidR="00A72CFF">
        <w:t xml:space="preserve">, because </w:t>
      </w:r>
      <w:r w:rsidR="00016DA9">
        <w:t xml:space="preserve">biological replicates can be readily obtained, and because </w:t>
      </w:r>
      <w:r w:rsidR="00A72CFF">
        <w:t>they represent the only</w:t>
      </w:r>
      <w:r w:rsidR="00016DA9">
        <w:t xml:space="preserve"> experimental system</w:t>
      </w:r>
      <w:r w:rsidR="00A72CFF">
        <w:t xml:space="preserve"> within which </w:t>
      </w:r>
      <w:r w:rsidR="00016DA9">
        <w:t>Mendelian errors can be observed</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three distinct continental origins. We use a combination of methods for variant discovery, leveraging both alignment of sequence reads to the 3D7 reference genome </w:t>
      </w:r>
      <w:r w:rsidR="00194EE4">
        <w:fldChar w:fldCharType="begin" w:fldLock="1"/>
      </w:r>
      <w:r w:rsidR="00EE1931">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"mendeley" : { "formattedCitation" : "(DePristo et al. 2011)", "plainTextFormattedCitation" : "(DePristo et al. 2011)", "previouslyFormattedCitation" : "(DePristo et al. 2011)" }, "properties" : { "noteIndex" : 0 }, "schema" : "https://github.com/citation-style-language/schema/raw/master/csl-citation.json" }</w:instrText>
      </w:r>
      <w:r w:rsidR="00194EE4">
        <w:fldChar w:fldCharType="separate"/>
      </w:r>
      <w:r w:rsidR="00194EE4" w:rsidRPr="00194EE4">
        <w:rPr>
          <w:noProof/>
        </w:rPr>
        <w:t>(DePristo et al. 2011)</w:t>
      </w:r>
      <w:r w:rsidR="00194EE4">
        <w:fldChar w:fldCharType="end"/>
      </w:r>
      <w:r w:rsidR="00194EE4">
        <w:t xml:space="preserve"> </w:t>
      </w:r>
      <w:r>
        <w:t>and reference-fre</w:t>
      </w:r>
      <w:r w:rsidR="00194EE4">
        <w:t xml:space="preserve">e sequence assembly </w:t>
      </w:r>
      <w:r w:rsidR="00194EE4">
        <w:fldChar w:fldCharType="begin" w:fldLock="1"/>
      </w:r>
      <w:r w:rsidR="00EE1931">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194EE4">
        <w:fldChar w:fldCharType="separate"/>
      </w:r>
      <w:r w:rsidR="00194EE4" w:rsidRPr="00194EE4">
        <w:rPr>
          <w:noProof/>
        </w:rPr>
        <w:t>(Iqbal et al. 2012)</w:t>
      </w:r>
      <w:r w:rsidR="00194EE4">
        <w:fldChar w:fldCharType="end"/>
      </w:r>
      <w:r w:rsidR="00BF5E5E">
        <w:t xml:space="preserve"> to build a</w:t>
      </w:r>
      <w:r>
        <w:t xml:space="preserve"> map of genome variation within each cross </w:t>
      </w:r>
      <w:r w:rsidR="009044CA">
        <w:t>incorporating</w:t>
      </w:r>
      <w:r>
        <w:t xml:space="preserve"> SNP, </w:t>
      </w:r>
      <w:r w:rsidR="00FE0FE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E0FEE">
        <w:t>INDEL</w:t>
      </w:r>
      <w:r w:rsidR="002759C7">
        <w:t xml:space="preserve">s relative to SNPs, </w:t>
      </w:r>
      <w:r w:rsidR="009044CA">
        <w:t xml:space="preserve">and </w:t>
      </w:r>
      <w:r w:rsidR="002759C7">
        <w:t xml:space="preserve">evidence for </w:t>
      </w:r>
      <w:r w:rsidR="009044CA">
        <w:t>the non-neutral impact of</w:t>
      </w:r>
      <w:r w:rsidR="002759C7">
        <w:t xml:space="preserve"> </w:t>
      </w:r>
      <w:r w:rsidR="00FE0FEE">
        <w:t>INDEL</w:t>
      </w:r>
      <w:r w:rsidR="002759C7">
        <w:t xml:space="preserve">s within </w:t>
      </w:r>
      <w:r w:rsidR="009044CA">
        <w:t xml:space="preserve">both </w:t>
      </w:r>
      <w:r w:rsidR="002759C7">
        <w:t xml:space="preserve">coding </w:t>
      </w:r>
      <w:r w:rsidR="009044CA">
        <w:t xml:space="preserve">and non-coding </w:t>
      </w:r>
      <w:r w:rsidR="002759C7">
        <w:t xml:space="preserve">regions. </w:t>
      </w:r>
      <w:r w:rsidR="001C4E6F">
        <w:t>Because these data represent a valuable reference resource for both research and education, we describe a novel web application providing a means for exploring and interacting with these data in an intuitive way.</w:t>
      </w:r>
    </w:p>
    <w:p w:rsidR="001C4E6F" w:rsidRDefault="00A32224" w:rsidP="001C088D">
      <w:r>
        <w:t xml:space="preserve">We also take this opportunity to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 xml:space="preserve">Previous studies have estimated the crossover recombination rate </w:t>
      </w:r>
      <w:r w:rsidR="00EE1931">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EE1931">
        <w:fldChar w:fldCharType="separate"/>
      </w:r>
      <w:r w:rsidR="00EE1931" w:rsidRPr="00EE1931">
        <w:rPr>
          <w:noProof/>
        </w:rPr>
        <w:t>(Su et al. 1999; Jiang et al. 2011; Walker-Jonah et al. 1992)</w:t>
      </w:r>
      <w:r w:rsidR="00EE1931">
        <w:fldChar w:fldCharType="end"/>
      </w:r>
      <w:r w:rsidR="00065004">
        <w:t>, provided evidence that non-crossover events occur</w:t>
      </w:r>
      <w:r w:rsidR="00EE1931">
        <w:t xml:space="preserve"> </w:t>
      </w:r>
      <w:r w:rsidR="00EE1931">
        <w:fldChar w:fldCharType="begin" w:fldLock="1"/>
      </w:r>
      <w:r w:rsidR="007A475F">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EE1931">
        <w:fldChar w:fldCharType="separate"/>
      </w:r>
      <w:r w:rsidR="00EE1931" w:rsidRPr="00EE1931">
        <w:rPr>
          <w:noProof/>
        </w:rPr>
        <w:t>(Su et al. 1999; Samarakoon, Regier, et al. 2011)</w:t>
      </w:r>
      <w:r w:rsidR="00EE1931">
        <w:fldChar w:fldCharType="end"/>
      </w:r>
      <w:r w:rsidR="006E7EA9">
        <w:t xml:space="preserve">, demonstrated that at least some recombination events occur within coding regions </w:t>
      </w:r>
      <w:r w:rsidR="00EE1931">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EE1931">
        <w:fldChar w:fldCharType="separate"/>
      </w:r>
      <w:r w:rsidR="00EE1931" w:rsidRPr="00EE1931">
        <w:rPr>
          <w:noProof/>
        </w:rPr>
        <w:t>(Kerr et al. 1994)</w:t>
      </w:r>
      <w:r w:rsidR="00EE1931">
        <w:fldChar w:fldCharType="end"/>
      </w:r>
      <w:r w:rsidR="00065004">
        <w:t xml:space="preserve"> and suggested that recombination events are not uniformly distributed </w:t>
      </w:r>
      <w:r w:rsidR="006E7EA9">
        <w:t xml:space="preserve">over the genome </w:t>
      </w:r>
      <w:r w:rsidR="00EE1931">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EE1931">
        <w:fldChar w:fldCharType="separate"/>
      </w:r>
      <w:r w:rsidR="00EE1931" w:rsidRPr="00EE1931">
        <w:rPr>
          <w:noProof/>
        </w:rPr>
        <w:t>(Jiang et al. 2011)</w:t>
      </w:r>
      <w:r w:rsidR="00EE1931">
        <w:fldChar w:fldCharType="end"/>
      </w:r>
      <w:r w:rsidR="006E7EA9">
        <w:t xml:space="preserve">. Here we combine SNP and </w:t>
      </w:r>
      <w:r w:rsidR="00FE0FE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EE1931">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EE1931">
        <w:fldChar w:fldCharType="separate"/>
      </w:r>
      <w:r w:rsidR="00EE1931" w:rsidRPr="00EE1931">
        <w:rPr>
          <w:noProof/>
        </w:rPr>
        <w:t>(Wellems et al. 1990; Samarakoon, Gonzales, et al. 2011)</w:t>
      </w:r>
      <w:r w:rsidR="00EE1931">
        <w:fldChar w:fldCharType="end"/>
      </w:r>
      <w:r w:rsidR="006E7EA9">
        <w:t xml:space="preserve">. </w:t>
      </w:r>
      <w:r w:rsidR="001C4E6F">
        <w:t xml:space="preserve">We find evidence for crossover recombination within these amplifications </w:t>
      </w:r>
      <w:r w:rsidR="001C4E6F">
        <w:lastRenderedPageBreak/>
        <w:t>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if limited by 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a parent and progeny clones </w:t>
      </w:r>
      <w:r w:rsidR="007A475F">
        <w:t xml:space="preserve">from the crosses 3D7×HB3 </w:t>
      </w:r>
      <w:r w:rsidR="007A475F">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7A475F">
        <w:fldChar w:fldCharType="separate"/>
      </w:r>
      <w:r w:rsidR="007A475F" w:rsidRPr="007A475F">
        <w:rPr>
          <w:noProof/>
        </w:rPr>
        <w:t>(Walliker et al. 1987)</w:t>
      </w:r>
      <w:r w:rsidR="007A475F">
        <w:fldChar w:fldCharType="end"/>
      </w:r>
      <w:r w:rsidR="007A475F">
        <w:t xml:space="preserve">, HB3×Dd2 </w:t>
      </w:r>
      <w:r w:rsidR="007A475F">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7A475F">
        <w:fldChar w:fldCharType="separate"/>
      </w:r>
      <w:r w:rsidR="007A475F" w:rsidRPr="007A475F">
        <w:rPr>
          <w:noProof/>
        </w:rPr>
        <w:t>(Wellems et al. 1990; Wellems et al. 1991)</w:t>
      </w:r>
      <w:r w:rsidR="007A475F">
        <w:fldChar w:fldCharType="end"/>
      </w:r>
      <w:r w:rsidR="007A475F">
        <w:t xml:space="preserve"> and 7G8×GB4 </w:t>
      </w:r>
      <w:r w:rsidR="007A475F">
        <w:fldChar w:fldCharType="begin" w:fldLock="1"/>
      </w:r>
      <w:r w:rsidR="007A475F">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 "properties" : { "noteIndex" : 0 }, "schema" : "https://github.com/citation-style-language/schema/raw/master/csl-citation.json" }</w:instrText>
      </w:r>
      <w:r w:rsidR="007A475F">
        <w:fldChar w:fldCharType="separate"/>
      </w:r>
      <w:r w:rsidR="007A475F" w:rsidRPr="007A475F">
        <w:rPr>
          <w:noProof/>
        </w:rPr>
        <w:t>(Hayton et al. 2008)</w:t>
      </w:r>
      <w:r w:rsidR="007A475F">
        <w:fldChar w:fldCharType="end"/>
      </w:r>
      <w:bookmarkStart w:id="0" w:name="_GoBack"/>
      <w:bookmarkEnd w:id="0"/>
      <w:r>
        <w:t xml:space="preserve"> were sequenced using Illumina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 xml:space="preserve">coverage across both coding and non-coding regions </w:t>
      </w:r>
      <w:r w:rsidR="0072106A">
        <w:t>(@@REF).</w:t>
      </w:r>
      <w:r>
        <w:t xml:space="preserve"> </w:t>
      </w:r>
      <w:r w:rsidR="0072106A">
        <w:t xml:space="preserve">The clone HB3 is a parent in two crosses, however because DNA samples were obtained from different sources and had different culturing histories the two HB3 clones were sequenced and genotyped separately, and are here labelled HB3(1) and HB3(2) for crosses 3D7 x HB3 and HB3 x Dd2 respectively. The progeny clones </w:t>
      </w:r>
      <w:r w:rsidR="00BA4DCF">
        <w:t xml:space="preserve">from all crosses </w:t>
      </w:r>
      <w:r w:rsidR="0072106A">
        <w:t>had previously been isolated via limiting dilution and s</w:t>
      </w:r>
      <w:r w:rsidR="006C1DD2">
        <w:t>hown to each be derived from independent meiose</w:t>
      </w:r>
      <w:r w:rsidR="0072106A">
        <w:t>s</w:t>
      </w:r>
      <w:r w:rsidR="009E51A2">
        <w:t xml:space="preserve"> (@@REF)</w:t>
      </w:r>
      <w:r w:rsidR="0072106A">
        <w:t xml:space="preserve">. For several progeny 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sequenced and genotyped separately,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6"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64667">
        <w:rPr>
          <w:b/>
        </w:rPr>
        <w:t>core genome</w:t>
      </w:r>
      <w:r w:rsidR="00B1349E">
        <w:t xml:space="preserve"> (20.8Mb) comprising regions of near-complete coverage and unambiguous alignments in all samples</w:t>
      </w:r>
      <w:r w:rsidR="00B1349E" w:rsidRPr="00E64667">
        <w:t xml:space="preserve">; </w:t>
      </w:r>
      <w:r w:rsidR="00B1349E" w:rsidRPr="00E64667">
        <w:rPr>
          <w:b/>
        </w:rPr>
        <w:t xml:space="preserve">hypervariable regions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64667">
        <w:rPr>
          <w:b/>
        </w:rPr>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5D178D">
        <w:t xml:space="preserve"> </w:t>
      </w:r>
      <w:proofErr w:type="spellStart"/>
      <w:r w:rsidR="005D178D">
        <w:rPr>
          <w:i/>
        </w:rPr>
        <w:t>var</w:t>
      </w:r>
      <w:proofErr w:type="spellEnd"/>
      <w:r w:rsidR="005D178D">
        <w:t xml:space="preserve"> family</w:t>
      </w:r>
      <w:r w:rsidR="00AD509E">
        <w:t xml:space="preserve">, </w:t>
      </w:r>
      <w:r w:rsidR="00AD509E">
        <w:lastRenderedPageBreak/>
        <w:t xml:space="preserve">which are known to undergo </w:t>
      </w:r>
      <w:r w:rsidR="00A55587">
        <w:t>frequent</w:t>
      </w:r>
      <w:r w:rsidR="00AD509E">
        <w:t xml:space="preserve"> non-allelic recombination during mitosis (@@REF),</w:t>
      </w:r>
      <w:r w:rsidR="005D178D">
        <w:t xml:space="preserve"> and almost all genes in the </w:t>
      </w:r>
      <w:r w:rsidR="00AD509E">
        <w:t xml:space="preserve">associated </w:t>
      </w:r>
      <w:proofErr w:type="spellStart"/>
      <w:proofErr w:type="gramStart"/>
      <w:r w:rsidR="005D178D">
        <w:rPr>
          <w:i/>
        </w:rPr>
        <w:t>rif</w:t>
      </w:r>
      <w:proofErr w:type="spellEnd"/>
      <w:proofErr w:type="gramEnd"/>
      <w:r w:rsidR="005D178D">
        <w:t xml:space="preserve"> and </w:t>
      </w:r>
      <w:proofErr w:type="spellStart"/>
      <w:r w:rsidR="005D178D">
        <w:rPr>
          <w:i/>
        </w:rPr>
        <w:t>stevor</w:t>
      </w:r>
      <w:proofErr w:type="spellEnd"/>
      <w:r w:rsidR="005D178D">
        <w:t xml:space="preserve"> families</w:t>
      </w:r>
      <w:r w:rsidR="00AD509E">
        <w:t>. H</w:t>
      </w:r>
      <w:r w:rsidR="005D178D">
        <w:t>ypervariable regions also correspond</w:t>
      </w:r>
      <w:r w:rsidR="000C02A8">
        <w:t>ed</w:t>
      </w:r>
      <w:r w:rsidR="005D178D">
        <w:t xml:space="preserve"> closely with regions of heterochromatin (@@REF).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web application, and may be of </w:t>
      </w:r>
      <w:r w:rsidR="006C1DD2">
        <w:t>use</w:t>
      </w:r>
      <w:r w:rsidR="00D05581">
        <w:t xml:space="preserve"> to others</w:t>
      </w:r>
      <w:r>
        <w:t xml:space="preserve"> studying these important</w:t>
      </w:r>
      <w:r w:rsidR="00D05581">
        <w:t xml:space="preserve"> regions.</w:t>
      </w:r>
    </w:p>
    <w:p w:rsidR="00831572" w:rsidRDefault="00831572" w:rsidP="00831572">
      <w:pPr>
        <w:pStyle w:val="Heading3"/>
      </w:pPr>
      <w:r>
        <w:t xml:space="preserve">SNP, </w:t>
      </w:r>
      <w:r w:rsidR="00FE0FEE">
        <w:t>INDEL</w:t>
      </w:r>
      <w:r>
        <w:t xml:space="preserve"> and complex variation</w:t>
      </w:r>
      <w:r w:rsidR="00092516">
        <w:t xml:space="preserve"> within the core genome</w:t>
      </w:r>
    </w:p>
    <w:p w:rsidR="00BF5714" w:rsidRDefault="00BF5714" w:rsidP="00831572">
      <w:r>
        <w:t xml:space="preserve">SNPs, small </w:t>
      </w:r>
      <w:r w:rsidR="00FE0FEE">
        <w:t>INDEL</w:t>
      </w:r>
      <w:r>
        <w:t xml:space="preserve">s and regions of complex polymorphism were discovered and genotyped within each cross by two independent methods, one based on alignment of sequence reads to the 3D7 reference genome (@@REFs), the other based on partial assembly of sequence reads and comparison of assembled contigs (@@REF).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E0FE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E0FEE">
        <w:t>INDEL</w:t>
      </w:r>
      <w:r w:rsidR="004177B6">
        <w:t xml:space="preserve">s, or comparing results of the two variant calling methods. </w:t>
      </w:r>
      <w:r w:rsidR="003F0D40">
        <w:t xml:space="preserve">Many variants were discovered by both </w:t>
      </w:r>
      <w:proofErr w:type="gramStart"/>
      <w:r w:rsidR="003F0D40">
        <w:t>methods,</w:t>
      </w:r>
      <w:proofErr w:type="gramEnd"/>
      <w:r w:rsidR="003F0D40">
        <w:t xml:space="preserve">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part of a separate project (@@REF</w:t>
      </w:r>
      <w:r w:rsidR="00995125">
        <w:t xml:space="preserve"> Pf3k</w:t>
      </w:r>
      <w:r w:rsidR="00EC2A4A">
        <w:t>) and will be reported elsewhere.</w:t>
      </w:r>
      <w:r w:rsidR="00995125">
        <w:t xml:space="preserve"> To provide the greatest possible resolution for the present study, filtered variants called by each method were combined into a single call set for each cross (see methods). All SNP and </w:t>
      </w:r>
      <w:r w:rsidR="00FE0FEE">
        <w:t>INDEL</w:t>
      </w:r>
      <w:r w:rsidR="00995125">
        <w:t xml:space="preserve"> calls can be downloaded from a public FTP site (@@REF) or browsed via the web application at </w:t>
      </w:r>
      <w:hyperlink r:id="rId7" w:history="1">
        <w:r w:rsidR="00995125" w:rsidRPr="000B39EA">
          <w:rPr>
            <w:rStyle w:val="Hyperlink"/>
          </w:rPr>
          <w:t>http://www.malariagen.net/apps/pf-crosses</w:t>
        </w:r>
      </w:hyperlink>
      <w:r w:rsidR="00995125">
        <w:t xml:space="preserve">. </w:t>
      </w:r>
    </w:p>
    <w:p w:rsidR="00A4677A" w:rsidRDefault="00A4677A" w:rsidP="00A4677A">
      <w:pPr>
        <w:pStyle w:val="Heading4"/>
      </w:pPr>
      <w:r>
        <w:lastRenderedPageBreak/>
        <w:t>INDELs are the most abundant form of polymorphism</w:t>
      </w:r>
    </w:p>
    <w:p w:rsidR="00FE0FEE" w:rsidRDefault="008A5CF4" w:rsidP="00601883">
      <w:r>
        <w:t xml:space="preserve">Analysis of the combined variant call sets revealed that, within the core genome, </w:t>
      </w:r>
      <w:r w:rsidR="00FE0FEE">
        <w:t>INDEL</w:t>
      </w:r>
      <w:r>
        <w:t xml:space="preserve">s were more abundant than SNPs in all three crosses (table @@N). Overall 83% of </w:t>
      </w:r>
      <w:r w:rsidR="00FE0FEE">
        <w:t>INDEL</w:t>
      </w:r>
      <w:r>
        <w:t xml:space="preserve">s were found in non-coding regions, where </w:t>
      </w:r>
      <w:r w:rsidR="00FE0FEE">
        <w:t>INDEL</w:t>
      </w:r>
      <w:r>
        <w:t xml:space="preserve">s were 3 times more abundant than SNPs. </w:t>
      </w:r>
      <w:r w:rsidR="00FE0FEE">
        <w:t>INDEL</w:t>
      </w:r>
      <w:r>
        <w:t xml:space="preserve">s were also relatively abundant in coding regions, with the ratio of SNPs to </w:t>
      </w:r>
      <w:r w:rsidR="00FE0FEE">
        <w:t>INDEL</w:t>
      </w:r>
      <w:r>
        <w:t>s being approximately @@N</w:t>
      </w:r>
      <w:proofErr w:type="gramStart"/>
      <w:r>
        <w:t>:M</w:t>
      </w:r>
      <w:proofErr w:type="gramEnd"/>
      <w:r>
        <w:t>.</w:t>
      </w:r>
      <w:r w:rsidR="00601883">
        <w:t xml:space="preserve"> This level of </w:t>
      </w:r>
      <w:r w:rsidR="00FE0FEE">
        <w:t>INDEL</w:t>
      </w:r>
      <w:r w:rsidR="00601883">
        <w:t xml:space="preserve"> diversity is </w:t>
      </w:r>
      <w:r w:rsidR="00FC41A4">
        <w:t xml:space="preserve">exceptionally high </w:t>
      </w:r>
      <w:r w:rsidR="00601883">
        <w:t>when compared with other species for which data are available, for example, @@</w:t>
      </w:r>
      <w:r w:rsidR="00FE0FEE">
        <w:t xml:space="preserve">TODO </w:t>
      </w:r>
      <w:r w:rsidR="00601883">
        <w:t>comparison SNP:</w:t>
      </w:r>
      <w:r w:rsidR="00FE0FEE">
        <w:t>INDEL</w:t>
      </w:r>
      <w:r w:rsidR="00601883">
        <w:t xml:space="preserve"> rates in other species@@.</w:t>
      </w:r>
      <w:r>
        <w:t xml:space="preserve"> </w:t>
      </w:r>
      <w:r w:rsidR="00FE0FEE">
        <w:t xml:space="preserve">The vast majority of INDELs found in the crosses were expansions or contractions of short tandem repeats (STRs), i.e., microsatellites (figure 1A). In non-coding regions 83% of INDELs were STR length variations, of which 71% were variations within </w:t>
      </w:r>
      <w:proofErr w:type="gramStart"/>
      <w:r w:rsidR="00FE0FEE">
        <w:t>poly(</w:t>
      </w:r>
      <w:proofErr w:type="gramEnd"/>
      <w:r w:rsidR="00FE0FEE">
        <w:t xml:space="preserve">AT) repeats. In coding regions 77% of INDELs were STR variations, of which the majority were within </w:t>
      </w:r>
      <w:proofErr w:type="gramStart"/>
      <w:r w:rsidR="00FE0FEE">
        <w:t>poly(</w:t>
      </w:r>
      <w:proofErr w:type="gramEnd"/>
      <w:r w:rsidR="00FE0FEE">
        <w:t xml:space="preserve">asparagine) or poly(isoleucine) tracts. Tandem repeat sequences are prone to slipped strand mis-pairing during DNA replication (@@REF) and are known to be associated with high rates of INDEL mutation in other species (@@REF). Poly(AT) repeats are very common in the non-coding regions of the </w:t>
      </w:r>
      <w:r w:rsidR="00FE0FEE" w:rsidRPr="00720774">
        <w:rPr>
          <w:i/>
        </w:rPr>
        <w:t>P. falciparum</w:t>
      </w:r>
      <w:r w:rsidR="00FE0FEE">
        <w:t xml:space="preserve"> genome, and poly(asparagine) and poly(isoleucine) repeats are unusually abundant within the </w:t>
      </w:r>
      <w:proofErr w:type="spellStart"/>
      <w:r w:rsidR="00FE0FEE">
        <w:t>exome</w:t>
      </w:r>
      <w:proofErr w:type="spellEnd"/>
      <w:r w:rsidR="00FE0FEE">
        <w:t xml:space="preserve"> (@@REF), hence the high INDEL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INDEL variation, frame shift mutations within coding regions are expected to have severe consequences and hence be negatively selected. Consistent with this expectation, 94% of coding INDELs were found to be size multiples of 3 and hence preserved the reading frame (figure 1A). Within non-coding regions, the potential consequences of INDEL mutations are harder to predict. Relatively little is known about the transcription machinery in </w:t>
      </w:r>
      <w:r w:rsidRPr="00634937">
        <w:rPr>
          <w:i/>
        </w:rPr>
        <w:t>P</w:t>
      </w:r>
      <w:r>
        <w:rPr>
          <w:i/>
        </w:rPr>
        <w:t>.</w:t>
      </w:r>
      <w:r w:rsidRPr="00634937">
        <w:rPr>
          <w:i/>
        </w:rPr>
        <w:t xml:space="preserve"> </w:t>
      </w:r>
      <w:proofErr w:type="gramStart"/>
      <w:r w:rsidRPr="00634937">
        <w:rPr>
          <w:i/>
        </w:rPr>
        <w:t>falciparum</w:t>
      </w:r>
      <w:r>
        <w:t>,</w:t>
      </w:r>
      <w:proofErr w:type="gramEnd"/>
      <w:r>
        <w:t xml:space="preserve"> however, @@REF predicted the location of core promoters upstream of @@N genes based on a training set of known transcription start sites (@@REF). Intergenic INDEL diversity in the crosses was found to display a </w:t>
      </w:r>
      <w:r w:rsidR="005F7D85">
        <w:t>specific</w:t>
      </w:r>
      <w:r>
        <w:t xml:space="preserve"> architecture relative to the central positions of these predicted promoters, with an excess of non-STR INDELs within the first 50bp upstream of the promoter centre, and a deficit of STR INDELs 100-200bp upstream and 0-100bp downstream of the promoter centre (figure 1C; supplementary figure @@TODO). Further experimental work will be required to determine whether these INDELs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a handful of loci with highly diverged alleles, where local diversity over a region up to 2kb was between 2 and 3 orders of magnitude greater (figure 2). These divergent loci were found almost exclusively within coding regions of genes </w:t>
      </w:r>
      <w:r>
        <w:lastRenderedPageBreak/>
        <w:t xml:space="preserve">associated with the merozoite life cycle stage, where the parasite is briefly exposed to the host immune system before invading another erythrocyte, and include several well-studied merozoite surface antigens. The most extreme example was MSP1 (@@ID), a highly expressed protein located at the merozoite surface (@@REF), where several regions of the gene are known to exhibit deep allelic dimorphism (@@REF). The complex variation at these loci could not be accessed by the alignment method, because sequences were two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divergent regions of MSP1 (@@TODO clarify which parts) as </w:t>
      </w:r>
      <w:r w:rsidR="009255D4">
        <w:t xml:space="preserve">verified </w:t>
      </w:r>
      <w:r>
        <w:t>by comparison with capillary sequence data (@@Genbank, @@REFs).</w:t>
      </w:r>
      <w:r w:rsidR="009255D4">
        <w:t xml:space="preserve"> Other genes where peaks of diversity were found and alleles could be assembled include merozoite surface proteins in the </w:t>
      </w:r>
      <w:r w:rsidR="009255D4" w:rsidRPr="008323B7">
        <w:t>MSP3</w:t>
      </w:r>
      <w:r w:rsidR="009255D4">
        <w:t xml:space="preserve"> family (</w:t>
      </w:r>
      <w:r w:rsidR="009255D4" w:rsidRPr="008323B7">
        <w:t>MSP3</w:t>
      </w:r>
      <w:r w:rsidR="009255D4">
        <w:t xml:space="preserve">, </w:t>
      </w:r>
      <w:r w:rsidR="009255D4" w:rsidRPr="008323B7">
        <w:t>MSP6</w:t>
      </w:r>
      <w:r w:rsidR="009255D4">
        <w:t xml:space="preserve">, </w:t>
      </w:r>
      <w:r w:rsidR="009255D4" w:rsidRPr="008323B7">
        <w:t>DBLMSP</w:t>
      </w:r>
      <w:r w:rsidR="009255D4">
        <w:t xml:space="preserve">, </w:t>
      </w:r>
      <w:proofErr w:type="gramStart"/>
      <w:r w:rsidR="009255D4" w:rsidRPr="008323B7">
        <w:t>DBLMSP2</w:t>
      </w:r>
      <w:proofErr w:type="gramEnd"/>
      <w:r w:rsidR="009255D4">
        <w:t xml:space="preserve">), members of the </w:t>
      </w:r>
      <w:proofErr w:type="spellStart"/>
      <w:r w:rsidR="009255D4">
        <w:rPr>
          <w:i/>
        </w:rPr>
        <w:t>surfin</w:t>
      </w:r>
      <w:proofErr w:type="spellEnd"/>
      <w:r w:rsidR="009255D4">
        <w:t xml:space="preserve"> family (SURF1.2, SURF4.1, SURF4.2, SURF8.2, SURF13.1, SURF14.1) and PF3D7_0113800 (a DBL-containing protein with unknown function on chromosome 1). A notable exception to the pattern of merozoite expression is PF3D7_0104100 which is transcribed by the sporozoite specifically within the mosquito salivary gland (@@REF) suggesting involvement in the early stages of infection. Several of these genes are blood-stage vaccine candidates and/or are being actively studied for their role in erythrocyte invasion, and comprehensive knowledge of variation at these loci is essential for the design of effective vaccines and invasion assays. </w:t>
      </w:r>
      <w:r w:rsidR="002105BA">
        <w:t xml:space="preserve">These data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derive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For each cross, SNP and INDEL variants combined from both calling methods were used as a set of segregating markers for analyses of meiotic recombination</w:t>
      </w:r>
      <w:r w:rsidR="00936076">
        <w:t xml:space="preserve"> (table 1)</w:t>
      </w:r>
      <w:r w:rsidR="00316BAD">
        <w:t>.</w:t>
      </w:r>
      <w:r w:rsidR="00936076">
        <w:t xml:space="preserve"> The average distance between markers was @@-@@</w:t>
      </w:r>
      <w:proofErr w:type="spellStart"/>
      <w:r w:rsidR="00936076">
        <w:t>bp</w:t>
      </w:r>
      <w:proofErr w:type="spellEnd"/>
      <w:r w:rsidR="00936076">
        <w:t xml:space="preserve">, approximately an order of magnitude greater resolution than that available </w:t>
      </w:r>
      <w:r w:rsidR="00320E71">
        <w:t>previously</w:t>
      </w:r>
      <w:r w:rsidR="00936076">
        <w:t xml:space="preserve"> (@@REF; @@CHECK). In eukaryotes, programmed double strand breaks (DSBs) during meiosis are resolved by either crossover (CO) or non-crossover (NCO) between homologous chromosomes (@@REFs). A CO is a reciprocal exchange accompanied by a conversion tract, whereas an NCO is a conversion tract </w:t>
      </w:r>
      <w:r w:rsidR="00936076">
        <w:lastRenderedPageBreak/>
        <w:t>without reciprocal exchange.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and complex conversion tracts (see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C2480">
      <w:r>
        <w:t>Combining CO events from all three crosses, the total map length of the core genome was 15.7 Morgan (95% confidence interval: 14.8-16.6). The total marker span was 21.16Mb giving an average CO recombination rate of 13.5 kb/</w:t>
      </w:r>
      <w:proofErr w:type="spellStart"/>
      <w:r>
        <w:t>cM</w:t>
      </w:r>
      <w:proofErr w:type="spellEnd"/>
      <w:r>
        <w:t xml:space="preserve">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proofErr w:type="spellStart"/>
      <w:r w:rsidR="00C82549">
        <w:t>Kruskal</w:t>
      </w:r>
      <w:proofErr w:type="spellEnd"/>
      <w:r w:rsidR="00C82549">
        <w:t>-Wallis H-test) (figure 3</w:t>
      </w:r>
      <w:r>
        <w:t>A). There was a strong linear correlation between chromosome size and CO recombination rate, with a rate of 0.55 predicted for t</w:t>
      </w:r>
      <w:r w:rsidR="00C82549">
        <w:t>he smallest chromosome (figure 3</w:t>
      </w:r>
      <w:r>
        <w:t xml:space="preserve">B) consistent with 0.5 expected if the recombination rate is calibrated to </w:t>
      </w:r>
      <w:r w:rsidR="00022BF0">
        <w:t xml:space="preserve">produce </w:t>
      </w:r>
      <w:r w:rsidR="00C82549">
        <w:t xml:space="preserve">at least </w:t>
      </w:r>
      <w:r>
        <w:t xml:space="preserve">one CO per </w:t>
      </w:r>
      <w:r w:rsidR="00C82549">
        <w:t xml:space="preserve">chromosome pair </w:t>
      </w:r>
      <w:r>
        <w:t>(@@REF).</w:t>
      </w:r>
    </w:p>
    <w:p w:rsidR="00DE05F9" w:rsidRDefault="009C2480" w:rsidP="009C2480">
      <w:r>
        <w:t>The centromeres were cold</w:t>
      </w:r>
      <w:r w:rsidR="00D96060">
        <w:t>-</w:t>
      </w:r>
      <w:r>
        <w:t xml:space="preserve">spots of CO recombination, </w:t>
      </w:r>
      <w:r w:rsidR="00DE05F9">
        <w:t xml:space="preserve">as expected from studies in other eukaryotes,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with both flanking markers within a gene, 162 (13%) were within an intergenic region, and 636 (53%) were ambiguous (flanking markers spanned a gene boundary). The number of CO events observed within a gene was significantly higher than expected if CO events were distributed uniformly over the genome (P=0.001 by Monte Carlo simulation). Of the 396 COs observed within a gene, 298 (75%) occurred within an exon, 3 (1%) were within an intron, and 95 (24%) spanned an exon boundary. The number of COs observed within exons was also significantly higher than expected if COs occurred uniformly within genes (P&lt;0.001 by Monte Carlo simulation). </w:t>
      </w:r>
      <w:r w:rsidR="00320E71">
        <w:t>T</w:t>
      </w:r>
      <w:r>
        <w:t>h</w:t>
      </w:r>
      <w:r w:rsidR="00D96060">
        <w:t>us</w:t>
      </w:r>
      <w:r>
        <w:t xml:space="preserve"> a substantial fraction of all CO events occur in coding regions</w:t>
      </w:r>
      <w:r w:rsidR="005D73F0">
        <w:t>, in contrast with higher eukaryotes where recombination occurs almost exclusively within intergenic regions (@@REFs</w:t>
      </w:r>
      <w:r w:rsidR="00320E71">
        <w:t xml:space="preserve">). </w:t>
      </w:r>
      <w:r>
        <w:t xml:space="preserve"> </w:t>
      </w:r>
    </w:p>
    <w:p w:rsidR="005D73F0" w:rsidRDefault="00242B17" w:rsidP="005D73F0">
      <w:pPr>
        <w:pStyle w:val="Heading4"/>
      </w:pPr>
      <w:r>
        <w:t xml:space="preserve">Estimation of </w:t>
      </w:r>
      <w:r w:rsidR="00DA1B2C">
        <w:t>conversion tract</w:t>
      </w:r>
      <w:r>
        <w:t xml:space="preserve"> length</w:t>
      </w:r>
      <w:r w:rsidR="00C81D5D">
        <w:t xml:space="preserve"> and NCO recombination rate</w:t>
      </w:r>
    </w:p>
    <w:p w:rsidR="005D73F0" w:rsidRDefault="00320E71" w:rsidP="005D73F0">
      <w:r>
        <w:t>Although p</w:t>
      </w:r>
      <w:r w:rsidR="005D73F0">
        <w:t xml:space="preserve">revious studies </w:t>
      </w:r>
      <w:r>
        <w:t>using</w:t>
      </w:r>
      <w:r w:rsidR="005D73F0">
        <w:t xml:space="preserve"> these crosses have provided evidence for non-crossover conversion (@@REFs) no estimates have been made for the rate of NCO recombination or the distribution of conversion tract lengths. Of the 331 conversion tracts observed, an outlying group of 7 very long </w:t>
      </w:r>
      <w:r w:rsidR="005D73F0">
        <w:lastRenderedPageBreak/>
        <w:t xml:space="preserve">(&gt;18kb) complex tracts was found, described further in the next </w:t>
      </w:r>
      <w:r>
        <w:t>sub-</w:t>
      </w:r>
      <w:r w:rsidR="005D73F0">
        <w:t>section. Of the remaining 324 tracts, 94 were associated with a CO and 230 were assumed to be NCO conversion tracts. The majority of observed NCO conversion tracts had a minimal size less than 1kb, and 73%</w:t>
      </w:r>
      <w:r w:rsidR="00C97C07">
        <w:t xml:space="preserve"> were smaller than 2kb (figure 3</w:t>
      </w:r>
      <w:r w:rsidR="005D73F0">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t xml:space="preserve">true </w:t>
      </w:r>
      <w:r w:rsidR="005D73F0">
        <w:t>tract length</w:t>
      </w:r>
      <w:r>
        <w:t xml:space="preserve"> distribution</w:t>
      </w:r>
      <w:r w:rsidR="005D73F0">
        <w:t xml:space="preserve">, the incomplete discovery of NCO events and bias towards discovery of longer tracts has to be taken into account. In other organisms the distribution of conversion tract lengths has been found to fit a geometric model, with a single parameter </w:t>
      </w:r>
      <w:r w:rsidR="005D73F0">
        <w:rPr>
          <w:i/>
        </w:rPr>
        <w:t>phi</w:t>
      </w:r>
      <w:r w:rsidR="005D73F0">
        <w:t xml:space="preserve"> determining the per-base-pair probability of extending a tract (@@REF). By Monte Carlo simulation we found that a geometric model also provided a good fit for the observed distribution of tract lengths in the present study with </w:t>
      </w:r>
      <w:r w:rsidR="005D73F0" w:rsidRPr="002C1AE8">
        <w:rPr>
          <w:i/>
        </w:rPr>
        <w:t>phi</w:t>
      </w:r>
      <w:r w:rsidR="005D73F0">
        <w:t xml:space="preserve"> = 0.9993, although there was a small excess of tracts observed with minimal l</w:t>
      </w:r>
      <w:r w:rsidR="00C97C07">
        <w:t>ength greater than 3kb (figure 3</w:t>
      </w:r>
      <w:r w:rsidR="005D73F0">
        <w:t>D, figure</w:t>
      </w:r>
      <w:r w:rsidR="00C97C07">
        <w:t xml:space="preserve"> 3</w:t>
      </w:r>
      <w:r w:rsidR="005D73F0">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 Two biological replicates of clone JF6 were sequenced and genotyped in this study, and the pattern of recombination was identical in both replicates. Similar observations were made for clone C@@ (3D7 x HB3) where a 70kb region on chromosome 14 accounted for 12 switches in inheritance, and clone 3BD5 (HB3 x Dd2) where a</w:t>
      </w:r>
      <w:r w:rsidR="005F7DD3">
        <w:t>n</w:t>
      </w:r>
      <w:r>
        <w:t xml:space="preserve"> 80kb region on </w:t>
      </w:r>
      <w:r>
        <w:lastRenderedPageBreak/>
        <w:t>chromosome 10 contained 13 switches (supplementary figure @@N). At all of these loci there was no evidence of copy number variation or other artefacts that could manifest as an apparent excess of recombination. These observations suggest that, in addition to the two established DSB repair pathways leading to normal CO and NCO events (@@REF), other repair pathways may also be utilised during meio</w:t>
      </w:r>
      <w:r w:rsidR="005F7DD3">
        <w:t>sis</w:t>
      </w:r>
      <w:r>
        <w:t xml:space="preserve">, and may have radical results in terms of </w:t>
      </w:r>
      <w:r w:rsidR="005F7DD3">
        <w:t xml:space="preserve">generating </w:t>
      </w:r>
      <w:r>
        <w:t>novel haplotypes.</w:t>
      </w:r>
    </w:p>
    <w:p w:rsidR="00901FE9" w:rsidRDefault="00901FE9" w:rsidP="00901FE9">
      <w:pPr>
        <w:pStyle w:val="Heading3"/>
      </w:pPr>
      <w:r>
        <w:t xml:space="preserve">Recombination with regions of copy number </w:t>
      </w:r>
      <w:r w:rsidR="00B037B8">
        <w:t>variation</w:t>
      </w:r>
    </w:p>
    <w:p w:rsidR="005F7DD3" w:rsidRDefault="00B037B8" w:rsidP="00901FE9">
      <w:r>
        <w:t xml:space="preserve">Two independent loci associated with drug resistance are known to exhibit copy number variation </w:t>
      </w:r>
      <w:r w:rsidR="00467EE6">
        <w:t xml:space="preserve">(CNV) </w:t>
      </w:r>
      <w:r>
        <w:t xml:space="preserve">within these crosses and in </w:t>
      </w:r>
      <w:r w:rsidR="00467EE6" w:rsidRPr="00467EE6">
        <w:rPr>
          <w:i/>
        </w:rPr>
        <w:t>P. falciparum</w:t>
      </w:r>
      <w:r w:rsidR="00467EE6">
        <w:t xml:space="preserve"> clinical </w:t>
      </w:r>
      <w:r>
        <w:t xml:space="preserve">isolates. On chromosome 5 amplifications spanning the multi-drug resistance homologue </w:t>
      </w:r>
      <w:r>
        <w:rPr>
          <w:i/>
        </w:rPr>
        <w:t>mdr1</w:t>
      </w:r>
      <w:r>
        <w:t xml:space="preserve"> have been found in Dd2 and several progeny of the HB3xDd2 cross (@@REFs)</w:t>
      </w:r>
      <w:r w:rsidR="007827B2">
        <w:t>,</w:t>
      </w:r>
      <w:r>
        <w:t xml:space="preserve"> and in a large number of </w:t>
      </w:r>
      <w:r w:rsidR="00467EE6">
        <w:t xml:space="preserve">clinical </w:t>
      </w:r>
      <w:r>
        <w:t xml:space="preserve">isolates, particularly from South-East Asia (@@REFs). Both point mutations and amplifications of </w:t>
      </w:r>
      <w:r>
        <w:rPr>
          <w:i/>
        </w:rPr>
        <w:t>mdr1</w:t>
      </w:r>
      <w:r>
        <w:t xml:space="preserve"> have been shown to </w:t>
      </w:r>
      <w:r w:rsidR="00467EE6">
        <w:t xml:space="preserve">alter </w:t>
      </w:r>
      <w:r>
        <w:t xml:space="preserve">sensitivity to a range of drugs (@@REFs). On chromosome 12 amplifications spanning </w:t>
      </w:r>
      <w:r>
        <w:rPr>
          <w:i/>
        </w:rPr>
        <w:t>gch1</w:t>
      </w:r>
      <w:r>
        <w:t xml:space="preserve">, the first enzyme in the folate biosynthesis pathway, have been found in 3D7, HB3 and Dd2 (@@check other parents) and clinical isolates (@@REF) and have been shown to confer resistance to anti-folate drugs (@@REF). The amplifications spanning </w:t>
      </w:r>
      <w:r w:rsidRPr="00B037B8">
        <w:rPr>
          <w:i/>
        </w:rPr>
        <w:t>gch1</w:t>
      </w:r>
      <w:r>
        <w:t xml:space="preserve"> differ between 3D7, HB3 and Dd2 in </w:t>
      </w:r>
      <w:r w:rsidR="00467EE6">
        <w:t xml:space="preserve">size </w:t>
      </w:r>
      <w:r>
        <w:t xml:space="preserve">and copy number (@@REF). A previous study of </w:t>
      </w:r>
      <w:r w:rsidR="00467EE6">
        <w:t xml:space="preserve">CNVs </w:t>
      </w:r>
      <w:r>
        <w:t xml:space="preserve">within the HB3xDd2 cross </w:t>
      </w:r>
      <w:r w:rsidR="00B32D1F">
        <w:t xml:space="preserve">using CGH technology </w:t>
      </w:r>
      <w:r>
        <w:t xml:space="preserve">observed Mendelian segregation of </w:t>
      </w:r>
      <w:r>
        <w:rPr>
          <w:i/>
        </w:rPr>
        <w:t>gch1</w:t>
      </w:r>
      <w:r>
        <w:t xml:space="preserve"> </w:t>
      </w:r>
      <w:r w:rsidR="00467EE6">
        <w:t xml:space="preserve">amplifications </w:t>
      </w:r>
      <w:r>
        <w:t xml:space="preserve">in all </w:t>
      </w:r>
      <w:r w:rsidR="00467EE6">
        <w:t>progeny except CH3_61</w:t>
      </w:r>
      <w:r>
        <w:t xml:space="preserve"> where </w:t>
      </w:r>
      <w:r w:rsidR="00467EE6">
        <w:t xml:space="preserve">both parental alleles appeared to be inherited together, which can be explained if one or more meiotic recombination events had occurred within the amplified region. </w:t>
      </w:r>
      <w:r w:rsidR="007827B2">
        <w:t xml:space="preserve">High throughput sequencing data can be used to </w:t>
      </w:r>
      <w:r w:rsidR="00B32D1F">
        <w:t>infer</w:t>
      </w:r>
      <w:r w:rsidR="007827B2">
        <w:t xml:space="preserve"> copy number variation by observing </w:t>
      </w:r>
      <w:r w:rsidR="00B32D1F">
        <w:t xml:space="preserve">variations </w:t>
      </w:r>
      <w:r w:rsidR="007827B2">
        <w:t>in the depth of read coverage (@@REFs)</w:t>
      </w:r>
      <w:r w:rsidR="00DE0EF1">
        <w:t>.</w:t>
      </w:r>
      <w:r w:rsidR="007827B2">
        <w:t xml:space="preserve"> </w:t>
      </w:r>
      <w:r w:rsidR="00DE0EF1">
        <w:t>T</w:t>
      </w:r>
      <w:r w:rsidR="00B32D1F">
        <w:t xml:space="preserve">he relative </w:t>
      </w:r>
      <w:r w:rsidR="007827B2">
        <w:t xml:space="preserve">orientation and distance between </w:t>
      </w:r>
      <w:r w:rsidR="00B32D1F">
        <w:t xml:space="preserve">aligned </w:t>
      </w:r>
      <w:r w:rsidR="007827B2">
        <w:t xml:space="preserve">read pairs can </w:t>
      </w:r>
      <w:r w:rsidR="00DE0EF1">
        <w:t xml:space="preserve">also </w:t>
      </w:r>
      <w:r w:rsidR="007827B2">
        <w:t>be used to infer the arrangement of amplified segments, for example, tandem duplications or inversions (@@REF). Here we present the evidence for CNVs within the crosses provided by the sequence data</w:t>
      </w:r>
      <w:r w:rsidR="00D96060">
        <w:t xml:space="preserve"> resource</w:t>
      </w:r>
      <w:r w:rsidR="007827B2">
        <w:t xml:space="preserve">, and study the inheritance of </w:t>
      </w:r>
      <w:r w:rsidR="00B32D1F">
        <w:t>amplifications</w:t>
      </w:r>
      <w:r w:rsidR="007827B2">
        <w:t xml:space="preserve"> spanning </w:t>
      </w:r>
      <w:r w:rsidR="007827B2">
        <w:rPr>
          <w:i/>
        </w:rPr>
        <w:t>mdr1</w:t>
      </w:r>
      <w:r w:rsidR="007827B2">
        <w:t xml:space="preserve"> and </w:t>
      </w:r>
      <w:r w:rsidR="007827B2">
        <w:rPr>
          <w:i/>
        </w:rPr>
        <w:t>gch1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spanning drug resistance genes mdr1 and gch1</w:t>
      </w:r>
      <w:r w:rsidR="00B32D1F">
        <w:t xml:space="preserve"> </w:t>
      </w:r>
    </w:p>
    <w:p w:rsidR="009E0D59" w:rsidRDefault="009E0D59" w:rsidP="00901FE9">
      <w:r>
        <w:t xml:space="preserve">Amplifications spanning </w:t>
      </w:r>
      <w:r>
        <w:rPr>
          <w:i/>
        </w:rPr>
        <w:t>gch1</w:t>
      </w:r>
      <w:r>
        <w:t xml:space="preserve"> and </w:t>
      </w:r>
      <w:r w:rsidRPr="009E0D59">
        <w:rPr>
          <w:i/>
        </w:rPr>
        <w:t>mdr1</w:t>
      </w:r>
      <w:r>
        <w:t xml:space="preserve"> were clearly visible from depth of coverage of sequence reads aligned to th</w:t>
      </w:r>
      <w:r w:rsidR="00653393">
        <w:t>e 3D7 reference genome</w:t>
      </w:r>
      <w:r>
        <w:t xml:space="preserve">. Orientation of read pairs was also informative in most cases, providing evidence for either tandem duplication (paired reads aligned facing away from each other) or tandem inversion (paired reads aligned in the same direction). </w:t>
      </w:r>
      <w:r w:rsidR="00653393">
        <w:t xml:space="preserve">On chromosome 5 a three-fold amplification of an 82kb region spanning </w:t>
      </w:r>
      <w:r w:rsidR="00653393">
        <w:rPr>
          <w:i/>
        </w:rPr>
        <w:t>mdr1</w:t>
      </w:r>
      <w:r w:rsidR="00653393">
        <w:t xml:space="preserve"> and 13 other genes was evident in Dd2 and as either 2 or 3 copies in 14 progeny of HB3 x Dd2 (supplementary figure @@N)</w:t>
      </w:r>
      <w:r w:rsidR="00043C58">
        <w:t xml:space="preserve"> consistent with previous reports (@@REF)</w:t>
      </w:r>
      <w:r w:rsidR="00653393">
        <w:t xml:space="preserve">. On chromosome 12 all parent clones including 3D7 had evidence for some form of amplification relative to the 3D7 reference genome spanning </w:t>
      </w:r>
      <w:r w:rsidR="00653393">
        <w:rPr>
          <w:i/>
        </w:rPr>
        <w:t>gch</w:t>
      </w:r>
      <w:r w:rsidR="00653393" w:rsidRPr="00653393">
        <w:rPr>
          <w:i/>
        </w:rPr>
        <w:t>1</w:t>
      </w:r>
      <w:r w:rsidR="00653393">
        <w:rPr>
          <w:i/>
        </w:rPr>
        <w:t xml:space="preserve"> </w:t>
      </w:r>
      <w:r w:rsidR="00653393">
        <w:t xml:space="preserve">(figure @@). The </w:t>
      </w:r>
      <w:r w:rsidR="00653393">
        <w:lastRenderedPageBreak/>
        <w:t xml:space="preserve">amplifications were different in each of the 5 parents in terms of the extent, copy number, and arrangement of amplified segments. The 3D7 clone had four copies of a 2kb segment spanning </w:t>
      </w:r>
      <w:r w:rsidR="00DE0EF1">
        <w:rPr>
          <w:i/>
        </w:rPr>
        <w:t xml:space="preserve">gch1 </w:t>
      </w:r>
      <w:r w:rsidR="00653393">
        <w:t xml:space="preserve">only (the 3D7 reference genome to which all reads were aligned has only a single copy of </w:t>
      </w:r>
      <w:r w:rsidR="00DE0EF1">
        <w:rPr>
          <w:i/>
        </w:rPr>
        <w:t>gch1</w:t>
      </w:r>
      <w:r w:rsidR="00653393">
        <w:t xml:space="preserve">) and read pair alignments were consistent with a tandem array. </w:t>
      </w:r>
      <w:proofErr w:type="gramStart"/>
      <w:r w:rsidR="00653393">
        <w:t>HB3(</w:t>
      </w:r>
      <w:proofErr w:type="gramEnd"/>
      <w:r w:rsidR="00653393">
        <w:t xml:space="preserve">1) had two copies of a 161kb tandem duplication spanning </w:t>
      </w:r>
      <w:r w:rsidR="00DE0EF1">
        <w:rPr>
          <w:i/>
        </w:rPr>
        <w:t>gch1</w:t>
      </w:r>
      <w:r w:rsidR="00653393">
        <w:t xml:space="preserve"> and 38 other genes. Dd2 had 3 copies of a 5kb segment spanning </w:t>
      </w:r>
      <w:r w:rsidR="00DE0EF1">
        <w:rPr>
          <w:i/>
        </w:rPr>
        <w:t>gch1</w:t>
      </w:r>
      <w:r w:rsidR="00043C58">
        <w:t xml:space="preserve"> and 2 upstream genes and </w:t>
      </w:r>
      <w:r w:rsidR="00653393">
        <w:t xml:space="preserve">alignments indicated a tandem inversion. 7G8 had a 3-fold tandem amplification of a 31kb segment spanning </w:t>
      </w:r>
      <w:r w:rsidR="00DE0EF1">
        <w:rPr>
          <w:i/>
        </w:rPr>
        <w:t>gch1</w:t>
      </w:r>
      <w:r w:rsidR="00653393">
        <w:t xml:space="preserve"> and 6 other genes. GB4 had 2 copies of a segment spanning </w:t>
      </w:r>
      <w:r w:rsidR="00DE0EF1">
        <w:rPr>
          <w:i/>
        </w:rPr>
        <w:t>gch1</w:t>
      </w:r>
      <w:r w:rsidR="00653393">
        <w:t xml:space="preserve"> and 3 upstream </w:t>
      </w:r>
      <w:proofErr w:type="gramStart"/>
      <w:r w:rsidR="00653393">
        <w:t>genes,</w:t>
      </w:r>
      <w:proofErr w:type="gramEnd"/>
      <w:r w:rsidR="00653393">
        <w:t xml:space="preserve"> although the arrangement of segments could not be determined from read alignments. The </w:t>
      </w:r>
      <w:proofErr w:type="gramStart"/>
      <w:r w:rsidR="00653393">
        <w:t>HB3(</w:t>
      </w:r>
      <w:proofErr w:type="gramEnd"/>
      <w:r w:rsidR="00653393">
        <w:t xml:space="preserve">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653393">
        <w:rPr>
          <w:i/>
        </w:rPr>
        <w:t>gch1</w:t>
      </w:r>
      <w:r w:rsidR="00653393">
        <w:t xml:space="preserve"> CNVs segregated in the progeny of all three crosses (supplementary figures @@N) except for two progeny of 3D7 x HB3 (C@@, C@@)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CLAG3 paralogs and the two intervening pseudogenes (one of which is a </w:t>
      </w:r>
      <w:proofErr w:type="spellStart"/>
      <w:r>
        <w:rPr>
          <w:i/>
        </w:rPr>
        <w:t>var</w:t>
      </w:r>
      <w:proofErr w:type="spellEnd"/>
      <w:r>
        <w:t xml:space="preserve">) was evident in GB4 and 13 progeny of 7G8 x GB4 (supplementary figure @@N) consistent with the previously reported absence of CLAG3.2 in GB4 and other clones (@@REF). On chromosome 11 a 70kb segment spanning 12 genes was duplicated in both HB3 replicates and 5 progeny of HB3 x Dd2 (supplementary figure @@N). This amplification has been shown to involve a translocation of one copy of the region to chromosome 13 (@@REF). No further evidence for copy number </w:t>
      </w:r>
      <w:r w:rsidR="00DF4B94">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within hypervariable regions</w:t>
      </w:r>
      <w:r>
        <w:t>.</w:t>
      </w:r>
    </w:p>
    <w:p w:rsidR="00043C58" w:rsidRPr="00653393" w:rsidRDefault="00DF4B94" w:rsidP="00DF4B94">
      <w:pPr>
        <w:pStyle w:val="Heading4"/>
      </w:pPr>
      <w:r>
        <w:t xml:space="preserve">Recombination within amplified regions leads to pseudo-heterozygosity </w:t>
      </w:r>
    </w:p>
    <w:p w:rsidR="00DF4B94" w:rsidRDefault="00DF4B94" w:rsidP="00DF4B94">
      <w:r>
        <w:t xml:space="preserve">As mentioned earlier, CNV alleles did not segregate perfectly at the </w:t>
      </w:r>
      <w:r>
        <w:rPr>
          <w:i/>
        </w:rPr>
        <w:t>gch</w:t>
      </w:r>
      <w:r w:rsidRPr="00DF4B94">
        <w:rPr>
          <w:i/>
        </w:rPr>
        <w:t>1</w:t>
      </w:r>
      <w:r w:rsidR="003E6777">
        <w:t xml:space="preserve"> locus</w:t>
      </w:r>
      <w:r>
        <w:t xml:space="preserve"> and some of the progeny clones appeared to inherit both parental amplifications (figure @@N). This can be explained if recombination events occurred within the amplified region. Depending how homologous chromosomes align, a crossover within a region that is duplicated in one parent can result in an individual that maintains the same duplication but inherits one copy from either parent for some portion of the amplified region (figure @@). Within such a segment a haploid individual </w:t>
      </w:r>
      <w:r w:rsidR="003E6777">
        <w:t>is</w:t>
      </w:r>
      <w:r>
        <w:t xml:space="preserve"> effectively diploid and also becomes effectively heterozygous for any SNP, indel or smaller CNV variants within the segment that segregate between the two parents. In the analyses of genome variation and recombination described in the preceding sections, all SNP and indel variants within regions of copy number variation were filtered, because both of the variant calling methods used here assumed that samples are haploid, and therefore genotypes are not correctly modelled where </w:t>
      </w:r>
      <w:r>
        <w:lastRenderedPageBreak/>
        <w:t xml:space="preserve">effective ploidy is higher. To study crossover events within CNVs and identify regions of effective heterozygosity, we used </w:t>
      </w:r>
      <w:r w:rsidR="002B5CBF">
        <w:t xml:space="preserve">the </w:t>
      </w:r>
      <w:r>
        <w:t xml:space="preserve">alignments of sequence reads from each progeny clone to the 3D7 reference genome, and examined the ratio between the coverage of reads supporting the two parental alleles at each segregating variant site. </w:t>
      </w:r>
      <w:r w:rsidR="002B5CBF">
        <w:t>W</w:t>
      </w:r>
      <w:r>
        <w:t xml:space="preserve">ithin regions </w:t>
      </w:r>
      <w:r w:rsidR="002B5CBF">
        <w:t>of effective heterozygosity reads supporting each parental allele</w:t>
      </w:r>
      <w:r>
        <w:t xml:space="preserve"> </w:t>
      </w:r>
      <w:r w:rsidR="002B5CBF">
        <w:t xml:space="preserve">should </w:t>
      </w:r>
      <w:r>
        <w:t xml:space="preserve">appear in a roughly 1:1 ratio, whereas elsewhere one parental allele </w:t>
      </w:r>
      <w:r w:rsidR="002B5CBF">
        <w:t xml:space="preserve">should </w:t>
      </w:r>
      <w:r>
        <w:t xml:space="preserve">be found </w:t>
      </w:r>
      <w:r w:rsidR="003E6777">
        <w:t xml:space="preserve">almost </w:t>
      </w:r>
      <w:r>
        <w:t xml:space="preserve">exclusively. </w:t>
      </w:r>
    </w:p>
    <w:p w:rsidR="00901FE9" w:rsidRDefault="00DF4B94" w:rsidP="00AE555C">
      <w:r>
        <w:t>At the GCH1 locus, both clones C@@ and C@@ inherited the large 161kb duplication from parent HB3 as well as the smaller 2kb 4-fold amplification from parent 3D7 spanning GCH1 onl</w:t>
      </w:r>
      <w:r w:rsidR="0043059A">
        <w:t>y. C@@ had a region of</w:t>
      </w:r>
      <w:r>
        <w:t xml:space="preserve"> heterozygosity spanning the leftmost 130kb of the region duplicated in HB3, but was apparently homozygous for the remainder of this region (figure @@N). The most parsimonious explanation is that a single crossover occurred within the region duplicated in HB3. </w:t>
      </w:r>
      <w:proofErr w:type="gramStart"/>
      <w:r>
        <w:t>Clone C@@ had a region of heterozygosity spanning the entire region duplicated in HB3, with borders that appear</w:t>
      </w:r>
      <w:r w:rsidR="002B5CBF">
        <w:t>ed</w:t>
      </w:r>
      <w:r>
        <w:t xml:space="preserve"> to coincide closely with the breakpoints of the duplication (figure @@N).</w:t>
      </w:r>
      <w:proofErr w:type="gramEnd"/>
      <w:r>
        <w:t xml:space="preserve"> This is harder to explain, as it would require two crossover events at or close to the borders of the duplicated region, which seems improbable unless the CNV breakpoints are also </w:t>
      </w:r>
      <w:r w:rsidR="002B5CBF">
        <w:t xml:space="preserve">particularly </w:t>
      </w:r>
      <w:r>
        <w:t>p</w:t>
      </w:r>
      <w:r w:rsidR="002B5CBF">
        <w:t>rone to meiotic crossover</w:t>
      </w:r>
      <w:r w:rsidR="000C3978">
        <w:t xml:space="preserve"> </w:t>
      </w:r>
      <w:r w:rsidR="000C3978">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0C3978">
        <w:fldChar w:fldCharType="separate"/>
      </w:r>
      <w:r w:rsidR="00194EE4" w:rsidRPr="00194EE4">
        <w:rPr>
          <w:noProof/>
        </w:rPr>
        <w:t>(Völker et al. 2010)</w:t>
      </w:r>
      <w:r w:rsidR="000C3978">
        <w:fldChar w:fldCharType="end"/>
      </w:r>
      <w:r>
        <w:t xml:space="preserve">. An alternative explanation is that the CNV is not a tandem duplication and one copy of the region has been translocated to a different chromosome, however read orientation evidence clearly indicated that the region is tandemly arrayed in both HB3 and C@@. For both clones C@@ and C@@ </w:t>
      </w:r>
      <w:r w:rsidR="002B5CBF">
        <w:rPr>
          <w:i/>
        </w:rPr>
        <w:t xml:space="preserve">gch1 </w:t>
      </w:r>
      <w:r>
        <w:t xml:space="preserve">itself lay within the region of effective heterozygosity, thus one copy of </w:t>
      </w:r>
      <w:r w:rsidR="002B5CBF">
        <w:rPr>
          <w:i/>
        </w:rPr>
        <w:t>gch1</w:t>
      </w:r>
      <w:r>
        <w:t xml:space="preserve"> was inherited from HB3 and 4 copies from 3D7. At the same locus clone CH3_61 inherited the 161kb duplication from HB3 as well as the 5kb </w:t>
      </w:r>
      <w:r w:rsidR="00607AA0">
        <w:t>3-fold tandem inversion from Dd2</w:t>
      </w:r>
      <w:r>
        <w:t xml:space="preserve"> (figure @@N). Two separate regions of heterozygosity were visible at either ends of the HB3 duplicated region, which can be explained if two crossover events occurred. Again </w:t>
      </w:r>
      <w:r w:rsidR="002B5CBF">
        <w:rPr>
          <w:i/>
        </w:rPr>
        <w:t>gch1</w:t>
      </w:r>
      <w:r>
        <w:t xml:space="preserve"> was within the region of heterozygosity, and CH3_61 acquired 1 copy from HB3 and 3 copies from Dd2. In addition to these three cases, we found two further progeny of HB3 x Dd2 where crossovers occurred within the 82kb region spanning </w:t>
      </w:r>
      <w:r w:rsidR="002B5CBF">
        <w:rPr>
          <w:i/>
        </w:rPr>
        <w:t xml:space="preserve">mdr1 </w:t>
      </w:r>
      <w:r w:rsidR="00607AA0" w:rsidRPr="00607AA0">
        <w:t>on chromosome 5</w:t>
      </w:r>
      <w:r w:rsidR="00607AA0">
        <w:rPr>
          <w:i/>
        </w:rPr>
        <w:t xml:space="preserve"> </w:t>
      </w:r>
      <w:r>
        <w:t xml:space="preserve">that is amplified in Dd2 (supplementary figure @@N). Clone QC23 had a region of heterozygosity spanning the leftmost 16kb of the segment, and CH3_61 was heterozygous for the rightmost 40kb spanning </w:t>
      </w:r>
      <w:r w:rsidR="002B5CBF">
        <w:rPr>
          <w:i/>
        </w:rPr>
        <w:t xml:space="preserve">mdr1 </w:t>
      </w:r>
      <w:r>
        <w:t xml:space="preserve">itself, both of which are consistent with a single crossover having occurred within the amplified region. </w:t>
      </w:r>
      <w:r w:rsidR="002B5CBF">
        <w:t>These data show that crossover recombination within amplified regions can lead to effective heterozygosity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8"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t xml:space="preserve">recombination within a cross; a tool for browsing the genome, allowing the location of variants to viewed in the context of genome features and </w:t>
      </w:r>
      <w:r w:rsidR="003E6777">
        <w:t>alignment metrics</w:t>
      </w:r>
      <w:r>
        <w:t xml:space="preserve">; and a browser for visualising the sequence alignments themselves, implemented by embedding the </w:t>
      </w:r>
      <w:proofErr w:type="spellStart"/>
      <w:r>
        <w:t>LookSeq</w:t>
      </w:r>
      <w:proofErr w:type="spellEnd"/>
      <w:r>
        <w:t xml:space="preserve"> software (@@REF). The underlying technologies for this web application are being developed as a generic framework so that they can be used with other datasets, as part of an open source project (@@REF) that will be described in detail elsewhere.</w:t>
      </w:r>
    </w:p>
    <w:p w:rsidR="009E1600" w:rsidRDefault="009E1600" w:rsidP="009E1600">
      <w:pPr>
        <w:pStyle w:val="Heading2"/>
      </w:pPr>
      <w:r>
        <w:t>Discussion</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model for experimental biology as well as a source of high quality reference data on genome variation and meiotic recombination.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However, for the time being, we hope these data will provide a valuable foundation for studies using current sequencing technology to study </w:t>
      </w:r>
      <w:r w:rsidR="00760802" w:rsidRPr="00760802">
        <w:rPr>
          <w:i/>
        </w:rPr>
        <w:t>P. falciparum</w:t>
      </w:r>
      <w:r w:rsidR="00760802">
        <w:t xml:space="preserve"> genome biology in the lab and the field, as well as 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INDEL and complex polymorphisms, and spanning both coding and non-coding regions of the core genome. These data have been calibrated using Mendelian errors and validated using sequencing of biological replicates, and thus represent a well-validated resource. They demonstrate that INDELs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given that the abundance of tandem repeats and low complexity sequence in both coding and non-coding regions of the </w:t>
      </w:r>
      <w:r w:rsidR="00943113" w:rsidRPr="00943113">
        <w:rPr>
          <w:i/>
        </w:rPr>
        <w:t>P. falciparum</w:t>
      </w:r>
      <w:r w:rsidR="00943113">
        <w:t xml:space="preserve"> genome is well-documented (@@REFs) and short tandem repeats are known to be highly variable due to replication slippage (@@REFs). Nevertheless, these are the most comprehensive and robust data available on INDEL variation in </w:t>
      </w:r>
      <w:r w:rsidR="00943113" w:rsidRPr="00943113">
        <w:rPr>
          <w:i/>
        </w:rPr>
        <w:t>P. falciparum</w:t>
      </w:r>
      <w:r w:rsidR="00943113">
        <w:t xml:space="preserve"> and fill an important gap in current knowledge.  These data</w:t>
      </w:r>
      <w:r w:rsidR="00DF2176">
        <w:t xml:space="preserve"> also provide the first genome-wide view of non-coding variation, which is almost completely unexplored in </w:t>
      </w:r>
      <w:r w:rsidR="00DF2176" w:rsidRPr="00DF2176">
        <w:rPr>
          <w:i/>
        </w:rPr>
        <w:t>P. falciparum</w:t>
      </w:r>
      <w:r w:rsidR="00DF2176">
        <w:t xml:space="preserve">, yet could have important phenotypic consequences. </w:t>
      </w:r>
      <w:r>
        <w:t>For example, i</w:t>
      </w:r>
      <w:r w:rsidR="00DF2176">
        <w:t xml:space="preserve">ncreased expression of genes through copy number amplification is known to be an important component of </w:t>
      </w:r>
      <w:r w:rsidR="00DF2176">
        <w:lastRenderedPageBreak/>
        <w:t xml:space="preserve">resistance to a number of anti-malarial compounds, and data from other species have shown that comparable increases in expression levels can also be obtained through variation in promoter and regulatory elements (@@REF). We </w:t>
      </w:r>
      <w:r w:rsidR="00DF77B0">
        <w:t>found</w:t>
      </w:r>
      <w:r w:rsidR="00DF2176">
        <w:t xml:space="preserve"> that INDEL diversity has a particular architecture in relation to predicted core promoters, which may indicate that these mutations are not neutral and have phenotypic consequences</w:t>
      </w:r>
      <w:r w:rsidR="00943113">
        <w:t>, although this will require experimental confirmation</w:t>
      </w:r>
      <w:r w:rsidR="00DF2176">
        <w:t>.</w:t>
      </w:r>
    </w:p>
    <w:p w:rsidR="00943113" w:rsidRDefault="00943113" w:rsidP="009E1600">
      <w:r>
        <w:t xml:space="preserve">Another class of </w:t>
      </w:r>
      <w:r w:rsidR="00607AA0">
        <w:t>variation</w:t>
      </w:r>
      <w:r>
        <w:t xml:space="preserve"> which </w:t>
      </w:r>
      <w:r w:rsidR="00607AA0">
        <w:t xml:space="preserve">has </w:t>
      </w:r>
      <w:r w:rsidR="004C7856">
        <w:t xml:space="preserve">previously </w:t>
      </w:r>
      <w:r>
        <w:t xml:space="preserve">been difficult to </w:t>
      </w:r>
      <w:r w:rsidR="004C7856">
        <w:t xml:space="preserve">study </w:t>
      </w:r>
      <w:r>
        <w:t xml:space="preserve">in a high throughput manner </w:t>
      </w:r>
      <w:r w:rsidR="004C7856">
        <w:t xml:space="preserve">are </w:t>
      </w:r>
      <w:r>
        <w:t xml:space="preserve">complex polymorphisms observed in genes expressed at the merozoite surface, including MSP1 and members of the MSP3 family. </w:t>
      </w:r>
      <w:r w:rsidR="00094913">
        <w:t xml:space="preserve">High levels of variability have also been reported </w:t>
      </w:r>
      <w:r w:rsidR="004C7856">
        <w:t>in</w:t>
      </w:r>
      <w:r w:rsidR="00094913">
        <w:t xml:space="preserve"> other genes associated with the merozoite stage, such as the </w:t>
      </w:r>
      <w:proofErr w:type="spellStart"/>
      <w:r w:rsidR="00094913" w:rsidRPr="00094913">
        <w:rPr>
          <w:i/>
        </w:rPr>
        <w:t>surfin</w:t>
      </w:r>
      <w:proofErr w:type="spellEnd"/>
      <w:r w:rsidR="00094913">
        <w:t xml:space="preserve"> family (@@REFs)</w:t>
      </w:r>
      <w:r w:rsidR="004C7856">
        <w:t xml:space="preserve">, although it is not yet clear whether these loci exhibit deep </w:t>
      </w:r>
      <w:r w:rsidR="009A32D6">
        <w:t>allelic dimorphism as seen in MSP1</w:t>
      </w:r>
      <w:r w:rsidR="00094913">
        <w:t xml:space="preserve">. The presence of diverged allelic forms and the fact that many of these genes appear to be under balancing selection (@@REFs) 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MSP1 and members of the</w:t>
      </w:r>
      <w:r w:rsidR="00094913">
        <w:t xml:space="preserve"> MSP3 </w:t>
      </w:r>
      <w:r w:rsidR="004C7856">
        <w:t xml:space="preserve">and </w:t>
      </w:r>
      <w:proofErr w:type="spellStart"/>
      <w:r w:rsidR="00094913" w:rsidRPr="00094913">
        <w:rPr>
          <w:i/>
        </w:rPr>
        <w:t>surfin</w:t>
      </w:r>
      <w:proofErr w:type="spellEnd"/>
      <w:r w:rsidR="004C7856">
        <w:t xml:space="preserve"> families</w:t>
      </w:r>
      <w:r w:rsidR="00094913">
        <w:t xml:space="preserve">. </w:t>
      </w:r>
      <w:r w:rsidR="00607AA0">
        <w:t>S</w:t>
      </w:r>
      <w:r w:rsidR="009A32D6">
        <w:t>ome known divergent loci, including MSP2 and S-antigen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rsidR="00DF77B0">
        <w:t>s</w:t>
      </w:r>
      <w:r>
        <w:t xml:space="preserve"> that parasites undergo meiotic recombination </w:t>
      </w:r>
      <w:r w:rsidR="0043059A">
        <w:t>whilst in the mosquito</w:t>
      </w:r>
      <w:r w:rsidR="00DF77B0">
        <w:t xml:space="preserve"> (@@REF)</w:t>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43059A">
        <w:t xml:space="preserve"> (@@REF)</w:t>
      </w:r>
      <w:r w:rsidR="00605B08">
        <w:t>, being approximately 50 times greater than the average recombination rate in humans</w:t>
      </w:r>
      <w:r w:rsidR="000C7B24">
        <w:t>, although the recombination rate relative to the size of the smallest chromosome is almost identical (~0.5 Morgan) as expected if recombination rates are primarily calibrated to ensure one crossover per bivalent</w:t>
      </w:r>
      <w:r w:rsidR="00605B08">
        <w:t xml:space="preserve">. Here we have pooled data from all three </w:t>
      </w:r>
      <w:r w:rsidR="00605B08">
        <w:lastRenderedPageBreak/>
        <w:t xml:space="preserve">crosses and used </w:t>
      </w:r>
      <w:r w:rsidR="0084749C">
        <w:t>a</w:t>
      </w:r>
      <w:r w:rsidR="00605B08">
        <w:t xml:space="preserve"> ~300bp resolution map of SNP and INDEL variation to provide the first estimates for both crossover (CO) and non-crossover (NCO) recombination rate</w:t>
      </w:r>
      <w:r w:rsidR="0043059A">
        <w:t>s</w:t>
      </w:r>
      <w:r w:rsidR="00605B08">
        <w:t xml:space="preserve"> </w:t>
      </w:r>
      <w:r w:rsidR="0084749C">
        <w:t xml:space="preserve">within the core genome </w:t>
      </w:r>
      <w:r w:rsidR="00605B08">
        <w:t xml:space="preserve">and the distribution of conversion tract lengths. We confirm a CO recombination rate in the range @@-@@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comparable to yeast but longer than humans and @@Drosophila@@ (@@REFs)</w:t>
      </w:r>
      <w:r w:rsidR="00DF77B0">
        <w:t xml:space="preserve"> and </w:t>
      </w:r>
      <w:r w:rsidR="0043059A">
        <w:t xml:space="preserve">the observation of </w:t>
      </w:r>
      <w:r w:rsidR="00DF77B0">
        <w:t xml:space="preserve">long-range complex recombination events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within </w:t>
      </w:r>
      <w:r w:rsidR="00A44E52">
        <w:t>non-coding</w:t>
      </w:r>
      <w:r w:rsidR="00A42F7A">
        <w:t xml:space="preserve"> regions (@@REFs). Previous work on the 7G8xGB4 cross suggested that the rate of recombination may not be uniform over the </w:t>
      </w:r>
      <w:r w:rsidR="00A42F7A" w:rsidRPr="00A42F7A">
        <w:rPr>
          <w:i/>
        </w:rPr>
        <w:t>P. falciparum</w:t>
      </w:r>
      <w:r w:rsidR="00A42F7A">
        <w:t xml:space="preserve"> genome (@@REFs) although the number of recombination events available in a single cross was not sufficient to prove the existence of hotspots.</w:t>
      </w:r>
      <w:r w:rsidR="00A44E52">
        <w:t xml:space="preserve"> Here we found</w:t>
      </w:r>
      <w:r w:rsidR="00A42F7A">
        <w:t xml:space="preserve"> </w:t>
      </w:r>
      <w:r w:rsidR="00A44E52">
        <w:t>that the CO recombination rate wa</w:t>
      </w:r>
      <w:r w:rsidR="00A42F7A">
        <w:t xml:space="preserve">s lower within a highly localised region surrounding the centromeres, and </w:t>
      </w:r>
      <w:proofErr w:type="gramStart"/>
      <w:r w:rsidR="00A42F7A">
        <w:t>that CO events</w:t>
      </w:r>
      <w:proofErr w:type="gramEnd"/>
      <w:r w:rsidR="00A42F7A">
        <w:t xml:space="preserve">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C97C07">
        <w:t xml:space="preserve"> (@@REF)</w:t>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t>(@@REFs)</w:t>
      </w:r>
      <w:r w:rsidR="00B32D1F">
        <w:t>.</w:t>
      </w:r>
      <w:r>
        <w:t xml:space="preserve"> Amplifications spanning the multi-drug resistance gene </w:t>
      </w:r>
      <w:r>
        <w:rPr>
          <w:i/>
        </w:rPr>
        <w:t>mdr1</w:t>
      </w:r>
      <w:r>
        <w:t xml:space="preserve"> segregate in the HB3xDd2 cross, and </w:t>
      </w:r>
      <w:proofErr w:type="spellStart"/>
      <w:r>
        <w:t>pleiomorphic</w:t>
      </w:r>
      <w:proofErr w:type="spellEnd"/>
      <w:r>
        <w:t xml:space="preserve"> amplifications spanning the anti-folate resistance gene </w:t>
      </w:r>
      <w:r>
        <w:rPr>
          <w:i/>
        </w:rPr>
        <w:t>gch1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Pr>
          <w:i/>
        </w:rPr>
        <w:t>gch1</w:t>
      </w:r>
      <w:r>
        <w:t xml:space="preserve"> amplification in the HB3xDd2 cross (@@REF)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 absence of drug pressure (@@REF)</w:t>
      </w:r>
      <w:r w:rsidR="00D329C7">
        <w:t xml:space="preserve"> and can also confer both resistance </w:t>
      </w:r>
      <w:r w:rsidR="00D329C7">
        <w:lastRenderedPageBreak/>
        <w:t>to one class of drugs and sensitivity to another (@@REF)</w:t>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followed by unequal crossover (@@REF). The abundance of tandem repeats in the </w:t>
      </w:r>
      <w:r w:rsidR="00FF6BE6" w:rsidRPr="00FF6BE6">
        <w:rPr>
          <w:i/>
        </w:rPr>
        <w:t>P. falciparum</w:t>
      </w:r>
      <w:r w:rsidR="00FF6BE6">
        <w:t xml:space="preserve"> </w:t>
      </w:r>
      <w:r w:rsidR="00D70420">
        <w:t xml:space="preserve">core genome creates a rich network of ectopic homology and thus potential for amplifications to arise. Previous work has also shown that </w:t>
      </w:r>
      <w:r w:rsidR="00FF6BE6">
        <w:t xml:space="preserve">CNV </w:t>
      </w:r>
      <w:r w:rsidR="00D70420">
        <w:t>breakpoints are found in repeat regions that are slightly longer than the genome-wide average (@@REF) thus variations in the length of tandem repeat regions could alter the homology network and shift the amplification potential to a different set of loci. We have shown here that INDEL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D70420">
        <w:t xml:space="preserve"> and has persisted long enough for parasites to be taken up </w:t>
      </w:r>
      <w:r w:rsidR="003C72B7">
        <w:t>by a mosquito</w:t>
      </w:r>
      <w:r w:rsidR="00D70420">
        <w:t>, meiotic recombination provides an opportunity for different copies of the amplified region to be acquired within the same genome.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D51DCC">
        <w:t xml:space="preserve">thus </w:t>
      </w:r>
      <w:r w:rsidR="003C72B7">
        <w:t xml:space="preserve">appears </w:t>
      </w:r>
      <w:r w:rsidR="00D51DCC">
        <w:t>stable yet poised and retains the capacity to undergo bursts of evolution within any region that may come under selection pressure. I</w:t>
      </w:r>
      <w:r w:rsidR="008901F1">
        <w:t xml:space="preserve">t remains to be seen whether meiotic recombination </w:t>
      </w:r>
      <w:r w:rsidR="00A44E52">
        <w:t xml:space="preserve">in concert with </w:t>
      </w:r>
      <w:r w:rsidR="00D51DCC">
        <w:t xml:space="preserve">INDEL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provide a strong indication that different modes of mutation and recombination cannot be considered in isolation</w:t>
      </w:r>
      <w:r w:rsidR="009778CE">
        <w:t xml:space="preserve"> when studying the emergence and spread of drug resistance.</w:t>
      </w:r>
    </w:p>
    <w:p w:rsidR="009E1600" w:rsidRDefault="009E1600" w:rsidP="009E1600">
      <w:pPr>
        <w:pStyle w:val="Heading2"/>
      </w:pPr>
      <w:r>
        <w:lastRenderedPageBreak/>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 @@REF except that the PCR-free method of library preparation as described in @@REF was used</w:t>
      </w:r>
      <w:r w:rsidR="00536C74">
        <w:t xml:space="preserve"> for all samples</w:t>
      </w:r>
      <w:r>
        <w:t>.</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the Genome Analysis Toolkit </w:t>
      </w:r>
      <w:r w:rsidR="00EC326F">
        <w:t xml:space="preserve">version @@ </w:t>
      </w:r>
      <w:r>
        <w:t xml:space="preserve">(@@REF) and followed published best practice (@@REF) with some adaptations for </w:t>
      </w:r>
      <w:r w:rsidRPr="000E06C9">
        <w:rPr>
          <w:i/>
        </w:rPr>
        <w:t>P. falciparum</w:t>
      </w:r>
      <w:r>
        <w:t>.</w:t>
      </w:r>
      <w:r w:rsidR="00B6677C">
        <w:t xml:space="preserve"> </w:t>
      </w:r>
      <w:r w:rsidR="00EE5A51">
        <w:t>The assembly method used Cortex version @@V (@@REF)</w:t>
      </w:r>
      <w:r w:rsidR="00536C74">
        <w:t xml:space="preserve"> following the independent workflow</w:t>
      </w:r>
      <w:r w:rsidR="00EE5A51">
        <w:t>.</w:t>
      </w:r>
      <w:r w:rsidR="00536C74">
        <w:t xml:space="preserve"> Filtered variants from both calling methods were then combined into a single call 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502205">
        <w:t xml:space="preserve">haplotype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(indicative of a complex conversion tract) were merged</w:t>
      </w:r>
      <w:r w:rsidR="003C72B7">
        <w:t xml:space="preserve"> into a single complex conversion tract</w:t>
      </w:r>
      <w:r w:rsidR="00502205">
        <w:t>. To identify CO events, all genotype calls within conversion tra</w:t>
      </w:r>
      <w:r w:rsidR="005E5FE9">
        <w:t xml:space="preserve">cts were first masked, and </w:t>
      </w:r>
      <w:r w:rsidR="00502205">
        <w:t>remaining switches in parental 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t>
      </w:r>
      <w:r w:rsidR="00F7616C">
        <w:lastRenderedPageBreak/>
        <w:t xml:space="preserve">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D7475C">
        <w:t xml:space="preserve"> (@REF). Copy number state was predicted in all samples by fitting a Gaussian hidden Markov model to the normalised coverage data.   </w:t>
      </w:r>
    </w:p>
    <w:p w:rsidR="009E1600" w:rsidRDefault="009E1600" w:rsidP="009E1600">
      <w:pPr>
        <w:pStyle w:val="Heading2"/>
      </w:pPr>
      <w:r>
        <w:t>References</w:t>
      </w:r>
    </w:p>
    <w:p w:rsidR="007A475F" w:rsidRPr="007A475F" w:rsidRDefault="00CB6C32">
      <w:pPr>
        <w:pStyle w:val="NormalWeb"/>
        <w:ind w:left="480" w:hanging="480"/>
        <w:divId w:val="1639796376"/>
        <w:rPr>
          <w:rFonts w:ascii="Calibri" w:hAnsi="Calibri"/>
          <w:noProof/>
          <w:sz w:val="22"/>
        </w:rPr>
      </w:pPr>
      <w:r>
        <w:fldChar w:fldCharType="begin" w:fldLock="1"/>
      </w:r>
      <w:r>
        <w:instrText xml:space="preserve">ADDIN Mendeley Bibliography CSL_BIBLIOGRAPHY </w:instrText>
      </w:r>
      <w:r>
        <w:fldChar w:fldCharType="separate"/>
      </w:r>
      <w:r w:rsidR="007A475F" w:rsidRPr="007A475F">
        <w:rPr>
          <w:rFonts w:ascii="Calibri" w:hAnsi="Calibri"/>
          <w:noProof/>
          <w:sz w:val="22"/>
        </w:rPr>
        <w:t xml:space="preserve">Antoine Claessens, William L. Hamilton, Mihir Kekre, Thomas D. Otto, Adnan Faizullabhoy, Julian C. Rayner, D.K., 2014. Generation of antigenic diversity in Plasmodium falciparum by structured rearrangement of var genes during mitosis. </w:t>
      </w:r>
      <w:r w:rsidR="007A475F" w:rsidRPr="007A475F">
        <w:rPr>
          <w:rFonts w:ascii="Calibri" w:hAnsi="Calibri"/>
          <w:i/>
          <w:iCs/>
          <w:noProof/>
          <w:sz w:val="22"/>
        </w:rPr>
        <w:t>PLoS genetics</w:t>
      </w:r>
      <w:r w:rsidR="007A475F" w:rsidRPr="007A475F">
        <w:rPr>
          <w:rFonts w:ascii="Calibri" w:hAnsi="Calibri"/>
          <w:noProof/>
          <w:sz w:val="22"/>
        </w:rPr>
        <w:t>.</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Ariey, F. et al., 2014. A molecular marker of artemisinin-resistant Plasmodium falciparum malaria. </w:t>
      </w:r>
      <w:r w:rsidRPr="007A475F">
        <w:rPr>
          <w:rFonts w:ascii="Calibri" w:hAnsi="Calibri"/>
          <w:i/>
          <w:iCs/>
          <w:noProof/>
          <w:sz w:val="22"/>
        </w:rPr>
        <w:t>Nature</w:t>
      </w:r>
      <w:r w:rsidRPr="007A475F">
        <w:rPr>
          <w:rFonts w:ascii="Calibri" w:hAnsi="Calibri"/>
          <w:noProof/>
          <w:sz w:val="22"/>
        </w:rPr>
        <w:t>, 505(7481), pp.50–5. Available at: http://www.ncbi.nlm.nih.gov/pubmed/24352242 [Accessed July 11,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Ashley, E.A. et al., 2014. Spread of Artemisinin Resistance in Plasmodium falciparum Malaria. </w:t>
      </w:r>
      <w:r w:rsidRPr="007A475F">
        <w:rPr>
          <w:rFonts w:ascii="Calibri" w:hAnsi="Calibri"/>
          <w:i/>
          <w:iCs/>
          <w:noProof/>
          <w:sz w:val="22"/>
        </w:rPr>
        <w:t>New England Journal of Medicine</w:t>
      </w:r>
      <w:r w:rsidRPr="007A475F">
        <w:rPr>
          <w:rFonts w:ascii="Calibri" w:hAnsi="Calibri"/>
          <w:noProof/>
          <w:sz w:val="22"/>
        </w:rPr>
        <w:t>, 371(5), pp.411–423. Available at: http://www.ncbi.nlm.nih.gov/pubmed/25075834 [Accessed July 31,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Bopp, S.E.R. et al., 2013. Mitotic evolution of Plasmodium falciparum shows a stable core genome but recombination in antigen families. N. Maizels, ed. </w:t>
      </w:r>
      <w:r w:rsidRPr="007A475F">
        <w:rPr>
          <w:rFonts w:ascii="Calibri" w:hAnsi="Calibri"/>
          <w:i/>
          <w:iCs/>
          <w:noProof/>
          <w:sz w:val="22"/>
        </w:rPr>
        <w:t>PLoS genetics</w:t>
      </w:r>
      <w:r w:rsidRPr="007A475F">
        <w:rPr>
          <w:rFonts w:ascii="Calibri" w:hAnsi="Calibri"/>
          <w:noProof/>
          <w:sz w:val="22"/>
        </w:rPr>
        <w:t>, 9(2), p.e1003293. Available at: http://dx.plos.org/10.1371/journal.pgen.1003293 [Accessed December 15,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DePristo, M.A. et al., 2011. A framework for variation discovery and genotyping using next-generation DNA sequencing data. </w:t>
      </w:r>
      <w:r w:rsidRPr="007A475F">
        <w:rPr>
          <w:rFonts w:ascii="Calibri" w:hAnsi="Calibri"/>
          <w:i/>
          <w:iCs/>
          <w:noProof/>
          <w:sz w:val="22"/>
        </w:rPr>
        <w:t>Nature genetics</w:t>
      </w:r>
      <w:r w:rsidRPr="007A475F">
        <w:rPr>
          <w:rFonts w:ascii="Calibri" w:hAnsi="Calibri"/>
          <w:noProof/>
          <w:sz w:val="22"/>
        </w:rPr>
        <w:t>, 43(5), pp.491–8. Available at: http://www.pubmedcentral.nih.gov/articlerender.fcgi?artid=3083463&amp;tool=pmcentrez&amp;rendertype=abstract [Accessed July 9,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DePristo, M.A., Zilversmit, M.M. &amp; Hartl, D.L., 2006. On the abundance, amino acid composition, and evolutionary dynamics of low-complexity regions in proteins. </w:t>
      </w:r>
      <w:r w:rsidRPr="007A475F">
        <w:rPr>
          <w:rFonts w:ascii="Calibri" w:hAnsi="Calibri"/>
          <w:i/>
          <w:iCs/>
          <w:noProof/>
          <w:sz w:val="22"/>
        </w:rPr>
        <w:t>Gene</w:t>
      </w:r>
      <w:r w:rsidRPr="007A475F">
        <w:rPr>
          <w:rFonts w:ascii="Calibri" w:hAnsi="Calibri"/>
          <w:noProof/>
          <w:sz w:val="22"/>
        </w:rPr>
        <w:t>, 378, pp.19–30. Available at: http://www.ncbi.nlm.nih.gov/pubmed/16806741 [Accessed November 3,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lastRenderedPageBreak/>
        <w:t xml:space="preserve">Freitas-Junior, L.H. et al., 2000. Frequent ectopic recombination of virulence factor genes in telomeric chromosome clusters of P. falciparum. </w:t>
      </w:r>
      <w:r w:rsidRPr="007A475F">
        <w:rPr>
          <w:rFonts w:ascii="Calibri" w:hAnsi="Calibri"/>
          <w:i/>
          <w:iCs/>
          <w:noProof/>
          <w:sz w:val="22"/>
        </w:rPr>
        <w:t>Nature</w:t>
      </w:r>
      <w:r w:rsidRPr="007A475F">
        <w:rPr>
          <w:rFonts w:ascii="Calibri" w:hAnsi="Calibri"/>
          <w:noProof/>
          <w:sz w:val="22"/>
        </w:rPr>
        <w:t>, 407(6807), pp.1018–22. Available at: http://www.ncbi.nlm.nih.gov/pubmed/11069183 [Accessed December 15,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Gardner, M.J. et al., 2002. Genome sequence of the human malaria parasite Plasmodium falciparum. </w:t>
      </w:r>
      <w:r w:rsidRPr="007A475F">
        <w:rPr>
          <w:rFonts w:ascii="Calibri" w:hAnsi="Calibri"/>
          <w:i/>
          <w:iCs/>
          <w:noProof/>
          <w:sz w:val="22"/>
        </w:rPr>
        <w:t>Nature</w:t>
      </w:r>
      <w:r w:rsidRPr="007A475F">
        <w:rPr>
          <w:rFonts w:ascii="Calibri" w:hAnsi="Calibri"/>
          <w:noProof/>
          <w:sz w:val="22"/>
        </w:rPr>
        <w:t>, 419(6906), pp.498–511. Available at: http://www.pubmedcentral.nih.gov/articlerender.fcgi?artid=3836256&amp;tool=pmcentrez&amp;rendertype=abstract [Accessed October 22,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Haerty, W. &amp; Golding, G.B., 2011. Increased polymorphism near low-complexity sequences across the genomes of Plasmodium falciparum isolates. </w:t>
      </w:r>
      <w:r w:rsidRPr="007A475F">
        <w:rPr>
          <w:rFonts w:ascii="Calibri" w:hAnsi="Calibri"/>
          <w:i/>
          <w:iCs/>
          <w:noProof/>
          <w:sz w:val="22"/>
        </w:rPr>
        <w:t>Genome biology and evolution</w:t>
      </w:r>
      <w:r w:rsidRPr="007A475F">
        <w:rPr>
          <w:rFonts w:ascii="Calibri" w:hAnsi="Calibri"/>
          <w:noProof/>
          <w:sz w:val="22"/>
        </w:rPr>
        <w:t>, 3, pp.539–50. Available at: http://www.pubmedcentral.nih.gov/articlerender.fcgi?artid=3140889&amp;tool=pmcentrez&amp;rendertype=abstract [Accessed November 19,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Hayton, K. et al., 2008. Erythrocyte binding protein PfRH5 polymorphisms determine species-specific pathways of Plasmodium falciparum invasion. </w:t>
      </w:r>
      <w:r w:rsidRPr="007A475F">
        <w:rPr>
          <w:rFonts w:ascii="Calibri" w:hAnsi="Calibri"/>
          <w:i/>
          <w:iCs/>
          <w:noProof/>
          <w:sz w:val="22"/>
        </w:rPr>
        <w:t>Cell host &amp; microbe</w:t>
      </w:r>
      <w:r w:rsidRPr="007A475F">
        <w:rPr>
          <w:rFonts w:ascii="Calibri" w:hAnsi="Calibri"/>
          <w:noProof/>
          <w:sz w:val="22"/>
        </w:rPr>
        <w:t>, 4(1), pp.40–51. Available at: http://www.pubmedcentral.nih.gov/articlerender.fcgi?artid=2677973&amp;tool=pmcentrez&amp;rendertype=abstract [Accessed November 11,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Iqbal, Z. et al., 2012. De novo assembly and genotyping of variants using colored de Bruijn graphs. </w:t>
      </w:r>
      <w:r w:rsidRPr="007A475F">
        <w:rPr>
          <w:rFonts w:ascii="Calibri" w:hAnsi="Calibri"/>
          <w:i/>
          <w:iCs/>
          <w:noProof/>
          <w:sz w:val="22"/>
        </w:rPr>
        <w:t>Nature genetics</w:t>
      </w:r>
      <w:r w:rsidRPr="007A475F">
        <w:rPr>
          <w:rFonts w:ascii="Calibri" w:hAnsi="Calibri"/>
          <w:noProof/>
          <w:sz w:val="22"/>
        </w:rPr>
        <w:t>, 44(2), pp.226–32. Available at: http://dx.doi.org/10.1038/ng.1028 [Accessed July 9,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Jeffares, D.C. et al., 2007. Genome variation and evolution of the malaria parasite Plasmodium falciparum. </w:t>
      </w:r>
      <w:r w:rsidRPr="007A475F">
        <w:rPr>
          <w:rFonts w:ascii="Calibri" w:hAnsi="Calibri"/>
          <w:i/>
          <w:iCs/>
          <w:noProof/>
          <w:sz w:val="22"/>
        </w:rPr>
        <w:t>Nature genetics</w:t>
      </w:r>
      <w:r w:rsidRPr="007A475F">
        <w:rPr>
          <w:rFonts w:ascii="Calibri" w:hAnsi="Calibri"/>
          <w:noProof/>
          <w:sz w:val="22"/>
        </w:rPr>
        <w:t>, 39(1), pp.120–5. Available at: http://www.pubmedcentral.nih.gov/articlerender.fcgi?artid=2663918&amp;tool=pmcentrez&amp;rendertype=abstract [Accessed November 13,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Jiang, H. et al., 2011. High recombination rates and hotspots in a Plasmodium falciparum genetic cross. </w:t>
      </w:r>
      <w:r w:rsidRPr="007A475F">
        <w:rPr>
          <w:rFonts w:ascii="Calibri" w:hAnsi="Calibri"/>
          <w:i/>
          <w:iCs/>
          <w:noProof/>
          <w:sz w:val="22"/>
        </w:rPr>
        <w:t>Genome biology</w:t>
      </w:r>
      <w:r w:rsidRPr="007A475F">
        <w:rPr>
          <w:rFonts w:ascii="Calibri" w:hAnsi="Calibri"/>
          <w:noProof/>
          <w:sz w:val="22"/>
        </w:rPr>
        <w:t>, 12(4), p.R33. Available at: http://genomebiology.com/2011/12/4/R33 [Accessed November 11,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Kerr, P.J., Ranford-Cartwright, L.C. &amp; Walliker, D., 1994. Proof of intragenic recombination in Plasmodium falciparum. </w:t>
      </w:r>
      <w:r w:rsidRPr="007A475F">
        <w:rPr>
          <w:rFonts w:ascii="Calibri" w:hAnsi="Calibri"/>
          <w:i/>
          <w:iCs/>
          <w:noProof/>
          <w:sz w:val="22"/>
        </w:rPr>
        <w:t>Molecular and biochemical parasitology</w:t>
      </w:r>
      <w:r w:rsidRPr="007A475F">
        <w:rPr>
          <w:rFonts w:ascii="Calibri" w:hAnsi="Calibri"/>
          <w:noProof/>
          <w:sz w:val="22"/>
        </w:rPr>
        <w:t>, 66(2), pp.241–8. Available at: http://www.ncbi.nlm.nih.gov/pubmed/7808474 [Accessed November 19,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Manske, M. et al., 2012. Analysis of Plasmodium falciparum diversity in natural infections by deep sequencing. </w:t>
      </w:r>
      <w:r w:rsidRPr="007A475F">
        <w:rPr>
          <w:rFonts w:ascii="Calibri" w:hAnsi="Calibri"/>
          <w:i/>
          <w:iCs/>
          <w:noProof/>
          <w:sz w:val="22"/>
        </w:rPr>
        <w:t>Nature</w:t>
      </w:r>
      <w:r w:rsidRPr="007A475F">
        <w:rPr>
          <w:rFonts w:ascii="Calibri" w:hAnsi="Calibri"/>
          <w:noProof/>
          <w:sz w:val="22"/>
        </w:rPr>
        <w:t>, 487(7407), pp.375–9. Available at: http://www.pubmedcentral.nih.gov/articlerender.fcgi?artid=3738909&amp;tool=pmcentrez&amp;rendertype=abstract [Accessed November 11,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Miotto, O. et al., 2013. Multiple populations of artemisinin-resistant Plasmodium falciparum in Cambodia. </w:t>
      </w:r>
      <w:r w:rsidRPr="007A475F">
        <w:rPr>
          <w:rFonts w:ascii="Calibri" w:hAnsi="Calibri"/>
          <w:i/>
          <w:iCs/>
          <w:noProof/>
          <w:sz w:val="22"/>
        </w:rPr>
        <w:t>Nature genetics</w:t>
      </w:r>
      <w:r w:rsidRPr="007A475F">
        <w:rPr>
          <w:rFonts w:ascii="Calibri" w:hAnsi="Calibri"/>
          <w:noProof/>
          <w:sz w:val="22"/>
        </w:rPr>
        <w:t>, 45(6), pp.648–55. Available at: http://www.pubmedcentral.nih.gov/articlerender.fcgi?artid=3807790&amp;tool=pmcentrez&amp;rendertype=abstract [Accessed September 30,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Muralidharan, V. &amp; Goldberg, D.E., 2013. Asparagine repeats in Plasmodium falciparum proteins: good for nothing? L. J. Knoll, ed. </w:t>
      </w:r>
      <w:r w:rsidRPr="007A475F">
        <w:rPr>
          <w:rFonts w:ascii="Calibri" w:hAnsi="Calibri"/>
          <w:i/>
          <w:iCs/>
          <w:noProof/>
          <w:sz w:val="22"/>
        </w:rPr>
        <w:t>PLoS pathogens</w:t>
      </w:r>
      <w:r w:rsidRPr="007A475F">
        <w:rPr>
          <w:rFonts w:ascii="Calibri" w:hAnsi="Calibri"/>
          <w:noProof/>
          <w:sz w:val="22"/>
        </w:rPr>
        <w:t>, 9(8), p.e1003488. Available at: http://dx.plos.org/10.1371/journal.ppat.1003488 [Accessed December 8,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lastRenderedPageBreak/>
        <w:t xml:space="preserve">Robasky, K., Lewis, N.E. &amp; Church, G.M., 2014. The role of replicates for error mitigation in next-generation sequencing. </w:t>
      </w:r>
      <w:r w:rsidRPr="007A475F">
        <w:rPr>
          <w:rFonts w:ascii="Calibri" w:hAnsi="Calibri"/>
          <w:i/>
          <w:iCs/>
          <w:noProof/>
          <w:sz w:val="22"/>
        </w:rPr>
        <w:t>Nature reviews. Genetics</w:t>
      </w:r>
      <w:r w:rsidRPr="007A475F">
        <w:rPr>
          <w:rFonts w:ascii="Calibri" w:hAnsi="Calibri"/>
          <w:noProof/>
          <w:sz w:val="22"/>
        </w:rPr>
        <w:t>, 15(1), pp.56–62. Available at: http://dx.doi.org/10.1038/nrg3655 [Accessed July 15,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Roy, S.W., Ferreira, M.U. &amp; Hartl, D.L., 2008. Evolution of allelic dimorphism in malarial surface antigens. </w:t>
      </w:r>
      <w:r w:rsidRPr="007A475F">
        <w:rPr>
          <w:rFonts w:ascii="Calibri" w:hAnsi="Calibri"/>
          <w:i/>
          <w:iCs/>
          <w:noProof/>
          <w:sz w:val="22"/>
        </w:rPr>
        <w:t>Heredity</w:t>
      </w:r>
      <w:r w:rsidRPr="007A475F">
        <w:rPr>
          <w:rFonts w:ascii="Calibri" w:hAnsi="Calibri"/>
          <w:noProof/>
          <w:sz w:val="22"/>
        </w:rPr>
        <w:t>, 100(2), pp.103–10. Available at: http://www.ncbi.nlm.nih.gov/pubmed/17021615 [Accessed November 19,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Samarakoon, U., Regier, A., et al., 2011. High-throughput 454 resequencing for allele discovery and recombination mapping in Plasmodium falciparum. </w:t>
      </w:r>
      <w:r w:rsidRPr="007A475F">
        <w:rPr>
          <w:rFonts w:ascii="Calibri" w:hAnsi="Calibri"/>
          <w:i/>
          <w:iCs/>
          <w:noProof/>
          <w:sz w:val="22"/>
        </w:rPr>
        <w:t>BMC genomics</w:t>
      </w:r>
      <w:r w:rsidRPr="007A475F">
        <w:rPr>
          <w:rFonts w:ascii="Calibri" w:hAnsi="Calibri"/>
          <w:noProof/>
          <w:sz w:val="22"/>
        </w:rPr>
        <w:t>, 12, p.116. Available at: http://www.pubmedcentral.nih.gov/articlerender.fcgi?artid=3055840&amp;tool=pmcentrez&amp;rendertype=abstract [Accessed November 11,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Samarakoon, U., Gonzales, J.M., et al., 2011. The landscape of inherited and de novo copy number variants in a Plasmodium falciparum genetic cross. </w:t>
      </w:r>
      <w:r w:rsidRPr="007A475F">
        <w:rPr>
          <w:rFonts w:ascii="Calibri" w:hAnsi="Calibri"/>
          <w:i/>
          <w:iCs/>
          <w:noProof/>
          <w:sz w:val="22"/>
        </w:rPr>
        <w:t>BMC genomics</w:t>
      </w:r>
      <w:r w:rsidRPr="007A475F">
        <w:rPr>
          <w:rFonts w:ascii="Calibri" w:hAnsi="Calibri"/>
          <w:noProof/>
          <w:sz w:val="22"/>
        </w:rPr>
        <w:t>, 12, p.457. Available at: http://www.pubmedcentral.nih.gov/articlerender.fcgi?artid=3191341&amp;tool=pmcentrez&amp;rendertype=abstract [Accessed October 18,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Saunders, I.W., Brohede, J. &amp; Hannan, G.N., 2007. Estimating genotyping error rates from Mendelian errors in SNP array genotypes and their impact on inference. </w:t>
      </w:r>
      <w:r w:rsidRPr="007A475F">
        <w:rPr>
          <w:rFonts w:ascii="Calibri" w:hAnsi="Calibri"/>
          <w:i/>
          <w:iCs/>
          <w:noProof/>
          <w:sz w:val="22"/>
        </w:rPr>
        <w:t>Genomics</w:t>
      </w:r>
      <w:r w:rsidRPr="007A475F">
        <w:rPr>
          <w:rFonts w:ascii="Calibri" w:hAnsi="Calibri"/>
          <w:noProof/>
          <w:sz w:val="22"/>
        </w:rPr>
        <w:t>, 90(3), pp.291–6. Available at: http://www.sciencedirect.com/science/article/pii/S088875430700136X [Accessed December 15,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Su, X. et al., 1999. A genetic map and recombination parameters of the human malaria parasite Plasmodium falciparum. </w:t>
      </w:r>
      <w:r w:rsidRPr="007A475F">
        <w:rPr>
          <w:rFonts w:ascii="Calibri" w:hAnsi="Calibri"/>
          <w:i/>
          <w:iCs/>
          <w:noProof/>
          <w:sz w:val="22"/>
        </w:rPr>
        <w:t>Science (New York, N.Y.)</w:t>
      </w:r>
      <w:r w:rsidRPr="007A475F">
        <w:rPr>
          <w:rFonts w:ascii="Calibri" w:hAnsi="Calibri"/>
          <w:noProof/>
          <w:sz w:val="22"/>
        </w:rPr>
        <w:t>, 286(5443), pp.1351–3. Available at: http://www.ncbi.nlm.nih.gov/pubmed/10558988 [Accessed November 19,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Tan, J.C. et al., 2010. Variable numbers of tandem repeats in Plasmodium falciparum genes. </w:t>
      </w:r>
      <w:r w:rsidRPr="007A475F">
        <w:rPr>
          <w:rFonts w:ascii="Calibri" w:hAnsi="Calibri"/>
          <w:i/>
          <w:iCs/>
          <w:noProof/>
          <w:sz w:val="22"/>
        </w:rPr>
        <w:t>Journal of molecular evolution</w:t>
      </w:r>
      <w:r w:rsidRPr="007A475F">
        <w:rPr>
          <w:rFonts w:ascii="Calibri" w:hAnsi="Calibri"/>
          <w:noProof/>
          <w:sz w:val="22"/>
        </w:rPr>
        <w:t>, 71(4), pp.268–78. Available at: http://www.pubmedcentral.nih.gov/articlerender.fcgi?artid=3205454&amp;tool=pmcentrez&amp;rendertype=abstract [Accessed November 21,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Völker, M. et al., 2010. Copy number variation, chromosome rearrangement, and their association with recombination during avian evolution. </w:t>
      </w:r>
      <w:r w:rsidRPr="007A475F">
        <w:rPr>
          <w:rFonts w:ascii="Calibri" w:hAnsi="Calibri"/>
          <w:i/>
          <w:iCs/>
          <w:noProof/>
          <w:sz w:val="22"/>
        </w:rPr>
        <w:t>Genome research</w:t>
      </w:r>
      <w:r w:rsidRPr="007A475F">
        <w:rPr>
          <w:rFonts w:ascii="Calibri" w:hAnsi="Calibri"/>
          <w:noProof/>
          <w:sz w:val="22"/>
        </w:rPr>
        <w:t>, 20(4), pp.503–11. Available at: http://genome.cshlp.org/content/20/4/503.full [Accessed December 15,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Walker-Jonah, A. et al., 1992. An RFLP map of the Plasmodium falciparum genome, recombination rates and favored linkage groups in a genetic cross. </w:t>
      </w:r>
      <w:r w:rsidRPr="007A475F">
        <w:rPr>
          <w:rFonts w:ascii="Calibri" w:hAnsi="Calibri"/>
          <w:i/>
          <w:iCs/>
          <w:noProof/>
          <w:sz w:val="22"/>
        </w:rPr>
        <w:t>Molecular and biochemical parasitology</w:t>
      </w:r>
      <w:r w:rsidRPr="007A475F">
        <w:rPr>
          <w:rFonts w:ascii="Calibri" w:hAnsi="Calibri"/>
          <w:noProof/>
          <w:sz w:val="22"/>
        </w:rPr>
        <w:t>, 51(2), pp.313–20. Available at: http://www.ncbi.nlm.nih.gov/pubmed/1349423 [Accessed November 19,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Walliker, D. et al., 1987. Genetic analysis of the human malaria parasite Plasmodium falciparum. </w:t>
      </w:r>
      <w:r w:rsidRPr="007A475F">
        <w:rPr>
          <w:rFonts w:ascii="Calibri" w:hAnsi="Calibri"/>
          <w:i/>
          <w:iCs/>
          <w:noProof/>
          <w:sz w:val="22"/>
        </w:rPr>
        <w:t>Science (New York, N.Y.)</w:t>
      </w:r>
      <w:r w:rsidRPr="007A475F">
        <w:rPr>
          <w:rFonts w:ascii="Calibri" w:hAnsi="Calibri"/>
          <w:noProof/>
          <w:sz w:val="22"/>
        </w:rPr>
        <w:t>, 236(4809), pp.1661–6. Available at: http://www.ncbi.nlm.nih.gov/pubmed/3299700 [Accessed November 11,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Wellems, T.E. et al., 1990. Chloroquine resistance not linked to mdr-like genes in a Plasmodium falciparum cross. </w:t>
      </w:r>
      <w:r w:rsidRPr="007A475F">
        <w:rPr>
          <w:rFonts w:ascii="Calibri" w:hAnsi="Calibri"/>
          <w:i/>
          <w:iCs/>
          <w:noProof/>
          <w:sz w:val="22"/>
        </w:rPr>
        <w:t>Nature</w:t>
      </w:r>
      <w:r w:rsidRPr="007A475F">
        <w:rPr>
          <w:rFonts w:ascii="Calibri" w:hAnsi="Calibri"/>
          <w:noProof/>
          <w:sz w:val="22"/>
        </w:rPr>
        <w:t>, 345(6272), pp.253–5. Available at: http://www.ncbi.nlm.nih.gov/pubmed/1970614 [Accessed November 11,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Wellems, T.E., Walker-Jonah, A. &amp; Panton, L.J., 1991. Genetic mapping of the chloroquine-resistance locus on Plasmodium falciparum chromosome 7. </w:t>
      </w:r>
      <w:r w:rsidRPr="007A475F">
        <w:rPr>
          <w:rFonts w:ascii="Calibri" w:hAnsi="Calibri"/>
          <w:i/>
          <w:iCs/>
          <w:noProof/>
          <w:sz w:val="22"/>
        </w:rPr>
        <w:t xml:space="preserve">Proceedings of the National Academy of </w:t>
      </w:r>
      <w:r w:rsidRPr="007A475F">
        <w:rPr>
          <w:rFonts w:ascii="Calibri" w:hAnsi="Calibri"/>
          <w:i/>
          <w:iCs/>
          <w:noProof/>
          <w:sz w:val="22"/>
        </w:rPr>
        <w:lastRenderedPageBreak/>
        <w:t>Sciences of the United States of America</w:t>
      </w:r>
      <w:r w:rsidRPr="007A475F">
        <w:rPr>
          <w:rFonts w:ascii="Calibri" w:hAnsi="Calibri"/>
          <w:noProof/>
          <w:sz w:val="22"/>
        </w:rPr>
        <w:t>, 88(8), pp.3382–6. Available at: http://www.pubmedcentral.nih.gov/articlerender.fcgi?artid=51451&amp;tool=pmcentrez&amp;rendertype=abstract [Accessed November 11, 2014].</w:t>
      </w:r>
    </w:p>
    <w:p w:rsidR="007A475F" w:rsidRPr="007A475F" w:rsidRDefault="007A475F">
      <w:pPr>
        <w:pStyle w:val="NormalWeb"/>
        <w:ind w:left="480" w:hanging="480"/>
        <w:divId w:val="1639796376"/>
        <w:rPr>
          <w:rFonts w:ascii="Calibri" w:hAnsi="Calibri"/>
          <w:noProof/>
          <w:sz w:val="22"/>
        </w:rPr>
      </w:pPr>
      <w:r w:rsidRPr="007A475F">
        <w:rPr>
          <w:rFonts w:ascii="Calibri" w:hAnsi="Calibri"/>
          <w:noProof/>
          <w:sz w:val="22"/>
        </w:rPr>
        <w:t xml:space="preserve">Zilversmit, M.M. et al., 2010. Low-complexity regions in Plasmodium falciparum: missing links in the evolution of an extreme genome. </w:t>
      </w:r>
      <w:r w:rsidRPr="007A475F">
        <w:rPr>
          <w:rFonts w:ascii="Calibri" w:hAnsi="Calibri"/>
          <w:i/>
          <w:iCs/>
          <w:noProof/>
          <w:sz w:val="22"/>
        </w:rPr>
        <w:t>Molecular biology and evolution</w:t>
      </w:r>
      <w:r w:rsidRPr="007A475F">
        <w:rPr>
          <w:rFonts w:ascii="Calibri" w:hAnsi="Calibri"/>
          <w:noProof/>
          <w:sz w:val="22"/>
        </w:rPr>
        <w:t>, 27(9), pp.2198–209. Available at: http://www.pubmedcentral.nih.gov/articlerender.fcgi?artid=2922621&amp;tool=pmcentrez&amp;rendertype=abstract [Accessed October 20, 2014].</w:t>
      </w:r>
    </w:p>
    <w:p w:rsidR="009E1600" w:rsidRPr="009E1600" w:rsidRDefault="00CB6C32" w:rsidP="007A475F">
      <w:pPr>
        <w:pStyle w:val="NormalWeb"/>
        <w:ind w:left="480" w:hanging="480"/>
        <w:divId w:val="1582833658"/>
      </w:pPr>
      <w:r>
        <w:fldChar w:fldCharType="end"/>
      </w:r>
    </w:p>
    <w:sectPr w:rsidR="009E1600" w:rsidRPr="009E1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306"/>
    <w:rsid w:val="00016DA9"/>
    <w:rsid w:val="00022BF0"/>
    <w:rsid w:val="0004180F"/>
    <w:rsid w:val="00043C58"/>
    <w:rsid w:val="000645D6"/>
    <w:rsid w:val="00065004"/>
    <w:rsid w:val="000900EE"/>
    <w:rsid w:val="00092516"/>
    <w:rsid w:val="00094913"/>
    <w:rsid w:val="00094D11"/>
    <w:rsid w:val="000C02A8"/>
    <w:rsid w:val="000C3978"/>
    <w:rsid w:val="000C7B24"/>
    <w:rsid w:val="000D1E36"/>
    <w:rsid w:val="000E06C9"/>
    <w:rsid w:val="00161CD0"/>
    <w:rsid w:val="00170A38"/>
    <w:rsid w:val="00190747"/>
    <w:rsid w:val="00194EE4"/>
    <w:rsid w:val="001C088D"/>
    <w:rsid w:val="001C1697"/>
    <w:rsid w:val="001C4E6F"/>
    <w:rsid w:val="001E1229"/>
    <w:rsid w:val="002105BA"/>
    <w:rsid w:val="00213F97"/>
    <w:rsid w:val="0022383E"/>
    <w:rsid w:val="00225E63"/>
    <w:rsid w:val="00242B17"/>
    <w:rsid w:val="00266665"/>
    <w:rsid w:val="002759C7"/>
    <w:rsid w:val="00293AC3"/>
    <w:rsid w:val="002A031E"/>
    <w:rsid w:val="002A5154"/>
    <w:rsid w:val="002B5CBF"/>
    <w:rsid w:val="002C3E4D"/>
    <w:rsid w:val="002D236F"/>
    <w:rsid w:val="0031069D"/>
    <w:rsid w:val="00316BAD"/>
    <w:rsid w:val="00320409"/>
    <w:rsid w:val="00320E71"/>
    <w:rsid w:val="003567AE"/>
    <w:rsid w:val="0036655D"/>
    <w:rsid w:val="00395FA2"/>
    <w:rsid w:val="003C72B7"/>
    <w:rsid w:val="003D0F25"/>
    <w:rsid w:val="003D1E9D"/>
    <w:rsid w:val="003E6777"/>
    <w:rsid w:val="003F0D40"/>
    <w:rsid w:val="003F1EB5"/>
    <w:rsid w:val="0040749C"/>
    <w:rsid w:val="00414247"/>
    <w:rsid w:val="004177B6"/>
    <w:rsid w:val="004261C2"/>
    <w:rsid w:val="0043059A"/>
    <w:rsid w:val="00436C33"/>
    <w:rsid w:val="004412FA"/>
    <w:rsid w:val="00450E72"/>
    <w:rsid w:val="004531F4"/>
    <w:rsid w:val="004568E5"/>
    <w:rsid w:val="00467EE6"/>
    <w:rsid w:val="00494F68"/>
    <w:rsid w:val="004B714B"/>
    <w:rsid w:val="004C6EBF"/>
    <w:rsid w:val="004C7856"/>
    <w:rsid w:val="00502205"/>
    <w:rsid w:val="00516EE3"/>
    <w:rsid w:val="00523D59"/>
    <w:rsid w:val="00530D8A"/>
    <w:rsid w:val="00530F60"/>
    <w:rsid w:val="00536C74"/>
    <w:rsid w:val="005A3815"/>
    <w:rsid w:val="005B37DB"/>
    <w:rsid w:val="005B671D"/>
    <w:rsid w:val="005D178D"/>
    <w:rsid w:val="005D73F0"/>
    <w:rsid w:val="005E4F41"/>
    <w:rsid w:val="005E5FE9"/>
    <w:rsid w:val="005F7D85"/>
    <w:rsid w:val="005F7DD3"/>
    <w:rsid w:val="00601883"/>
    <w:rsid w:val="00605B08"/>
    <w:rsid w:val="006065AE"/>
    <w:rsid w:val="00607AA0"/>
    <w:rsid w:val="0062071D"/>
    <w:rsid w:val="00622DB4"/>
    <w:rsid w:val="00653393"/>
    <w:rsid w:val="0066222C"/>
    <w:rsid w:val="0066428C"/>
    <w:rsid w:val="006927BD"/>
    <w:rsid w:val="006B37E8"/>
    <w:rsid w:val="006C1DD2"/>
    <w:rsid w:val="006E7EA9"/>
    <w:rsid w:val="0072106A"/>
    <w:rsid w:val="00725338"/>
    <w:rsid w:val="00732DD8"/>
    <w:rsid w:val="00760802"/>
    <w:rsid w:val="00773905"/>
    <w:rsid w:val="0077582B"/>
    <w:rsid w:val="007827B2"/>
    <w:rsid w:val="00783242"/>
    <w:rsid w:val="00783449"/>
    <w:rsid w:val="007A475F"/>
    <w:rsid w:val="007C6969"/>
    <w:rsid w:val="007E1951"/>
    <w:rsid w:val="00822F7D"/>
    <w:rsid w:val="00831572"/>
    <w:rsid w:val="008336DB"/>
    <w:rsid w:val="0084749C"/>
    <w:rsid w:val="008529A0"/>
    <w:rsid w:val="00873E89"/>
    <w:rsid w:val="008901F1"/>
    <w:rsid w:val="00890734"/>
    <w:rsid w:val="008A5CF4"/>
    <w:rsid w:val="008D7DCE"/>
    <w:rsid w:val="008E486C"/>
    <w:rsid w:val="008F4E05"/>
    <w:rsid w:val="00901FE9"/>
    <w:rsid w:val="009044CA"/>
    <w:rsid w:val="009255D4"/>
    <w:rsid w:val="00936076"/>
    <w:rsid w:val="00943113"/>
    <w:rsid w:val="009768F2"/>
    <w:rsid w:val="009778CE"/>
    <w:rsid w:val="0098727C"/>
    <w:rsid w:val="00995125"/>
    <w:rsid w:val="009A32D6"/>
    <w:rsid w:val="009C2480"/>
    <w:rsid w:val="009E0D59"/>
    <w:rsid w:val="009E1600"/>
    <w:rsid w:val="009E51A2"/>
    <w:rsid w:val="009E5C7B"/>
    <w:rsid w:val="009F1864"/>
    <w:rsid w:val="00A00035"/>
    <w:rsid w:val="00A12839"/>
    <w:rsid w:val="00A24306"/>
    <w:rsid w:val="00A32224"/>
    <w:rsid w:val="00A42F7A"/>
    <w:rsid w:val="00A44E52"/>
    <w:rsid w:val="00A4677A"/>
    <w:rsid w:val="00A46A4E"/>
    <w:rsid w:val="00A55587"/>
    <w:rsid w:val="00A72CFF"/>
    <w:rsid w:val="00AC67A5"/>
    <w:rsid w:val="00AD509E"/>
    <w:rsid w:val="00AE555C"/>
    <w:rsid w:val="00AF5355"/>
    <w:rsid w:val="00B037B8"/>
    <w:rsid w:val="00B11DF3"/>
    <w:rsid w:val="00B1349E"/>
    <w:rsid w:val="00B1727B"/>
    <w:rsid w:val="00B32D1F"/>
    <w:rsid w:val="00B50155"/>
    <w:rsid w:val="00B537A3"/>
    <w:rsid w:val="00B6677C"/>
    <w:rsid w:val="00BA4DCF"/>
    <w:rsid w:val="00BB0C47"/>
    <w:rsid w:val="00BB10EC"/>
    <w:rsid w:val="00BF518B"/>
    <w:rsid w:val="00BF5714"/>
    <w:rsid w:val="00BF5E5E"/>
    <w:rsid w:val="00C37853"/>
    <w:rsid w:val="00C47636"/>
    <w:rsid w:val="00C63023"/>
    <w:rsid w:val="00C73348"/>
    <w:rsid w:val="00C81D5D"/>
    <w:rsid w:val="00C82549"/>
    <w:rsid w:val="00C97C07"/>
    <w:rsid w:val="00CB6C32"/>
    <w:rsid w:val="00CC57FE"/>
    <w:rsid w:val="00CD711E"/>
    <w:rsid w:val="00D05581"/>
    <w:rsid w:val="00D14426"/>
    <w:rsid w:val="00D246DE"/>
    <w:rsid w:val="00D329C7"/>
    <w:rsid w:val="00D51DCC"/>
    <w:rsid w:val="00D52B09"/>
    <w:rsid w:val="00D6625D"/>
    <w:rsid w:val="00D70420"/>
    <w:rsid w:val="00D7475C"/>
    <w:rsid w:val="00D96060"/>
    <w:rsid w:val="00DA1B2C"/>
    <w:rsid w:val="00DA3665"/>
    <w:rsid w:val="00DB2FDB"/>
    <w:rsid w:val="00DC41FA"/>
    <w:rsid w:val="00DE05F9"/>
    <w:rsid w:val="00DE0EF1"/>
    <w:rsid w:val="00DE11E6"/>
    <w:rsid w:val="00DE754D"/>
    <w:rsid w:val="00DF2176"/>
    <w:rsid w:val="00DF4B94"/>
    <w:rsid w:val="00DF77B0"/>
    <w:rsid w:val="00E042AF"/>
    <w:rsid w:val="00E1296E"/>
    <w:rsid w:val="00E224EF"/>
    <w:rsid w:val="00E73835"/>
    <w:rsid w:val="00E81244"/>
    <w:rsid w:val="00E852B4"/>
    <w:rsid w:val="00EA3CED"/>
    <w:rsid w:val="00EB143B"/>
    <w:rsid w:val="00EC2A4A"/>
    <w:rsid w:val="00EC326F"/>
    <w:rsid w:val="00ED0992"/>
    <w:rsid w:val="00EE1931"/>
    <w:rsid w:val="00EE4AC6"/>
    <w:rsid w:val="00EE5A51"/>
    <w:rsid w:val="00EF2C90"/>
    <w:rsid w:val="00F428AA"/>
    <w:rsid w:val="00F70B94"/>
    <w:rsid w:val="00F7616C"/>
    <w:rsid w:val="00F803F5"/>
    <w:rsid w:val="00FA6FE6"/>
    <w:rsid w:val="00FB2301"/>
    <w:rsid w:val="00FC41A4"/>
    <w:rsid w:val="00FD7D69"/>
    <w:rsid w:val="00FE0FEE"/>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hyperlink" Target="http://www.malariagen.net/apps/pf-cross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alariagen.net/apps/pf-cross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2ADDD-92BB-4FCA-92D7-A56E84E78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3959</TotalTime>
  <Pages>21</Pages>
  <Words>31943</Words>
  <Characters>182080</Characters>
  <Application>Microsoft Office Word</Application>
  <DocSecurity>0</DocSecurity>
  <Lines>1517</Lines>
  <Paragraphs>427</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213596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108</cp:revision>
  <dcterms:created xsi:type="dcterms:W3CDTF">2014-11-21T18:07:00Z</dcterms:created>
  <dcterms:modified xsi:type="dcterms:W3CDTF">2014-12-15T17:04:00Z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