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29A0" w:rsidRDefault="00A24306" w:rsidP="00D3722C">
      <w:pPr>
        <w:pStyle w:val="Title"/>
      </w:pPr>
      <w:r>
        <w:t xml:space="preserve">Deep sequencing of </w:t>
      </w:r>
      <w:r w:rsidRPr="00A24306">
        <w:rPr>
          <w:i/>
        </w:rPr>
        <w:t>Plasmodium falciparum</w:t>
      </w:r>
      <w:r>
        <w:t xml:space="preserve"> </w:t>
      </w:r>
      <w:r w:rsidR="00B537A3">
        <w:t xml:space="preserve">genetic </w:t>
      </w:r>
      <w:r>
        <w:t>crosses: a resource for the study of genome variation and meiotic recombination</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w:t>
      </w:r>
      <w:proofErr w:type="spellStart"/>
      <w:r w:rsidRPr="00A24306">
        <w:t>Iqbal</w:t>
      </w:r>
      <w:proofErr w:type="spellEnd"/>
      <w:r w:rsidR="003C55CB">
        <w:rPr>
          <w:rStyle w:val="FootnoteReference"/>
        </w:rPr>
        <w:footnoteReference w:id="3"/>
      </w:r>
      <w:r w:rsidRPr="00A24306">
        <w:t>, Paul Vauterin</w:t>
      </w:r>
      <w:fldSimple w:instr=" NOTEREF _Ref407025212 \h  \* MERGEFORMAT ">
        <w:r w:rsidR="00C67381" w:rsidRPr="00624AF9">
          <w:rPr>
            <w:vertAlign w:val="superscript"/>
          </w:rPr>
          <w:t>1</w:t>
        </w:r>
      </w:fldSimple>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C67381" w:rsidRPr="00C67381">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C67381" w:rsidRPr="00C67381">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C67381" w:rsidRPr="00C67381">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C67381" w:rsidRPr="00C67381">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C67381" w:rsidRPr="00C67381">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C67381" w:rsidRPr="00C67381">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C67381" w:rsidRPr="00C67381">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w:t>
      </w:r>
      <w:proofErr w:type="spellStart"/>
      <w:r w:rsidR="00395FA2">
        <w:t>Valentin</w:t>
      </w:r>
      <w:proofErr w:type="spellEnd"/>
      <w:r w:rsidR="00395FA2">
        <w:t xml:space="preserve">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C67381" w:rsidRPr="00C67381">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fldSimple w:instr=" NOTEREF _Ref417453778 \h  \* MERGEFORMAT ">
        <w:r w:rsidR="00C67381" w:rsidRPr="00624AF9">
          <w:rPr>
            <w:vertAlign w:val="superscript"/>
          </w:rPr>
          <w:t>7</w:t>
        </w:r>
      </w:fldSimple>
      <w:r w:rsidR="00BE5D41">
        <w:t>,</w:t>
      </w:r>
      <w:r w:rsidRPr="00A24306">
        <w:t xml:space="preserve"> </w:t>
      </w:r>
      <w:proofErr w:type="spellStart"/>
      <w:r w:rsidR="00BE5D41">
        <w:t>Upeka</w:t>
      </w:r>
      <w:proofErr w:type="spellEnd"/>
      <w:r w:rsidR="00BE5D41">
        <w:t xml:space="preserve"> Samarakoon</w:t>
      </w:r>
      <w:fldSimple w:instr=" NOTEREF _Ref417453876 \h  \* MERGEFORMAT ">
        <w:r w:rsidR="00C67381" w:rsidRPr="00624AF9">
          <w:rPr>
            <w:vertAlign w:val="superscript"/>
          </w:rPr>
          <w:t>8</w:t>
        </w:r>
      </w:fldSimple>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C67381" w:rsidRPr="00C67381">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C67381" w:rsidRPr="00C67381">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C67381" w:rsidRPr="00C67381">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C67381" w:rsidRPr="00C67381">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C67381" w:rsidRPr="00C67381">
        <w:rPr>
          <w:rStyle w:val="FootnoteReference"/>
        </w:rPr>
        <w:t>1</w:t>
      </w:r>
      <w:r w:rsidR="005C3FF3">
        <w:rPr>
          <w:vertAlign w:val="superscript"/>
        </w:rPr>
        <w:fldChar w:fldCharType="end"/>
      </w:r>
    </w:p>
    <w:p w:rsidR="00A24306" w:rsidRDefault="00A24306" w:rsidP="00D3722C">
      <w:pPr>
        <w:pStyle w:val="Heading1"/>
      </w:pPr>
      <w:r>
        <w:t>Abstract</w:t>
      </w:r>
    </w:p>
    <w:p w:rsidR="00F803F5" w:rsidRDefault="00A24306" w:rsidP="00A24306">
      <w:r>
        <w:t xml:space="preserve">The human malaria parasite </w:t>
      </w:r>
      <w:r>
        <w:rPr>
          <w:i/>
        </w:rPr>
        <w:t>Plasmodium falciparum</w:t>
      </w:r>
      <w:r>
        <w:t xml:space="preserve"> </w:t>
      </w:r>
      <w:r w:rsidR="00F803F5">
        <w:t>continues to be</w:t>
      </w:r>
      <w:r>
        <w:t xml:space="preserve"> a major focus for public health research, as elimination efforts confront </w:t>
      </w:r>
      <w:r w:rsidR="00A46A4E">
        <w:t xml:space="preserve">the spread of </w:t>
      </w:r>
      <w:r w:rsidR="00F803F5">
        <w:t>artemisinin</w:t>
      </w:r>
      <w:r w:rsidR="00A46A4E">
        <w:t xml:space="preserve"> resistance</w:t>
      </w:r>
      <w:r w:rsidR="00F803F5">
        <w:t xml:space="preserve"> in South-East Asia</w:t>
      </w:r>
      <w:r w:rsidR="00A46A4E">
        <w:t xml:space="preserve">. These efforts stand to gain from a deeper knowledge of genetic diversity and recombination in parasite populations, yet </w:t>
      </w:r>
      <w:r w:rsidR="00A46A4E" w:rsidRPr="00A46A4E">
        <w:rPr>
          <w:i/>
        </w:rPr>
        <w:t>P. falciparum</w:t>
      </w:r>
      <w:r w:rsidR="00A46A4E">
        <w:t xml:space="preserve"> remains a difficult genome to study. To provide a foundation for ongoing research </w:t>
      </w:r>
      <w:r w:rsidR="002D236F">
        <w:t xml:space="preserve">in these </w:t>
      </w:r>
      <w:r w:rsidR="00CC57FE">
        <w:t xml:space="preserve">and other </w:t>
      </w:r>
      <w:r w:rsidR="002D236F">
        <w:t>areas</w:t>
      </w:r>
      <w:r w:rsidR="00CD711E">
        <w:t xml:space="preserve"> of </w:t>
      </w:r>
      <w:r w:rsidR="00CD711E" w:rsidRPr="00CD711E">
        <w:rPr>
          <w:i/>
        </w:rPr>
        <w:t>P. falciparum</w:t>
      </w:r>
      <w:r w:rsidR="00CD711E">
        <w:t xml:space="preserve"> genome biology</w:t>
      </w:r>
      <w:r w:rsidR="002D236F">
        <w:t>,</w:t>
      </w:r>
      <w:r w:rsidR="00A46A4E">
        <w:t xml:space="preserve"> we describe a data resource comprising whole genome deep sequencing of haploid parents and progeny from three genetic crosses. </w:t>
      </w:r>
      <w:r w:rsidR="008D7DCE">
        <w:t xml:space="preserve">We use the sequence data to construct a map of genome variation within each cross, spanning both coding and non-coding regions, and integrating SNP, </w:t>
      </w:r>
      <w:r w:rsidR="00F230BE">
        <w:t>INDEL</w:t>
      </w:r>
      <w:r w:rsidR="008D7DCE">
        <w:t xml:space="preserve"> and complex polymorphisms. </w:t>
      </w:r>
      <w:r w:rsidR="00F803F5">
        <w:t xml:space="preserve">We confirm that </w:t>
      </w:r>
      <w:r w:rsidR="00F230BE">
        <w:t>INDEL</w:t>
      </w:r>
      <w:r w:rsidR="00F803F5">
        <w:t xml:space="preserve">s are </w:t>
      </w:r>
      <w:r w:rsidR="00B11DF3">
        <w:t xml:space="preserve">exceptionally </w:t>
      </w:r>
      <w:r w:rsidR="00F803F5">
        <w:t>abundant, being more common than SNPs and thus the dominant mode of polymorphism</w:t>
      </w:r>
      <w:r w:rsidR="00BF5E5E">
        <w:t xml:space="preserve"> within the core genome</w:t>
      </w:r>
      <w:r w:rsidR="00F803F5">
        <w:t xml:space="preserve">. This map of variation can serve as a </w:t>
      </w:r>
      <w:r w:rsidR="00CC57FE">
        <w:t>robust</w:t>
      </w:r>
      <w:r w:rsidR="00F803F5">
        <w:t xml:space="preserve"> reference point for studies of variation in natural populations, as well as a tool </w:t>
      </w:r>
      <w:r w:rsidR="00F803F5">
        <w:lastRenderedPageBreak/>
        <w:t xml:space="preserve">for </w:t>
      </w:r>
      <w:r w:rsidR="00CC57FE">
        <w:t xml:space="preserve">fine-grained </w:t>
      </w:r>
      <w:r w:rsidR="00F803F5">
        <w:t xml:space="preserve">genotype-phenotype studies within the crosses themselves. We </w:t>
      </w:r>
      <w:r w:rsidR="00624AF9">
        <w:t xml:space="preserve">use the variation data to address </w:t>
      </w:r>
      <w:r w:rsidR="00B11DF3">
        <w:t xml:space="preserve">open questions regarding meiotic recombination, including the relative contribution of crossover and non-crossover </w:t>
      </w:r>
      <w:r w:rsidR="00213F97">
        <w:t>events</w:t>
      </w:r>
      <w:r w:rsidR="00B11DF3">
        <w:t xml:space="preserve">, and the factors influencing variation in recombination rate over the genome. Finally, we study a peculiar </w:t>
      </w:r>
      <w:r w:rsidR="000645D6">
        <w:t>phenomenon within these crosses whereby several progeny have undergone meiotic recombination within regions of copy number amplification</w:t>
      </w:r>
      <w:r w:rsidR="008336DB">
        <w:t xml:space="preserve"> associated with drug resistance</w:t>
      </w:r>
      <w:r w:rsidR="000645D6">
        <w:t>, and discuss the implications for the potenti</w:t>
      </w:r>
      <w:r w:rsidR="00BF5E5E">
        <w:t xml:space="preserve">al of this species to undergo </w:t>
      </w:r>
      <w:r w:rsidR="000645D6">
        <w:t>bursts of evolution within genome regions under strong selection.</w:t>
      </w:r>
    </w:p>
    <w:p w:rsidR="00436C33" w:rsidRDefault="00436C33" w:rsidP="00D3722C">
      <w:pPr>
        <w:pStyle w:val="Heading1"/>
      </w:pPr>
      <w:r>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w:t>
      </w:r>
      <w:r w:rsidR="00B1727B">
        <w:lastRenderedPageBreak/>
        <w:t xml:space="preserve">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While a small number of de novo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P. 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currently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2453E7" w:rsidRPr="002453E7">
        <w:rPr>
          <w:noProof/>
        </w:rPr>
        <w:t>(Ranford-Cartwright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 and hence could serve as a </w:t>
      </w:r>
      <w:r>
        <w:lastRenderedPageBreak/>
        <w:t xml:space="preserve">positive training set to underpin variant discovery in </w:t>
      </w:r>
      <w:r w:rsidR="002759C7">
        <w:t>other studies</w:t>
      </w:r>
      <w:r>
        <w:t>.</w:t>
      </w:r>
      <w:r w:rsidR="002759C7">
        <w:t xml:space="preserve"> These data also reveal some 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spatial variation in recombination rates.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w:t>
      </w:r>
      <w:r>
        <w:lastRenderedPageBreak/>
        <w:t xml:space="preserve">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7"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 xml:space="preserve">Supplementary Information; Figures S1-S3; </w:t>
      </w:r>
      <w:r w:rsidR="00B1349E">
        <w:t xml:space="preserve">a BED file defining the boundaries of these regions </w:t>
      </w:r>
      <w:r w:rsidR="00B513E5">
        <w:t>can be downloaded from the FTP site</w:t>
      </w:r>
      <w:r w:rsidR="00B513E5">
        <w:rPr>
          <w:rStyle w:val="FootnoteReference"/>
        </w:rPr>
        <w:footnoteReference w:id="11"/>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lastRenderedPageBreak/>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A74395">
        <w:t>Table S2</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FC41D8">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"http://www.mendeley.com/documents/?uuid=a9fb526e-9f0c-4c10-a6a8-8adc387a9d3c", "http://www.mendeley.com/documents/?uuid=d5611798-eaa8-42d9-9833-1d69a9aeed51" ] } ], "mendeley" : { "formattedCitation" : "(Birren et al. 2006a)", "plainTextFormattedCitation" : "(Birren et al. 2006a)", "previouslyFormattedCitation" : "(Birren et al. 2006a)" }, "properties" : { "noteIndex" : 0 }, "schema" : "https://github.com/citation-style-language/schema/raw/master/csl-citation.json" }</w:instrText>
      </w:r>
      <w:r w:rsidR="005C3FF3">
        <w:fldChar w:fldCharType="separate"/>
      </w:r>
      <w:r w:rsidR="0056071D" w:rsidRPr="0056071D">
        <w:rPr>
          <w:noProof/>
        </w:rPr>
        <w:t>(Birren et al. 2006a)</w:t>
      </w:r>
      <w:r w:rsidR="005C3FF3">
        <w:fldChar w:fldCharType="end"/>
      </w:r>
      <w:r w:rsidR="00BC5A53">
        <w:t xml:space="preserve"> and publicly available HB3 gene sequences (Supplementary Information). </w:t>
      </w:r>
      <w:r w:rsidR="00D1018D">
        <w:t>We estimated a SNP FDR between 0.6-2.7% for the alignment-based calling method and between 0.0-</w:t>
      </w:r>
      <w:proofErr w:type="gramStart"/>
      <w:r w:rsidR="00D1018D">
        <w:t>1.1%</w:t>
      </w:r>
      <w:proofErr w:type="gramEnd"/>
      <w:r w:rsidR="00D1018D">
        <w:t xml:space="preserve"> for the assembly</w:t>
      </w:r>
      <w:r w:rsidR="00A74395">
        <w:t>-based calling method (Table S4</w:t>
      </w:r>
      <w:r w:rsidR="00D1018D">
        <w:t>). INDEL FDR estimates were higher for both calling methods, in the range 8.3-12.5%</w:t>
      </w:r>
      <w:r w:rsidR="00A74395">
        <w:t>, however we noted a number of discordances between previously published sequences, making accurate FDR estimation difficult</w:t>
      </w:r>
      <w:r w:rsidR="000118A7">
        <w:t xml:space="preserve"> (Supplementary Information)</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A74395">
        <w:t xml:space="preserve"> S4</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BC5A53" w:rsidRDefault="00BC5A53" w:rsidP="00831572">
      <w:r>
        <w:lastRenderedPageBreak/>
        <w:t>To provide the greatest possible resolution for the present study, filtered variants called by each method were combined into a singl</w:t>
      </w:r>
      <w:r w:rsidR="00CF2092">
        <w:t>e call set for each cross (M</w:t>
      </w:r>
      <w:r>
        <w:t>ethods</w:t>
      </w:r>
      <w:r w:rsidR="00CF2092">
        <w:t xml:space="preserve"> and Supplementary Information</w:t>
      </w:r>
      <w:r>
        <w:t>). All variant calls can be downloaded from a public FTP site</w:t>
      </w:r>
      <w:r w:rsidR="00224F6A">
        <w:rPr>
          <w:rStyle w:val="FootnoteReference"/>
        </w:rPr>
        <w:footnoteReference w:id="12"/>
      </w:r>
      <w:r w:rsidR="00F831E6">
        <w:t xml:space="preserve"> and</w:t>
      </w:r>
      <w:r>
        <w:t xml:space="preserve"> browsed via the web application at </w:t>
      </w:r>
      <w:hyperlink r:id="rId8" w:history="1">
        <w:r w:rsidRPr="000B39EA">
          <w:rPr>
            <w:rStyle w:val="Hyperlink"/>
          </w:rPr>
          <w:t>http://www.malariagen.net/apps/pf-crosses</w:t>
        </w:r>
      </w:hyperlink>
      <w:r w:rsidR="001865B1">
        <w:t>.</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 xml:space="preserve">repeats are unusually abundant within the </w:t>
      </w:r>
      <w:proofErr w:type="spellStart"/>
      <w:r w:rsidR="00FE0FEE">
        <w:t>exome</w:t>
      </w:r>
      <w:proofErr w:type="spellEnd"/>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 xml:space="preserve">INDELs in </w:t>
      </w:r>
      <w:r w:rsidR="00F831E6">
        <w:lastRenderedPageBreak/>
        <w:t>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low (5x10</w:t>
      </w:r>
      <w:r w:rsidRPr="0066290A">
        <w:rPr>
          <w:vertAlign w:val="superscript"/>
        </w:rPr>
        <w:t>-4</w:t>
      </w:r>
      <w:r w:rsidR="00D008B6">
        <w:t xml:space="preserve"> per </w:t>
      </w:r>
      <w:proofErr w:type="spellStart"/>
      <w:r w:rsidR="00D008B6">
        <w:t>bp</w:t>
      </w:r>
      <w:proofErr w:type="spellEnd"/>
      <w:r w:rsidR="00D008B6">
        <w:t>)</w:t>
      </w:r>
      <w:r w:rsidR="000C7198">
        <w:t xml:space="preserve"> in all three crosses (T</w:t>
      </w:r>
      <w:r>
        <w:t xml:space="preserve">able 1). However, this 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0118A7">
        <w:t xml:space="preserve"> for clone HB3</w:t>
      </w:r>
      <w:r>
        <w:t>.</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 xml:space="preserve">a DBL-containing protein with unknown function on chromosome 1). A notable exception to the pattern of merozoite expression is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show that complex variation in </w:t>
      </w:r>
      <w:r w:rsidR="005358C1">
        <w:t xml:space="preserve">these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w:t>
      </w:r>
      <w:r w:rsidR="00316BAD">
        <w:lastRenderedPageBreak/>
        <w:t>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In eukaryotes, 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936076">
        <w:t xml:space="preserve">(see </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lastRenderedPageBreak/>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 xml:space="preserve">E). Assuming this model for the tract length distribution, simulations predicted an NCO discovery rate of 40% for HB3 x Dd2, 39% for 7G8 x GB4, and 45% for 3D7 x HB3 where the marker density was slightly higher.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 xml:space="preserve">rlo </w:t>
      </w:r>
      <w:r w:rsidR="00EC0BBF">
        <w:lastRenderedPageBreak/>
        <w:t>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lastRenderedPageBreak/>
        <w:t xml:space="preserve">Evidence for amplifications spanning </w:t>
      </w:r>
      <w:r w:rsidR="005A420C">
        <w:rPr>
          <w:i/>
        </w:rPr>
        <w:t>ghc1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the Dd2 amplification was arranged as a tandem inversion, whereas 3D7, HB3 and 7G8 carried tandem duplications,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Within a region of pseudo-heterozygosity</w:t>
      </w:r>
      <w:r w:rsidR="003A7A20">
        <w:t>,</w:t>
      </w:r>
      <w:r w:rsidR="00C4455E">
        <w:t xml:space="preserve"> reads supporting each parental allele should appear in a roughly 1:1 ratio.</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w:t>
      </w:r>
      <w:r>
        <w:lastRenderedPageBreak/>
        <w:t>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F428AA" w:rsidRDefault="00DC6B87" w:rsidP="00F428AA">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9" w:history="1">
        <w:r w:rsidR="00F428AA" w:rsidRPr="006F0B99">
          <w:rPr>
            <w:rStyle w:val="Hyperlink"/>
          </w:rPr>
          <w:t>http://www.malariagen.net/apps/pf-crosses</w:t>
        </w:r>
      </w:hyperlink>
      <w:r w:rsidR="00F428AA">
        <w:t xml:space="preserve">. The application includes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3"/>
      </w:r>
      <w:r w:rsidR="00F428AA">
        <w:t>.</w:t>
      </w:r>
    </w:p>
    <w:p w:rsidR="009E1600" w:rsidRDefault="009E1600" w:rsidP="003F4A84">
      <w:pPr>
        <w:pStyle w:val="Heading1"/>
      </w:pPr>
      <w:r>
        <w:lastRenderedPageBreak/>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w:t>
      </w:r>
      <w:proofErr w:type="spellStart"/>
      <w:r>
        <w:t>hypervariable</w:t>
      </w:r>
      <w:proofErr w:type="spellEnd"/>
      <w:r>
        <w:t xml:space="preserv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FC41D8">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"http://www.mendeley.com/documents/?uuid=d5611798-eaa8-42d9-9833-1d69a9aeed51" ] } ], "mendeley" : { "formattedCitation" : "(Birren et al. 2006b)", "plainTextFormattedCitation" : "(Birren et al. 2006b)", "previouslyFormattedCitation" : "(Birren et al. 2006b)" }, "properties" : { "noteIndex" : 0 }, "schema" : "https://github.com/citation-style-language/schema/raw/master/csl-citation.json" }</w:instrText>
      </w:r>
      <w:r w:rsidR="005C3FF3">
        <w:fldChar w:fldCharType="separate"/>
      </w:r>
      <w:r w:rsidR="0056071D" w:rsidRPr="0056071D">
        <w:rPr>
          <w:noProof/>
        </w:rPr>
        <w:t>(Birren et al. 2006b)</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nearby SNP and INDEL alleles was highly concordant in all three crosses, and INDEL genotypes were almost perfectly reproducible across multiple </w:t>
      </w:r>
      <w:r w:rsidR="00FA1985">
        <w:t xml:space="preserve">progeny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w:t>
      </w:r>
      <w:r w:rsidR="00BF5E41">
        <w:lastRenderedPageBreak/>
        <w:t xml:space="preserve">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lastRenderedPageBreak/>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also gives parasites the 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7A6D4F">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D51DCC"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t>
      </w:r>
      <w:r w:rsidR="00D70420">
        <w:lastRenderedPageBreak/>
        <w:t xml:space="preserve">wide average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r w:rsidR="003C72B7">
        <w:t xml:space="preserve">The core genome </w:t>
      </w:r>
      <w:r w:rsidR="0017234E">
        <w:t xml:space="preserve">of </w:t>
      </w:r>
      <w:r w:rsidR="0017234E" w:rsidRPr="0017234E">
        <w:rPr>
          <w:i/>
        </w:rPr>
        <w:t>P. falciparum</w:t>
      </w:r>
      <w:r w:rsidR="0017234E">
        <w:t xml:space="preserve"> </w:t>
      </w:r>
      <w:r w:rsidR="00D51DCC">
        <w:t xml:space="preserve">thus </w:t>
      </w:r>
      <w:r w:rsidR="003C72B7">
        <w:t xml:space="preserve">appears </w:t>
      </w:r>
      <w:r w:rsidR="00D51DCC">
        <w:t xml:space="preserve">stable yet poised to undergo </w:t>
      </w:r>
      <w:r w:rsidR="00E4440B">
        <w:t>rapid</w:t>
      </w:r>
      <w:r w:rsidR="00D51DCC">
        <w:t xml:space="preserve"> evolution within any region that may come under selection pressure. </w:t>
      </w:r>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indel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077681">
        <w:t>described in supplementary information</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t xml:space="preserve"> was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lastRenderedPageBreak/>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This algorithm is similar in motivation to that used by </w:t>
      </w:r>
      <w:r w:rsidR="005C3FF3">
        <w:fldChar w:fldCharType="begin" w:fldLock="1"/>
      </w:r>
      <w:r w:rsidR="00A50A39">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A50A39" w:rsidRPr="00A50A39">
        <w:rPr>
          <w:noProof/>
        </w:rPr>
        <w:t xml:space="preserve">Samarakoon, Regier, et al. </w:t>
      </w:r>
      <w:r w:rsidR="00A50A39">
        <w:rPr>
          <w:noProof/>
        </w:rPr>
        <w:t>(</w:t>
      </w:r>
      <w:r w:rsidR="00A50A39" w:rsidRPr="00A50A39">
        <w:rPr>
          <w:noProof/>
        </w:rPr>
        <w:t>2011)</w:t>
      </w:r>
      <w:r w:rsidR="005C3FF3">
        <w:fldChar w:fldCharType="end"/>
      </w:r>
      <w:r w:rsidR="00A50A39">
        <w:t xml:space="preserve"> but </w:t>
      </w:r>
      <w:r w:rsidR="00EB473F">
        <w:t>does not depend on a window</w:t>
      </w:r>
      <w:r w:rsidR="003A6313">
        <w:t>ed</w:t>
      </w:r>
      <w:r w:rsidR="00EB473F">
        <w:t xml:space="preserve"> </w:t>
      </w:r>
      <w:r w:rsidR="003A6313">
        <w:t xml:space="preserve">analysis </w:t>
      </w:r>
      <w:r w:rsidR="00EB473F">
        <w:t xml:space="preserve">and thus </w:t>
      </w:r>
      <w:r w:rsidR="00A50A39">
        <w:t>has greater flexibility for detecting tracts</w:t>
      </w:r>
      <w:r w:rsidR="003A6313">
        <w:t xml:space="preserve"> spanning windows</w:t>
      </w:r>
      <w:r w:rsidR="00A50A39">
        <w:t>.</w:t>
      </w:r>
      <w:r w:rsidR="003A6313">
        <w:t xml:space="preserve">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 xml:space="preserve">high and thus we assume no crossovers were missed. </w:t>
      </w:r>
      <w:r w:rsidR="00F7616C">
        <w:t xml:space="preserve">To estimate the true conversion tract length distribution, conversion tracts were simulated at different values for the parameter </w:t>
      </w:r>
      <w:r w:rsidR="00F7616C" w:rsidRPr="00F7616C">
        <w:rPr>
          <w:i/>
        </w:rPr>
        <w:t>phi</w:t>
      </w:r>
      <w:r w:rsidR="00F7616C">
        <w:t xml:space="preserve">, and the distribution of tract lengths that would be observed given the available markers within each cross was computed. The parameter </w:t>
      </w:r>
      <w:r w:rsidR="00F7616C" w:rsidRPr="00F7616C">
        <w:rPr>
          <w:i/>
        </w:rPr>
        <w:t>phi</w:t>
      </w:r>
      <w:r w:rsidR="00F7616C">
        <w:t xml:space="preserve"> was fitted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w:t>
      </w:r>
      <w:bookmarkStart w:id="6" w:name="_GoBack"/>
      <w:bookmarkEnd w:id="6"/>
      <w:r>
        <w:t>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4"/>
      </w:r>
      <w:r w:rsidR="00D7475C">
        <w:t xml:space="preserve">. Copy number state was predicted in all samples by fitting a Gaussian hidden Markov model to </w:t>
      </w:r>
      <w:r w:rsidR="00BE0BCD">
        <w:t>the normalised coverage data.</w:t>
      </w:r>
    </w:p>
    <w:p w:rsidR="001F6267" w:rsidRDefault="001F6267" w:rsidP="000A1F02">
      <w:pPr>
        <w:pStyle w:val="Heading1"/>
      </w:pPr>
      <w:r>
        <w:t>Acknowledgments</w:t>
      </w:r>
    </w:p>
    <w:p w:rsidR="001F6267" w:rsidRDefault="001F6267" w:rsidP="001F6267">
      <w:r>
        <w:t>@@TODO</w:t>
      </w:r>
    </w:p>
    <w:p w:rsidR="001F6267" w:rsidRPr="001F6267" w:rsidRDefault="001F6267" w:rsidP="001F6267">
      <w:r w:rsidRPr="001F6267">
        <w:t>Research in LRC’s laboratory was supported by the Wellcome Trust (grant reference number 091791).</w:t>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tblPr>
      <w:tblGrid>
        <w:gridCol w:w="2774"/>
        <w:gridCol w:w="2448"/>
        <w:gridCol w:w="2009"/>
        <w:gridCol w:w="2011"/>
      </w:tblGrid>
      <w:tr w:rsidR="005F76A4" w:rsidRPr="009D0DED" w:rsidTr="000C616F">
        <w:trPr>
          <w:cnfStyle w:val="100000000000"/>
          <w:trHeight w:val="272"/>
        </w:trPr>
        <w:tc>
          <w:tcPr>
            <w:cnfStyle w:val="001000000100"/>
            <w:tcW w:w="1455" w:type="pct"/>
            <w:noWrap/>
          </w:tcPr>
          <w:p w:rsidR="005F76A4" w:rsidRPr="009D0DED" w:rsidRDefault="005F76A4" w:rsidP="000C616F">
            <w:pPr>
              <w:rPr>
                <w:rFonts w:asciiTheme="minorHAnsi" w:eastAsiaTheme="minorEastAsia" w:hAnsiTheme="minorHAnsi" w:cs="Arial"/>
                <w:color w:val="auto"/>
                <w:sz w:val="22"/>
                <w:szCs w:val="22"/>
              </w:rPr>
            </w:pPr>
          </w:p>
        </w:tc>
        <w:tc>
          <w:tcPr>
            <w:tcW w:w="1340" w:type="pct"/>
          </w:tcPr>
          <w:p w:rsidR="005F76A4" w:rsidRPr="009D0DED" w:rsidRDefault="005F76A4" w:rsidP="000C616F">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0C616F">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0C616F">
            <w:pPr>
              <w:jc w:val="center"/>
              <w:cnfStyle w:val="10000000000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0C616F">
        <w:trPr>
          <w:cnfStyle w:val="000000100000"/>
          <w:trHeight w:val="279"/>
        </w:trPr>
        <w:tc>
          <w:tcPr>
            <w:cnfStyle w:val="001000000000"/>
            <w:tcW w:w="1455" w:type="pct"/>
            <w:noWrap/>
          </w:tcPr>
          <w:p w:rsidR="005F76A4" w:rsidRPr="009D0DED" w:rsidRDefault="005F76A4" w:rsidP="000C6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28</w:t>
            </w:r>
          </w:p>
        </w:tc>
      </w:tr>
      <w:tr w:rsidR="005F76A4" w:rsidRPr="009D0DED" w:rsidTr="000C616F">
        <w:trPr>
          <w:trHeight w:val="236"/>
        </w:trPr>
        <w:tc>
          <w:tcPr>
            <w:cnfStyle w:val="001000000000"/>
            <w:tcW w:w="1455" w:type="pct"/>
            <w:noWrap/>
          </w:tcPr>
          <w:p w:rsidR="005F76A4" w:rsidRPr="009D0DED" w:rsidRDefault="005F76A4" w:rsidP="000C6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0C616F">
            <w:pPr>
              <w:jc w:val="center"/>
              <w:cnfStyle w:val="00000000000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0C616F">
            <w:pPr>
              <w:jc w:val="center"/>
              <w:cnfStyle w:val="00000000000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0C616F">
            <w:pPr>
              <w:jc w:val="center"/>
              <w:cnfStyle w:val="00000000000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0C616F">
        <w:trPr>
          <w:cnfStyle w:val="000000100000"/>
          <w:trHeight w:val="279"/>
        </w:trPr>
        <w:tc>
          <w:tcPr>
            <w:cnfStyle w:val="001000000000"/>
            <w:tcW w:w="1455" w:type="pct"/>
            <w:noWrap/>
          </w:tcPr>
          <w:p w:rsidR="005F76A4" w:rsidRPr="009D0DED" w:rsidRDefault="005F76A4" w:rsidP="000C6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14392</w:t>
            </w:r>
          </w:p>
        </w:tc>
      </w:tr>
      <w:tr w:rsidR="005F76A4" w:rsidRPr="009D0DED" w:rsidTr="000C616F">
        <w:trPr>
          <w:trHeight w:val="279"/>
        </w:trPr>
        <w:tc>
          <w:tcPr>
            <w:cnfStyle w:val="001000000000"/>
            <w:tcW w:w="1455" w:type="pct"/>
            <w:noWrap/>
          </w:tcPr>
          <w:p w:rsidR="005F76A4" w:rsidRPr="009D0DED" w:rsidRDefault="005F76A4" w:rsidP="000C6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0C616F">
            <w:pPr>
              <w:jc w:val="center"/>
              <w:cnfStyle w:val="00000000000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0C616F">
            <w:pPr>
              <w:jc w:val="center"/>
              <w:cnfStyle w:val="00000000000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0C616F">
            <w:pPr>
              <w:jc w:val="center"/>
              <w:cnfStyle w:val="000000000000"/>
              <w:rPr>
                <w:rFonts w:asciiTheme="minorHAnsi" w:hAnsiTheme="minorHAnsi" w:cs="Arial"/>
              </w:rPr>
            </w:pPr>
            <w:r w:rsidRPr="009D0DED">
              <w:rPr>
                <w:rFonts w:asciiTheme="minorHAnsi" w:hAnsiTheme="minorHAnsi" w:cs="Arial"/>
              </w:rPr>
              <w:t>20079</w:t>
            </w:r>
          </w:p>
        </w:tc>
      </w:tr>
      <w:tr w:rsidR="005F76A4" w:rsidRPr="009D0DED" w:rsidTr="000C616F">
        <w:trPr>
          <w:cnfStyle w:val="000000100000"/>
          <w:trHeight w:val="279"/>
        </w:trPr>
        <w:tc>
          <w:tcPr>
            <w:cnfStyle w:val="001000000000"/>
            <w:tcW w:w="1455" w:type="pct"/>
            <w:noWrap/>
          </w:tcPr>
          <w:p w:rsidR="005F76A4" w:rsidRPr="009D0DED" w:rsidRDefault="005F76A4" w:rsidP="000C6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9"/>
            </w:r>
          </w:p>
        </w:tc>
        <w:tc>
          <w:tcPr>
            <w:tcW w:w="1340" w:type="pct"/>
          </w:tcPr>
          <w:p w:rsidR="005F76A4" w:rsidRPr="009D0DED" w:rsidRDefault="005F76A4" w:rsidP="000C616F">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0C616F">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0C616F">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0C616F">
        <w:trPr>
          <w:trHeight w:val="279"/>
        </w:trPr>
        <w:tc>
          <w:tcPr>
            <w:cnfStyle w:val="001000000000"/>
            <w:tcW w:w="1455" w:type="pct"/>
            <w:noWrap/>
          </w:tcPr>
          <w:p w:rsidR="005F76A4" w:rsidRPr="009D0DED" w:rsidRDefault="005F76A4" w:rsidP="000C616F">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0C616F">
            <w:pPr>
              <w:jc w:val="center"/>
              <w:cnfStyle w:val="00000000000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0C616F">
            <w:pPr>
              <w:jc w:val="center"/>
              <w:cnfStyle w:val="00000000000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0C616F">
            <w:pPr>
              <w:jc w:val="center"/>
              <w:cnfStyle w:val="00000000000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0C616F">
        <w:trPr>
          <w:cnfStyle w:val="000000100000"/>
          <w:trHeight w:val="279"/>
        </w:trPr>
        <w:tc>
          <w:tcPr>
            <w:cnfStyle w:val="001000000000"/>
            <w:tcW w:w="1455" w:type="pct"/>
            <w:noWrap/>
          </w:tcPr>
          <w:p w:rsidR="005F76A4" w:rsidRPr="009D0DED" w:rsidRDefault="005F76A4" w:rsidP="000C6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1"/>
            </w:r>
          </w:p>
        </w:tc>
        <w:tc>
          <w:tcPr>
            <w:tcW w:w="1340"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0C616F">
            <w:pPr>
              <w:jc w:val="center"/>
              <w:cnfStyle w:val="00000010000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amino acids inserted and deleted (relative to the 3D7 reference genome). </w:t>
      </w:r>
      <w:proofErr w:type="gramStart"/>
      <w:r>
        <w:rPr>
          <w:b/>
        </w:rPr>
        <w:t>C</w:t>
      </w:r>
      <w:r>
        <w:t xml:space="preserve">, INDEL diversity in </w:t>
      </w:r>
      <w:proofErr w:type="spellStart"/>
      <w:r>
        <w:t>intergenic</w:t>
      </w:r>
      <w:proofErr w:type="spellEnd"/>
      <w:r>
        <w:t xml:space="preserve">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w:t>
      </w:r>
      <w:proofErr w:type="spellStart"/>
      <w:r>
        <w:t>intergenic</w:t>
      </w:r>
      <w:proofErr w:type="spellEnd"/>
      <w:r>
        <w:t xml:space="preserve"> diversity for the given INDEL class (STR/non-STR).</w:t>
      </w:r>
    </w:p>
    <w:p w:rsidR="005F76A4" w:rsidRPr="005F76A4" w:rsidRDefault="005F76A4" w:rsidP="005F76A4">
      <w:r w:rsidRPr="005F76A4">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t>Nucleotide diversity and sites of complex variation in the core genome.</w:t>
      </w:r>
      <w:proofErr w:type="gramEnd"/>
      <w:r>
        <w:t xml:space="preserve"> Nucleotide diversity is shown for each cross in 500bp half-overlapping windows across the core genome (which excludes </w:t>
      </w:r>
      <w:proofErr w:type="spellStart"/>
      <w:r>
        <w:t>hypervariable</w:t>
      </w:r>
      <w:proofErr w:type="spellEnd"/>
      <w:r>
        <w:t xml:space="preserv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discovered by either variant calling method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CO recombination rate by cross.</w:t>
      </w:r>
      <w:proofErr w:type="gramEnd"/>
      <w:r>
        <w:t xml:space="preserve"> </w:t>
      </w:r>
      <w:proofErr w:type="gramStart"/>
      <w:r>
        <w:rPr>
          <w:b/>
        </w:rPr>
        <w:t xml:space="preserve">B, </w:t>
      </w:r>
      <w:r>
        <w:t>CO recombination rate by chromosome.</w:t>
      </w:r>
      <w:proofErr w:type="gramEnd"/>
      <w:r>
        <w:t xml:space="preserve"> </w:t>
      </w:r>
      <w:proofErr w:type="gramStart"/>
      <w:r>
        <w:rPr>
          <w:b/>
        </w:rPr>
        <w:t>C,</w:t>
      </w:r>
      <w:r>
        <w:t xml:space="preserve"> CO recombination rate relative to </w:t>
      </w:r>
      <w:proofErr w:type="spellStart"/>
      <w:r>
        <w:t>centromere</w:t>
      </w:r>
      <w:proofErr w:type="spellEnd"/>
      <w:r>
        <w:t xml:space="preserv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w:t>
      </w:r>
      <w:proofErr w:type="spellStart"/>
      <w:r>
        <w:t>Quantile-quantile</w:t>
      </w:r>
      <w:proofErr w:type="spellEnd"/>
      <w:r>
        <w:t xml:space="preserv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NCO recombination rate by chromosome, adjusted for incomplete discovery of NCO events.</w:t>
      </w:r>
    </w:p>
    <w:p w:rsidR="005F76A4" w:rsidRDefault="005F76A4" w:rsidP="005F76A4">
      <w:r w:rsidRPr="005F76A4">
        <w:drawing>
          <wp:inline distT="0" distB="0" distL="0" distR="0">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HB3(2) and Dd2 parental clones; </w:t>
      </w:r>
      <w:r w:rsidRPr="0037590A">
        <w:rPr>
          <w:rFonts w:ascii="Times New Roman" w:hAnsi="Times New Roman" w:cs="Times New Roman"/>
          <w:i/>
        </w:rPr>
        <w:t>γ</w:t>
      </w:r>
      <w:r>
        <w:t xml:space="preserve"> labels the segment amplified in Dd2. </w:t>
      </w:r>
      <w:r>
        <w:rPr>
          <w:b/>
        </w:rPr>
        <w:t>E</w:t>
      </w:r>
      <w:r>
        <w:t xml:space="preserve">, CNV and recombination in clone CH3_61, progeny of HB3xDd2. </w:t>
      </w:r>
      <w:r>
        <w:rPr>
          <w:b/>
        </w:rPr>
        <w:t>F</w:t>
      </w:r>
      <w:r>
        <w:t>, CNVs in the 7G8 and GB4 parental clones. CN = copy number, black circular markers show the actual depth of coverage within 300bp non-overlapping windows, excluding windows where GC content was below 20%, and normalised by dividing by the average depth over the core genome regions of chromosome 14;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lastRenderedPageBreak/>
        <w:drawing>
          <wp:inline distT="0" distB="0" distL="0" distR="0">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3"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4"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t>, introduction page, providing navigation to different tools for data exploration.</w:t>
      </w:r>
      <w:proofErr w:type="gramEnd"/>
      <w:r>
        <w:t xml:space="preserve"> </w:t>
      </w:r>
      <w:r w:rsidRPr="0088396D">
        <w:rPr>
          <w:b/>
        </w:rPr>
        <w:t>B</w:t>
      </w:r>
      <w:r>
        <w:t xml:space="preserve">, browse and query data on variants (SNPs and INDELs) discovered in the crosses by different calling methods. </w:t>
      </w:r>
      <w:r w:rsidRPr="0088396D">
        <w:rPr>
          <w:b/>
        </w:rPr>
        <w:t>C</w:t>
      </w:r>
      <w:r>
        <w:t xml:space="preserve">, browse genotype calls in parents and progeny and visualise patterns of allelic inheritance and recombination. </w:t>
      </w:r>
      <w:proofErr w:type="gramStart"/>
      <w:r>
        <w:rPr>
          <w:b/>
        </w:rPr>
        <w:t>D</w:t>
      </w:r>
      <w:r>
        <w:t>, genome browser, providing multi-resolution views of various data tracks including coverage and mapping quality.</w:t>
      </w:r>
      <w:proofErr w:type="gramEnd"/>
      <w:r>
        <w:t xml:space="preserve"> </w:t>
      </w:r>
      <w:proofErr w:type="gramStart"/>
      <w:r>
        <w:rPr>
          <w:b/>
        </w:rPr>
        <w:t>E</w:t>
      </w:r>
      <w:r>
        <w:t>, sequence alignment browser (</w:t>
      </w:r>
      <w:proofErr w:type="spellStart"/>
      <w:r>
        <w:t>LookSeq</w:t>
      </w:r>
      <w:proofErr w:type="spellEnd"/>
      <w:r>
        <w:t>).</w:t>
      </w:r>
      <w:proofErr w:type="gramEnd"/>
    </w:p>
    <w:p w:rsidR="005F76A4" w:rsidRDefault="005F76A4" w:rsidP="005F76A4">
      <w:r w:rsidRPr="005F76A4">
        <w:drawing>
          <wp:inline distT="0" distB="0" distL="0" distR="0">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5"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A6D4F" w:rsidRPr="007A6D4F" w:rsidRDefault="005C3FF3">
      <w:pPr>
        <w:pStyle w:val="NormalWeb"/>
        <w:ind w:left="480" w:hanging="480"/>
        <w:divId w:val="1812097558"/>
        <w:rPr>
          <w:rFonts w:ascii="Calibri" w:hAnsi="Calibri"/>
          <w:noProof/>
          <w:sz w:val="22"/>
        </w:rPr>
      </w:pPr>
      <w:r>
        <w:fldChar w:fldCharType="begin" w:fldLock="1"/>
      </w:r>
      <w:r w:rsidR="00CB6C32">
        <w:instrText xml:space="preserve">ADDIN Mendeley Bibliography CSL_BIBLIOGRAPHY </w:instrText>
      </w:r>
      <w:r>
        <w:fldChar w:fldCharType="separate"/>
      </w:r>
      <w:r w:rsidR="007A6D4F" w:rsidRPr="007A6D4F">
        <w:rPr>
          <w:rFonts w:ascii="Calibri" w:hAnsi="Calibri"/>
          <w:noProof/>
          <w:sz w:val="22"/>
        </w:rPr>
        <w:t xml:space="preserve">Anderson, T.J.C., Patel, J. &amp; Ferdig, M.T., 2009. Gene copy number and malaria biology. </w:t>
      </w:r>
      <w:r w:rsidR="007A6D4F" w:rsidRPr="007A6D4F">
        <w:rPr>
          <w:rFonts w:ascii="Calibri" w:hAnsi="Calibri"/>
          <w:i/>
          <w:iCs/>
          <w:noProof/>
          <w:sz w:val="22"/>
        </w:rPr>
        <w:t>Trends in parasitology</w:t>
      </w:r>
      <w:r w:rsidR="007A6D4F" w:rsidRPr="007A6D4F">
        <w:rPr>
          <w:rFonts w:ascii="Calibri" w:hAnsi="Calibri"/>
          <w:noProof/>
          <w:sz w:val="22"/>
        </w:rPr>
        <w:t>, 25(7), pp.336–43. Available at: http://www.pubmedcentral.nih.gov/articlerender.fcgi?artid=2839409&amp;tool=pmcentrez&amp;rendertype=abstract [Accessed November 17,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Ariey, F. et al., 2014. A molecular marker of artemisinin-resistant Plasmodium falciparum malaria. </w:t>
      </w:r>
      <w:r w:rsidRPr="007A6D4F">
        <w:rPr>
          <w:rFonts w:ascii="Calibri" w:hAnsi="Calibri"/>
          <w:i/>
          <w:iCs/>
          <w:noProof/>
          <w:sz w:val="22"/>
        </w:rPr>
        <w:t>Nature</w:t>
      </w:r>
      <w:r w:rsidRPr="007A6D4F">
        <w:rPr>
          <w:rFonts w:ascii="Calibri" w:hAnsi="Calibri"/>
          <w:noProof/>
          <w:sz w:val="22"/>
        </w:rPr>
        <w:t>, 505(7481), pp.50–5. Available at: http://www.ncbi.nlm.nih.gov/pubmed/24352242 [Accessed July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Ashley, E.A. et al., 2014. Spread of Artemisinin Resistance in Plasmodium falciparum Malaria. </w:t>
      </w:r>
      <w:r w:rsidRPr="007A6D4F">
        <w:rPr>
          <w:rFonts w:ascii="Calibri" w:hAnsi="Calibri"/>
          <w:i/>
          <w:iCs/>
          <w:noProof/>
          <w:sz w:val="22"/>
        </w:rPr>
        <w:t>New England Journal of Medicine</w:t>
      </w:r>
      <w:r w:rsidRPr="007A6D4F">
        <w:rPr>
          <w:rFonts w:ascii="Calibri" w:hAnsi="Calibri"/>
          <w:noProof/>
          <w:sz w:val="22"/>
        </w:rPr>
        <w:t>, 371(5), pp.411–423. Available at: http://www.ncbi.nlm.nih.gov/pubmed/25075834 [Accessed July 31,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Van der Auwera, G.A. et al., 2013. </w:t>
      </w:r>
      <w:r w:rsidRPr="007A6D4F">
        <w:rPr>
          <w:rFonts w:ascii="Calibri" w:hAnsi="Calibri"/>
          <w:i/>
          <w:iCs/>
          <w:noProof/>
          <w:sz w:val="22"/>
        </w:rPr>
        <w:t>Current Protocols in Bioinformatics</w:t>
      </w:r>
      <w:r w:rsidRPr="007A6D4F">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Baudat, F. &amp; de Massy, B., 2007. Regulating double-stranded DNA break repair towards crossover or non-crossover during mammalian meiosis. </w:t>
      </w:r>
      <w:r w:rsidRPr="007A6D4F">
        <w:rPr>
          <w:rFonts w:ascii="Calibri" w:hAnsi="Calibri"/>
          <w:i/>
          <w:iCs/>
          <w:noProof/>
          <w:sz w:val="22"/>
        </w:rPr>
        <w:t>Chromosome research : an international journal on the molecular, supramolecular and evolutionary aspects of chromosome biology</w:t>
      </w:r>
      <w:r w:rsidRPr="007A6D4F">
        <w:rPr>
          <w:rFonts w:ascii="Calibri" w:hAnsi="Calibri"/>
          <w:noProof/>
          <w:sz w:val="22"/>
        </w:rPr>
        <w:t>, 15(5), pp.565–77. Available at: http://www.ncbi.nlm.nih.gov/pubmed/17674146 [Accessed December 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Birren, B. et al., 2006a. Plasmodium falciparum HB3, whole genome shotgun sequencing project. Available at: http://www.ncbi.nlm.nih.gov/nuccore/AANS00000000.</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Birren, B. et al., 2006b. Plasmodium falciparum HB3, whole genome shotgun sequencing project.</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Bopp, S.E.R. et al., 2013. Mitotic evolution of Plasmodium falciparum shows a stable core genome but recombination in antigen families. N. Maizels, ed. </w:t>
      </w:r>
      <w:r w:rsidRPr="007A6D4F">
        <w:rPr>
          <w:rFonts w:ascii="Calibri" w:hAnsi="Calibri"/>
          <w:i/>
          <w:iCs/>
          <w:noProof/>
          <w:sz w:val="22"/>
        </w:rPr>
        <w:t>PLoS genetics</w:t>
      </w:r>
      <w:r w:rsidRPr="007A6D4F">
        <w:rPr>
          <w:rFonts w:ascii="Calibri" w:hAnsi="Calibri"/>
          <w:noProof/>
          <w:sz w:val="22"/>
        </w:rPr>
        <w:t>, 9(2), p.e1003293. Available at: http://dx.plos.org/10.1371/journal.pgen.1003293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Brick, K., Watanabe, J. &amp; Pizzi, E., 2008. Core promoters are predicted by their distinct physicochemical properties in the genome of Plasmodium falciparum. </w:t>
      </w:r>
      <w:r w:rsidRPr="007A6D4F">
        <w:rPr>
          <w:rFonts w:ascii="Calibri" w:hAnsi="Calibri"/>
          <w:i/>
          <w:iCs/>
          <w:noProof/>
          <w:sz w:val="22"/>
        </w:rPr>
        <w:t>Genome biology</w:t>
      </w:r>
      <w:r w:rsidRPr="007A6D4F">
        <w:rPr>
          <w:rFonts w:ascii="Calibri" w:hAnsi="Calibri"/>
          <w:noProof/>
          <w:sz w:val="22"/>
        </w:rPr>
        <w:t>, 9(12), p.R178. Available at: http://genomebiology.com/2008/9/12/R178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Chen, J.-Q. et al., 2009. Variation in the ratio of nucleotide substitution and indel rates across genomes in mammals and bacteria. </w:t>
      </w:r>
      <w:r w:rsidRPr="007A6D4F">
        <w:rPr>
          <w:rFonts w:ascii="Calibri" w:hAnsi="Calibri"/>
          <w:i/>
          <w:iCs/>
          <w:noProof/>
          <w:sz w:val="22"/>
        </w:rPr>
        <w:t>Molecular biology and evolution</w:t>
      </w:r>
      <w:r w:rsidRPr="007A6D4F">
        <w:rPr>
          <w:rFonts w:ascii="Calibri" w:hAnsi="Calibri"/>
          <w:noProof/>
          <w:sz w:val="22"/>
        </w:rPr>
        <w:t>, 26(7), pp.1523–31. Available at: http://www.ncbi.nlm.nih.gov/pubmed/19329651 [Accessed April 22,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Claessens, A. et al., 2014. Generation of antigenic diversity in Plasmodium falciparum by structured rearrangement of var genes during mitosis K. Deitsch, ed. </w:t>
      </w:r>
      <w:r w:rsidRPr="007A6D4F">
        <w:rPr>
          <w:rFonts w:ascii="Calibri" w:hAnsi="Calibri"/>
          <w:i/>
          <w:iCs/>
          <w:noProof/>
          <w:sz w:val="22"/>
        </w:rPr>
        <w:t>PLoS genetics</w:t>
      </w:r>
      <w:r w:rsidRPr="007A6D4F">
        <w:rPr>
          <w:rFonts w:ascii="Calibri" w:hAnsi="Calibri"/>
          <w:noProof/>
          <w:sz w:val="22"/>
        </w:rPr>
        <w:t>, 10(12), p.e1004812. Available at: http://journals.plos.org/plosgenetics/article?id=10.1371/journal.pgen.1004812 [Accessed December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Cowman, A.F., Galatis, D. &amp; Thompson, J.K., 1994. Selection for mefloquine resistance in Plasmodium falciparum is linked to amplification of the pfmdr1 gene and cross-resistance to halofantrine and quinine. </w:t>
      </w:r>
      <w:r w:rsidRPr="007A6D4F">
        <w:rPr>
          <w:rFonts w:ascii="Calibri" w:hAnsi="Calibri"/>
          <w:i/>
          <w:iCs/>
          <w:noProof/>
          <w:sz w:val="22"/>
        </w:rPr>
        <w:t>Proceedings of the National Academy of Sciences of the United States of America</w:t>
      </w:r>
      <w:r w:rsidRPr="007A6D4F">
        <w:rPr>
          <w:rFonts w:ascii="Calibri" w:hAnsi="Calibri"/>
          <w:noProof/>
          <w:sz w:val="22"/>
        </w:rPr>
        <w:t>, 91(3), pp.1143–7. Available at: http://www.pubmedcentral.nih.gov/articlerender.fcgi?artid=521470&amp;tool=pmcentrez&amp;rendertype=abstract [Accessed November 12,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DePristo, M.A. et al., 2011. A framework for variation discovery and genotyping using next-generation DNA sequencing data. </w:t>
      </w:r>
      <w:r w:rsidRPr="007A6D4F">
        <w:rPr>
          <w:rFonts w:ascii="Calibri" w:hAnsi="Calibri"/>
          <w:i/>
          <w:iCs/>
          <w:noProof/>
          <w:sz w:val="22"/>
        </w:rPr>
        <w:t>Nature genetics</w:t>
      </w:r>
      <w:r w:rsidRPr="007A6D4F">
        <w:rPr>
          <w:rFonts w:ascii="Calibri" w:hAnsi="Calibri"/>
          <w:noProof/>
          <w:sz w:val="22"/>
        </w:rPr>
        <w:t>, 43(5), pp.491–8. Available at: http://www.pubmedcentral.nih.gov/articlerender.fcgi?artid=3083463&amp;tool=pmcentrez&amp;rendertype=abstract [Accessed July 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DePristo, M.A., Zilversmit, M.M. &amp; Hartl, D.L., 2006. On the abundance, amino acid composition, and evolutionary dynamics of low-complexity regions in proteins. </w:t>
      </w:r>
      <w:r w:rsidRPr="007A6D4F">
        <w:rPr>
          <w:rFonts w:ascii="Calibri" w:hAnsi="Calibri"/>
          <w:i/>
          <w:iCs/>
          <w:noProof/>
          <w:sz w:val="22"/>
        </w:rPr>
        <w:t>Gene</w:t>
      </w:r>
      <w:r w:rsidRPr="007A6D4F">
        <w:rPr>
          <w:rFonts w:ascii="Calibri" w:hAnsi="Calibri"/>
          <w:noProof/>
          <w:sz w:val="22"/>
        </w:rPr>
        <w:t>, 378, pp.19–30. Available at: http://www.ncbi.nlm.nih.gov/pubmed/16806741 [Accessed November 3,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Fang, H. et al., 2014. Reducing INDEL calling errors in whole genome and exome sequencing data. </w:t>
      </w:r>
      <w:r w:rsidRPr="007A6D4F">
        <w:rPr>
          <w:rFonts w:ascii="Calibri" w:hAnsi="Calibri"/>
          <w:i/>
          <w:iCs/>
          <w:noProof/>
          <w:sz w:val="22"/>
        </w:rPr>
        <w:t>Genome medicine</w:t>
      </w:r>
      <w:r w:rsidRPr="007A6D4F">
        <w:rPr>
          <w:rFonts w:ascii="Calibri" w:hAnsi="Calibri"/>
          <w:noProof/>
          <w:sz w:val="22"/>
        </w:rPr>
        <w:t>, 6(10), p.89. Available at: http://www.pubmedcentral.nih.gov/articlerender.fcgi?artid=4240813&amp;tool=pmcentrez&amp;rendertype=abstract [Accessed January 15,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Ferreira, M.U. et al., 2003. Sequence diversity and evolution of the malaria vaccine candidate merozoite surface protein-1 (MSP-1) of Plasmodium falciparum. </w:t>
      </w:r>
      <w:r w:rsidRPr="007A6D4F">
        <w:rPr>
          <w:rFonts w:ascii="Calibri" w:hAnsi="Calibri"/>
          <w:i/>
          <w:iCs/>
          <w:noProof/>
          <w:sz w:val="22"/>
        </w:rPr>
        <w:t>Gene</w:t>
      </w:r>
      <w:r w:rsidRPr="007A6D4F">
        <w:rPr>
          <w:rFonts w:ascii="Calibri" w:hAnsi="Calibri"/>
          <w:noProof/>
          <w:sz w:val="22"/>
        </w:rPr>
        <w:t>, 304, pp.65–75. Available at: http://www.ncbi.nlm.nih.gov/pubmed/12568716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Flueck, C. et al., 2009. Plasmodium falciparum heterochromatin protein 1 marks genomic loci linked to phenotypic variation of exported virulence factors. </w:t>
      </w:r>
      <w:r w:rsidRPr="007A6D4F">
        <w:rPr>
          <w:rFonts w:ascii="Calibri" w:hAnsi="Calibri"/>
          <w:i/>
          <w:iCs/>
          <w:noProof/>
          <w:sz w:val="22"/>
        </w:rPr>
        <w:t>PLoS pathogens</w:t>
      </w:r>
      <w:r w:rsidRPr="007A6D4F">
        <w:rPr>
          <w:rFonts w:ascii="Calibri" w:hAnsi="Calibri"/>
          <w:noProof/>
          <w:sz w:val="22"/>
        </w:rPr>
        <w:t>, 5(9), p.e1000569. Available at: http://www.pubmedcentral.nih.gov/articlerender.fcgi?artid=2731224&amp;tool=pmcentrez&amp;rendertype=abstract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Freitas-Junior, L.H. et al., 2000. Frequent ectopic recombination of virulence factor genes in telomeric chromosome clusters of P. falciparum. </w:t>
      </w:r>
      <w:r w:rsidRPr="007A6D4F">
        <w:rPr>
          <w:rFonts w:ascii="Calibri" w:hAnsi="Calibri"/>
          <w:i/>
          <w:iCs/>
          <w:noProof/>
          <w:sz w:val="22"/>
        </w:rPr>
        <w:t>Nature</w:t>
      </w:r>
      <w:r w:rsidRPr="007A6D4F">
        <w:rPr>
          <w:rFonts w:ascii="Calibri" w:hAnsi="Calibri"/>
          <w:noProof/>
          <w:sz w:val="22"/>
        </w:rPr>
        <w:t>, 407(6807), pp.1018–22. Available at: http://www.ncbi.nlm.nih.gov/pubmed/11069183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Gardner, M.J. et al., 2002. Genome sequence of the human malaria parasite Plasmodium falciparum. </w:t>
      </w:r>
      <w:r w:rsidRPr="007A6D4F">
        <w:rPr>
          <w:rFonts w:ascii="Calibri" w:hAnsi="Calibri"/>
          <w:i/>
          <w:iCs/>
          <w:noProof/>
          <w:sz w:val="22"/>
        </w:rPr>
        <w:t>Nature</w:t>
      </w:r>
      <w:r w:rsidRPr="007A6D4F">
        <w:rPr>
          <w:rFonts w:ascii="Calibri" w:hAnsi="Calibri"/>
          <w:noProof/>
          <w:sz w:val="22"/>
        </w:rPr>
        <w:t>, 419(6906), pp.498–511. Available at: http://www.pubmedcentral.nih.gov/articlerender.fcgi?artid=3836256&amp;tool=pmcentrez&amp;rendertype=abstract [Accessed October 22,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Gonzales, J.M. et al., 2008. Regulatory hotspots in the malaria parasite genome dictate transcriptional variation. </w:t>
      </w:r>
      <w:r w:rsidRPr="007A6D4F">
        <w:rPr>
          <w:rFonts w:ascii="Calibri" w:hAnsi="Calibri"/>
          <w:i/>
          <w:iCs/>
          <w:noProof/>
          <w:sz w:val="22"/>
        </w:rPr>
        <w:t>PLoS biology</w:t>
      </w:r>
      <w:r w:rsidRPr="007A6D4F">
        <w:rPr>
          <w:rFonts w:ascii="Calibri" w:hAnsi="Calibri"/>
          <w:noProof/>
          <w:sz w:val="22"/>
        </w:rPr>
        <w:t>, 6(9), p.e238. Available at: http://www.pubmedcentral.nih.gov/articlerender.fcgi?artid=2553844&amp;tool=pmcentrez&amp;rendertype=abstract [Accessed November 17,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Haerty, W. &amp; Golding, G.B., 2011. Increased polymorphism near low-complexity sequences across the genomes of Plasmodium falciparum isolates. </w:t>
      </w:r>
      <w:r w:rsidRPr="007A6D4F">
        <w:rPr>
          <w:rFonts w:ascii="Calibri" w:hAnsi="Calibri"/>
          <w:i/>
          <w:iCs/>
          <w:noProof/>
          <w:sz w:val="22"/>
        </w:rPr>
        <w:t>Genome biology and evolution</w:t>
      </w:r>
      <w:r w:rsidRPr="007A6D4F">
        <w:rPr>
          <w:rFonts w:ascii="Calibri" w:hAnsi="Calibri"/>
          <w:noProof/>
          <w:sz w:val="22"/>
        </w:rPr>
        <w:t>, 3, pp.539–50. Available at: http://www.pubmedcentral.nih.gov/articlerender.fcgi?artid=3140889&amp;tool=pmcentrez&amp;rendertype=abstract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Hastings, P.J., 1992. Mechanism and control of recombination in fungi. </w:t>
      </w:r>
      <w:r w:rsidRPr="007A6D4F">
        <w:rPr>
          <w:rFonts w:ascii="Calibri" w:hAnsi="Calibri"/>
          <w:i/>
          <w:iCs/>
          <w:noProof/>
          <w:sz w:val="22"/>
        </w:rPr>
        <w:t>Mutation research</w:t>
      </w:r>
      <w:r w:rsidRPr="007A6D4F">
        <w:rPr>
          <w:rFonts w:ascii="Calibri" w:hAnsi="Calibri"/>
          <w:noProof/>
          <w:sz w:val="22"/>
        </w:rPr>
        <w:t>, 284(1), pp.97–110. Available at: http://www.ncbi.nlm.nih.gov/pubmed/1279396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Hayton, K. et al., 2008. Erythrocyte binding protein PfRH5 polymorphisms determine species-specific pathways of Plasmodium falciparum invasion. </w:t>
      </w:r>
      <w:r w:rsidRPr="007A6D4F">
        <w:rPr>
          <w:rFonts w:ascii="Calibri" w:hAnsi="Calibri"/>
          <w:i/>
          <w:iCs/>
          <w:noProof/>
          <w:sz w:val="22"/>
        </w:rPr>
        <w:t>Cell host &amp; microbe</w:t>
      </w:r>
      <w:r w:rsidRPr="007A6D4F">
        <w:rPr>
          <w:rFonts w:ascii="Calibri" w:hAnsi="Calibri"/>
          <w:noProof/>
          <w:sz w:val="22"/>
        </w:rPr>
        <w:t>, 4(1), pp.40–51. Available at: http://www.pubmedcentral.nih.gov/articlerender.fcgi?artid=2677973&amp;tool=pmcentrez&amp;rendertype=abstract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Heinberg, A. et al., 2013. Direct evidence for the adaptive role of copy number variation on antifolate susceptibility in Plasmodium falciparum. </w:t>
      </w:r>
      <w:r w:rsidRPr="007A6D4F">
        <w:rPr>
          <w:rFonts w:ascii="Calibri" w:hAnsi="Calibri"/>
          <w:i/>
          <w:iCs/>
          <w:noProof/>
          <w:sz w:val="22"/>
        </w:rPr>
        <w:t>Molecular microbiology</w:t>
      </w:r>
      <w:r w:rsidRPr="007A6D4F">
        <w:rPr>
          <w:rFonts w:ascii="Calibri" w:hAnsi="Calibri"/>
          <w:noProof/>
          <w:sz w:val="22"/>
        </w:rPr>
        <w:t>, 88(4), pp.702–12. Available at: http://www.pubmedcentral.nih.gov/articlerender.fcgi?artid=3654098&amp;tool=pmcentrez&amp;rendertype=abstract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Hilliker, A.J. et al., 1994. Meiotic gene conversion tract length distribution within the rosy locus of Drosophila melanogaster. </w:t>
      </w:r>
      <w:r w:rsidRPr="007A6D4F">
        <w:rPr>
          <w:rFonts w:ascii="Calibri" w:hAnsi="Calibri"/>
          <w:i/>
          <w:iCs/>
          <w:noProof/>
          <w:sz w:val="22"/>
        </w:rPr>
        <w:t>Genetics</w:t>
      </w:r>
      <w:r w:rsidRPr="007A6D4F">
        <w:rPr>
          <w:rFonts w:ascii="Calibri" w:hAnsi="Calibri"/>
          <w:noProof/>
          <w:sz w:val="22"/>
        </w:rPr>
        <w:t>, 137(4), pp.1019–26. Available at: http://www.pubmedcentral.nih.gov/articlerender.fcgi?artid=1206049&amp;tool=pmcentrez&amp;rendertype=abstract [Accessed December 16,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Iqbal, Z. et al., 2012. De novo assembly and genotyping of variants using colored de Bruijn graphs. </w:t>
      </w:r>
      <w:r w:rsidRPr="007A6D4F">
        <w:rPr>
          <w:rFonts w:ascii="Calibri" w:hAnsi="Calibri"/>
          <w:i/>
          <w:iCs/>
          <w:noProof/>
          <w:sz w:val="22"/>
        </w:rPr>
        <w:t>Nature genetics</w:t>
      </w:r>
      <w:r w:rsidRPr="007A6D4F">
        <w:rPr>
          <w:rFonts w:ascii="Calibri" w:hAnsi="Calibri"/>
          <w:noProof/>
          <w:sz w:val="22"/>
        </w:rPr>
        <w:t>, 44(2), pp.226–32. Available at: http://dx.doi.org/10.1038/ng.1028 [Accessed July 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Jeffares, D.C. et al., 2007. Genome variation and evolution of the malaria parasite Plasmodium falciparum. </w:t>
      </w:r>
      <w:r w:rsidRPr="007A6D4F">
        <w:rPr>
          <w:rFonts w:ascii="Calibri" w:hAnsi="Calibri"/>
          <w:i/>
          <w:iCs/>
          <w:noProof/>
          <w:sz w:val="22"/>
        </w:rPr>
        <w:t>Nature genetics</w:t>
      </w:r>
      <w:r w:rsidRPr="007A6D4F">
        <w:rPr>
          <w:rFonts w:ascii="Calibri" w:hAnsi="Calibri"/>
          <w:noProof/>
          <w:sz w:val="22"/>
        </w:rPr>
        <w:t>, 39(1), pp.120–5. Available at: http://www.pubmedcentral.nih.gov/articlerender.fcgi?artid=2663918&amp;tool=pmcentrez&amp;rendertype=abstract [Accessed November 13,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Jeffreys, A.J. &amp; May, C.A., 2004. Intense and highly localized gene conversion activity in human meiotic crossover hot spots. </w:t>
      </w:r>
      <w:r w:rsidRPr="007A6D4F">
        <w:rPr>
          <w:rFonts w:ascii="Calibri" w:hAnsi="Calibri"/>
          <w:i/>
          <w:iCs/>
          <w:noProof/>
          <w:sz w:val="22"/>
        </w:rPr>
        <w:t>Nature genetics</w:t>
      </w:r>
      <w:r w:rsidRPr="007A6D4F">
        <w:rPr>
          <w:rFonts w:ascii="Calibri" w:hAnsi="Calibri"/>
          <w:noProof/>
          <w:sz w:val="22"/>
        </w:rPr>
        <w:t>, 36(2), pp.151–6. Available at: http://www.ncbi.nlm.nih.gov/pubmed/14704667 [Accessed December 17,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Jiang, H. et al., 2011. High recombination rates and hotspots in a Plasmodium falciparum genetic cross. </w:t>
      </w:r>
      <w:r w:rsidRPr="007A6D4F">
        <w:rPr>
          <w:rFonts w:ascii="Calibri" w:hAnsi="Calibri"/>
          <w:i/>
          <w:iCs/>
          <w:noProof/>
          <w:sz w:val="22"/>
        </w:rPr>
        <w:t>Genome biology</w:t>
      </w:r>
      <w:r w:rsidRPr="007A6D4F">
        <w:rPr>
          <w:rFonts w:ascii="Calibri" w:hAnsi="Calibri"/>
          <w:noProof/>
          <w:sz w:val="22"/>
        </w:rPr>
        <w:t>, 12(4), p.R33. Available at: http://genomebiology.com/2011/12/4/R33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Kerr, P.J., Ranford-Cartwright, L.C. &amp; Walliker, D., 1994. Proof of intragenic recombination in Plasmodium falciparum. </w:t>
      </w:r>
      <w:r w:rsidRPr="007A6D4F">
        <w:rPr>
          <w:rFonts w:ascii="Calibri" w:hAnsi="Calibri"/>
          <w:i/>
          <w:iCs/>
          <w:noProof/>
          <w:sz w:val="22"/>
        </w:rPr>
        <w:t>Molecular and biochemical parasitology</w:t>
      </w:r>
      <w:r w:rsidRPr="007A6D4F">
        <w:rPr>
          <w:rFonts w:ascii="Calibri" w:hAnsi="Calibri"/>
          <w:noProof/>
          <w:sz w:val="22"/>
        </w:rPr>
        <w:t>, 66(2), pp.241–8. Available at: http://www.ncbi.nlm.nih.gov/pubmed/7808474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Kidgell, C. et al., 2006. A systematic map of genetic variation in Plasmodium falciparum. </w:t>
      </w:r>
      <w:r w:rsidRPr="007A6D4F">
        <w:rPr>
          <w:rFonts w:ascii="Calibri" w:hAnsi="Calibri"/>
          <w:i/>
          <w:iCs/>
          <w:noProof/>
          <w:sz w:val="22"/>
        </w:rPr>
        <w:t>PLoS pathogens</w:t>
      </w:r>
      <w:r w:rsidRPr="007A6D4F">
        <w:rPr>
          <w:rFonts w:ascii="Calibri" w:hAnsi="Calibri"/>
          <w:noProof/>
          <w:sz w:val="22"/>
        </w:rPr>
        <w:t>, 2(6), p.e57. Available at: http://www.pubmedcentral.nih.gov/articlerender.fcgi?artid=1480597&amp;tool=pmcentrez&amp;rendertype=abstract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Kondrashov, F.A., 2012. Gene duplication as a mechanism of genomic adaptation to a changing environment. </w:t>
      </w:r>
      <w:r w:rsidRPr="007A6D4F">
        <w:rPr>
          <w:rFonts w:ascii="Calibri" w:hAnsi="Calibri"/>
          <w:i/>
          <w:iCs/>
          <w:noProof/>
          <w:sz w:val="22"/>
        </w:rPr>
        <w:t>Proceedings. Biological sciences / The Royal Society</w:t>
      </w:r>
      <w:r w:rsidRPr="007A6D4F">
        <w:rPr>
          <w:rFonts w:ascii="Calibri" w:hAnsi="Calibri"/>
          <w:noProof/>
          <w:sz w:val="22"/>
        </w:rPr>
        <w:t>, 279(1749), pp.5048–57. Available at: http://www.pubmedcentral.nih.gov/articlerender.fcgi?artid=3497230&amp;tool=pmcentrez&amp;rendertype=abstract [Accessed November 12,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Kozarewa, I. et al., 2009. Amplification-free Illumina sequencing-library preparation facilitates improved mapping and assembly of (G+C)-biased genomes. </w:t>
      </w:r>
      <w:r w:rsidRPr="007A6D4F">
        <w:rPr>
          <w:rFonts w:ascii="Calibri" w:hAnsi="Calibri"/>
          <w:i/>
          <w:iCs/>
          <w:noProof/>
          <w:sz w:val="22"/>
        </w:rPr>
        <w:t>Nature methods</w:t>
      </w:r>
      <w:r w:rsidRPr="007A6D4F">
        <w:rPr>
          <w:rFonts w:ascii="Calibri" w:hAnsi="Calibri"/>
          <w:noProof/>
          <w:sz w:val="22"/>
        </w:rPr>
        <w:t>, 6(4), pp.291–5. Available at: http://dx.doi.org/10.1038/nmeth.1311 [Accessed October 31,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Lasonder, E. et al., 2008. Proteomic profiling of Plasmodium sporozoite maturation identifies new proteins essential for parasite development and infectivity. D. E. Goldberg, ed. </w:t>
      </w:r>
      <w:r w:rsidRPr="007A6D4F">
        <w:rPr>
          <w:rFonts w:ascii="Calibri" w:hAnsi="Calibri"/>
          <w:i/>
          <w:iCs/>
          <w:noProof/>
          <w:sz w:val="22"/>
        </w:rPr>
        <w:t>PLoS pathogens</w:t>
      </w:r>
      <w:r w:rsidRPr="007A6D4F">
        <w:rPr>
          <w:rFonts w:ascii="Calibri" w:hAnsi="Calibri"/>
          <w:noProof/>
          <w:sz w:val="22"/>
        </w:rPr>
        <w:t>, 4(10), p.e1000195. Available at: http://dx.plos.org/10.1371/journal.ppat.1000195 [Accessed December 16,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Li, H. &amp; Durbin, R., 2009. Fast and accurate short read alignment with Burrows-Wheeler transform. </w:t>
      </w:r>
      <w:r w:rsidRPr="007A6D4F">
        <w:rPr>
          <w:rFonts w:ascii="Calibri" w:hAnsi="Calibri"/>
          <w:i/>
          <w:iCs/>
          <w:noProof/>
          <w:sz w:val="22"/>
        </w:rPr>
        <w:t>Bioinformatics (Oxford, England)</w:t>
      </w:r>
      <w:r w:rsidRPr="007A6D4F">
        <w:rPr>
          <w:rFonts w:ascii="Calibri" w:hAnsi="Calibri"/>
          <w:noProof/>
          <w:sz w:val="22"/>
        </w:rPr>
        <w:t>, 25(14), pp.1754–60. Available at: http://www.pubmedcentral.nih.gov/articlerender.fcgi?artid=2705234&amp;tool=pmcentrez&amp;rendertype=abstract [Accessed July 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Li, Y.-C. et al., 2002. Microsatellites: genomic distribution, putative functions and mutational mechanisms: a review. </w:t>
      </w:r>
      <w:r w:rsidRPr="007A6D4F">
        <w:rPr>
          <w:rFonts w:ascii="Calibri" w:hAnsi="Calibri"/>
          <w:i/>
          <w:iCs/>
          <w:noProof/>
          <w:sz w:val="22"/>
        </w:rPr>
        <w:t>Molecular ecology</w:t>
      </w:r>
      <w:r w:rsidRPr="007A6D4F">
        <w:rPr>
          <w:rFonts w:ascii="Calibri" w:hAnsi="Calibri"/>
          <w:noProof/>
          <w:sz w:val="22"/>
        </w:rPr>
        <w:t>, 11(12), pp.2453–65. Available at: http://www.ncbi.nlm.nih.gov/pubmed/12453231 [Accessed November 18,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Lovett, S.T., 2004. Encoded errors: mutations and rearrangements mediated by misalignment at repetitive DNA sequences. </w:t>
      </w:r>
      <w:r w:rsidRPr="007A6D4F">
        <w:rPr>
          <w:rFonts w:ascii="Calibri" w:hAnsi="Calibri"/>
          <w:i/>
          <w:iCs/>
          <w:noProof/>
          <w:sz w:val="22"/>
        </w:rPr>
        <w:t>Molecular microbiology</w:t>
      </w:r>
      <w:r w:rsidRPr="007A6D4F">
        <w:rPr>
          <w:rFonts w:ascii="Calibri" w:hAnsi="Calibri"/>
          <w:noProof/>
          <w:sz w:val="22"/>
        </w:rPr>
        <w:t>, 52(5), pp.1243–53. Available at: http://www.ncbi.nlm.nih.gov/pubmed/15165229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Mancera, E. et al., 2008. High-resolution mapping of meiotic crossovers and non-crossovers in yeast. </w:t>
      </w:r>
      <w:r w:rsidRPr="007A6D4F">
        <w:rPr>
          <w:rFonts w:ascii="Calibri" w:hAnsi="Calibri"/>
          <w:i/>
          <w:iCs/>
          <w:noProof/>
          <w:sz w:val="22"/>
        </w:rPr>
        <w:t>Nature</w:t>
      </w:r>
      <w:r w:rsidRPr="007A6D4F">
        <w:rPr>
          <w:rFonts w:ascii="Calibri" w:hAnsi="Calibri"/>
          <w:noProof/>
          <w:sz w:val="22"/>
        </w:rPr>
        <w:t>, 454(7203), pp.479–85. Available at: http://www.pubmedcentral.nih.gov/articlerender.fcgi?artid=2780006&amp;tool=pmcentrez&amp;rendertype=abstract [Accessed November 18,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Manske, H.M. &amp; Kwiatkowski, D.P., 2009. LookSeq: a browser-based viewer for deep sequencing data. </w:t>
      </w:r>
      <w:r w:rsidRPr="007A6D4F">
        <w:rPr>
          <w:rFonts w:ascii="Calibri" w:hAnsi="Calibri"/>
          <w:i/>
          <w:iCs/>
          <w:noProof/>
          <w:sz w:val="22"/>
        </w:rPr>
        <w:t>Genome research</w:t>
      </w:r>
      <w:r w:rsidRPr="007A6D4F">
        <w:rPr>
          <w:rFonts w:ascii="Calibri" w:hAnsi="Calibri"/>
          <w:noProof/>
          <w:sz w:val="22"/>
        </w:rPr>
        <w:t>, 19(11), pp.2125–32. Available at: http://www.pubmedcentral.nih.gov/articlerender.fcgi?artid=2775587&amp;tool=pmcentrez&amp;rendertype=abstract [Accessed December 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Manske, M. et al., 2012. Analysis of Plasmodium falciparum diversity in natural infections by deep sequencing. </w:t>
      </w:r>
      <w:r w:rsidRPr="007A6D4F">
        <w:rPr>
          <w:rFonts w:ascii="Calibri" w:hAnsi="Calibri"/>
          <w:i/>
          <w:iCs/>
          <w:noProof/>
          <w:sz w:val="22"/>
        </w:rPr>
        <w:t>Nature</w:t>
      </w:r>
      <w:r w:rsidRPr="007A6D4F">
        <w:rPr>
          <w:rFonts w:ascii="Calibri" w:hAnsi="Calibri"/>
          <w:noProof/>
          <w:sz w:val="22"/>
        </w:rPr>
        <w:t>, 487(7407), pp.375–9. Available at: http://www.pubmedcentral.nih.gov/articlerender.fcgi?artid=3738909&amp;tool=pmcentrez&amp;rendertype=abstract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Martinez-Perez, E. &amp; Colaiácovo, M.P., 2009. Distribution of meiotic recombination events: talking to your neighbors. </w:t>
      </w:r>
      <w:r w:rsidRPr="007A6D4F">
        <w:rPr>
          <w:rFonts w:ascii="Calibri" w:hAnsi="Calibri"/>
          <w:i/>
          <w:iCs/>
          <w:noProof/>
          <w:sz w:val="22"/>
        </w:rPr>
        <w:t>Current opinion in genetics &amp; development</w:t>
      </w:r>
      <w:r w:rsidRPr="007A6D4F">
        <w:rPr>
          <w:rFonts w:ascii="Calibri" w:hAnsi="Calibri"/>
          <w:noProof/>
          <w:sz w:val="22"/>
        </w:rPr>
        <w:t>, 19(2), pp.105–12. Available at: http://www.pubmedcentral.nih.gov/articlerender.fcgi?artid=2729281&amp;tool=pmcentrez&amp;rendertype=abstract [Accessed December 16,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McKenna, A. et al., 2010. The Genome Analysis Toolkit: a MapReduce framework for analyzing next-generation DNA sequencing data. </w:t>
      </w:r>
      <w:r w:rsidRPr="007A6D4F">
        <w:rPr>
          <w:rFonts w:ascii="Calibri" w:hAnsi="Calibri"/>
          <w:i/>
          <w:iCs/>
          <w:noProof/>
          <w:sz w:val="22"/>
        </w:rPr>
        <w:t>Genome research</w:t>
      </w:r>
      <w:r w:rsidRPr="007A6D4F">
        <w:rPr>
          <w:rFonts w:ascii="Calibri" w:hAnsi="Calibri"/>
          <w:noProof/>
          <w:sz w:val="22"/>
        </w:rPr>
        <w:t>, 20(9), pp.1297–303. Available at: http://www.pubmedcentral.nih.gov/articlerender.fcgi?artid=2928508&amp;tool=pmcentrez&amp;rendertype=abstract [Accessed July 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Miotto, O. et al., 2013. Multiple populations of artemisinin-resistant Plasmodium falciparum in Cambodia. </w:t>
      </w:r>
      <w:r w:rsidRPr="007A6D4F">
        <w:rPr>
          <w:rFonts w:ascii="Calibri" w:hAnsi="Calibri"/>
          <w:i/>
          <w:iCs/>
          <w:noProof/>
          <w:sz w:val="22"/>
        </w:rPr>
        <w:t>Nature genetics</w:t>
      </w:r>
      <w:r w:rsidRPr="007A6D4F">
        <w:rPr>
          <w:rFonts w:ascii="Calibri" w:hAnsi="Calibri"/>
          <w:noProof/>
          <w:sz w:val="22"/>
        </w:rPr>
        <w:t>, 45(6), pp.648–55. Available at: http://www.pubmedcentral.nih.gov/articlerender.fcgi?artid=3807790&amp;tool=pmcentrez&amp;rendertype=abstract [Accessed September 30,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Mira-Martínez, S. et al., 2013. Epigenetic switches in clag3 genes mediate blasticidin S resistance in malaria parasites. </w:t>
      </w:r>
      <w:r w:rsidRPr="007A6D4F">
        <w:rPr>
          <w:rFonts w:ascii="Calibri" w:hAnsi="Calibri"/>
          <w:i/>
          <w:iCs/>
          <w:noProof/>
          <w:sz w:val="22"/>
        </w:rPr>
        <w:t>Cellular microbiology</w:t>
      </w:r>
      <w:r w:rsidRPr="007A6D4F">
        <w:rPr>
          <w:rFonts w:ascii="Calibri" w:hAnsi="Calibri"/>
          <w:noProof/>
          <w:sz w:val="22"/>
        </w:rPr>
        <w:t>, 15(11), pp.1913–23. Available at: http://www.ncbi.nlm.nih.gov/pubmed/23819786 [Accessed December 10,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Mok, S. et al., 2014. Structural polymorphism in the promoter of pfmrp2 confers Plasmodium falciparum tolerance to quinoline drugs. </w:t>
      </w:r>
      <w:r w:rsidRPr="007A6D4F">
        <w:rPr>
          <w:rFonts w:ascii="Calibri" w:hAnsi="Calibri"/>
          <w:i/>
          <w:iCs/>
          <w:noProof/>
          <w:sz w:val="22"/>
        </w:rPr>
        <w:t>Molecular microbiology</w:t>
      </w:r>
      <w:r w:rsidRPr="007A6D4F">
        <w:rPr>
          <w:rFonts w:ascii="Calibri" w:hAnsi="Calibri"/>
          <w:noProof/>
          <w:sz w:val="22"/>
        </w:rPr>
        <w:t>, 91(5), pp.918–34. Available at: http://www.ncbi.nlm.nih.gov/pubmed/24372851 [Accessed November 13,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Montgomery, S.B. et al., 2013. The origin, evolution, and functional impact of short insertion-deletion variants identified in 179 human genomes. </w:t>
      </w:r>
      <w:r w:rsidRPr="007A6D4F">
        <w:rPr>
          <w:rFonts w:ascii="Calibri" w:hAnsi="Calibri"/>
          <w:i/>
          <w:iCs/>
          <w:noProof/>
          <w:sz w:val="22"/>
        </w:rPr>
        <w:t>Genome research</w:t>
      </w:r>
      <w:r w:rsidRPr="007A6D4F">
        <w:rPr>
          <w:rFonts w:ascii="Calibri" w:hAnsi="Calibri"/>
          <w:noProof/>
          <w:sz w:val="22"/>
        </w:rPr>
        <w:t>, 23(5), pp.749–61. Available at: http://www.pubmedcentral.nih.gov/articlerender.fcgi?artid=3638132&amp;tool=pmcentrez&amp;rendertype=abstract [Accessed August 21,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Muralidharan, V. &amp; Goldberg, D.E., 2013. Asparagine repeats in Plasmodium falciparum proteins: good for nothing? L. J. Knoll, ed. </w:t>
      </w:r>
      <w:r w:rsidRPr="007A6D4F">
        <w:rPr>
          <w:rFonts w:ascii="Calibri" w:hAnsi="Calibri"/>
          <w:i/>
          <w:iCs/>
          <w:noProof/>
          <w:sz w:val="22"/>
        </w:rPr>
        <w:t>PLoS pathogens</w:t>
      </w:r>
      <w:r w:rsidRPr="007A6D4F">
        <w:rPr>
          <w:rFonts w:ascii="Calibri" w:hAnsi="Calibri"/>
          <w:noProof/>
          <w:sz w:val="22"/>
        </w:rPr>
        <w:t>, 9(8), p.e1003488. Available at: http://dx.plos.org/10.1371/journal.ppat.1003488 [Accessed December 8,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Muzzey, D. et al., 2013. Assembly of a phased diploid Candida albicans genome facilitates allele-specific measurements and provides a simple model for repeat and indel structure. </w:t>
      </w:r>
      <w:r w:rsidRPr="007A6D4F">
        <w:rPr>
          <w:rFonts w:ascii="Calibri" w:hAnsi="Calibri"/>
          <w:i/>
          <w:iCs/>
          <w:noProof/>
          <w:sz w:val="22"/>
        </w:rPr>
        <w:t>Genome biology</w:t>
      </w:r>
      <w:r w:rsidRPr="007A6D4F">
        <w:rPr>
          <w:rFonts w:ascii="Calibri" w:hAnsi="Calibri"/>
          <w:noProof/>
          <w:sz w:val="22"/>
        </w:rPr>
        <w:t>, 14(9), p.R97. Available at: http://genomebiology.com/2013/14/9/R97 [Accessed April 22,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Myers, S. et al., 2005. A fine-scale map of recombination rates and hotspots across the human genome. </w:t>
      </w:r>
      <w:r w:rsidRPr="007A6D4F">
        <w:rPr>
          <w:rFonts w:ascii="Calibri" w:hAnsi="Calibri"/>
          <w:i/>
          <w:iCs/>
          <w:noProof/>
          <w:sz w:val="22"/>
        </w:rPr>
        <w:t>Science (New York, N.Y.)</w:t>
      </w:r>
      <w:r w:rsidRPr="007A6D4F">
        <w:rPr>
          <w:rFonts w:ascii="Calibri" w:hAnsi="Calibri"/>
          <w:noProof/>
          <w:sz w:val="22"/>
        </w:rPr>
        <w:t>, 310(5746), pp.321–4. Available at: http://www.sciencemag.org/content/310/5746/321 [Accessed July 23,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Nair, S. et al., 2008. Adaptive copy number evolution in malaria parasites. </w:t>
      </w:r>
      <w:r w:rsidRPr="007A6D4F">
        <w:rPr>
          <w:rFonts w:ascii="Calibri" w:hAnsi="Calibri"/>
          <w:i/>
          <w:iCs/>
          <w:noProof/>
          <w:sz w:val="22"/>
        </w:rPr>
        <w:t>PLoS genetics</w:t>
      </w:r>
      <w:r w:rsidRPr="007A6D4F">
        <w:rPr>
          <w:rFonts w:ascii="Calibri" w:hAnsi="Calibri"/>
          <w:noProof/>
          <w:sz w:val="22"/>
        </w:rPr>
        <w:t>, 4(10), p.e1000243. Available at: http://www.pubmedcentral.nih.gov/articlerender.fcgi?artid=2570623&amp;tool=pmcentrez&amp;rendertype=abstract [Accessed November 17,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Nair, S. et al., 2007. Recurrent gene amplification and soft selective sweeps during evolution of multidrug resistance in malaria parasites. </w:t>
      </w:r>
      <w:r w:rsidRPr="007A6D4F">
        <w:rPr>
          <w:rFonts w:ascii="Calibri" w:hAnsi="Calibri"/>
          <w:i/>
          <w:iCs/>
          <w:noProof/>
          <w:sz w:val="22"/>
        </w:rPr>
        <w:t>Molecular biology and evolution</w:t>
      </w:r>
      <w:r w:rsidRPr="007A6D4F">
        <w:rPr>
          <w:rFonts w:ascii="Calibri" w:hAnsi="Calibri"/>
          <w:noProof/>
          <w:sz w:val="22"/>
        </w:rPr>
        <w:t>, 24(2), pp.562–73. Available at: http://www.ncbi.nlm.nih.gov/pubmed/17124182 [Accessed November 12,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Ranford-Cartwright, L.C. &amp; Mwangi, J.M., 2012. Analysis of malaria parasite phenotypes using experimental genetic crosses of Plasmodium falciparum. </w:t>
      </w:r>
      <w:r w:rsidRPr="007A6D4F">
        <w:rPr>
          <w:rFonts w:ascii="Calibri" w:hAnsi="Calibri"/>
          <w:i/>
          <w:iCs/>
          <w:noProof/>
          <w:sz w:val="22"/>
        </w:rPr>
        <w:t>International journal for parasitology</w:t>
      </w:r>
      <w:r w:rsidRPr="007A6D4F">
        <w:rPr>
          <w:rFonts w:ascii="Calibri" w:hAnsi="Calibri"/>
          <w:noProof/>
          <w:sz w:val="22"/>
        </w:rPr>
        <w:t>, 42(6), pp.529–34. Available at: http://www.pubmedcentral.nih.gov/articlerender.fcgi?artid=4039998&amp;tool=pmcentrez&amp;rendertype=abstract [Accessed November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Robasky, K., Lewis, N.E. &amp; Church, G.M., 2014. The role of replicates for error mitigation in next-generation sequencing. </w:t>
      </w:r>
      <w:r w:rsidRPr="007A6D4F">
        <w:rPr>
          <w:rFonts w:ascii="Calibri" w:hAnsi="Calibri"/>
          <w:i/>
          <w:iCs/>
          <w:noProof/>
          <w:sz w:val="22"/>
        </w:rPr>
        <w:t>Nature reviews. Genetics</w:t>
      </w:r>
      <w:r w:rsidRPr="007A6D4F">
        <w:rPr>
          <w:rFonts w:ascii="Calibri" w:hAnsi="Calibri"/>
          <w:noProof/>
          <w:sz w:val="22"/>
        </w:rPr>
        <w:t>, 15(1), pp.56–62. Available at: http://dx.doi.org/10.1038/nrg3655 [Accessed July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Rosenthal, P.J., 2013. The interplay between drug resistance and fitness in malaria parasites. </w:t>
      </w:r>
      <w:r w:rsidRPr="007A6D4F">
        <w:rPr>
          <w:rFonts w:ascii="Calibri" w:hAnsi="Calibri"/>
          <w:i/>
          <w:iCs/>
          <w:noProof/>
          <w:sz w:val="22"/>
        </w:rPr>
        <w:t>Molecular microbiology</w:t>
      </w:r>
      <w:r w:rsidRPr="007A6D4F">
        <w:rPr>
          <w:rFonts w:ascii="Calibri" w:hAnsi="Calibri"/>
          <w:noProof/>
          <w:sz w:val="22"/>
        </w:rPr>
        <w:t>, 89(6), pp.1025–38. Available at: http://www.pubmedcentral.nih.gov/articlerender.fcgi?artid=3792794&amp;tool=pmcentrez&amp;rendertype=abstract [Accessed April 22,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Roy, S.W., Ferreira, M.U. &amp; Hartl, D.L., 2008. Evolution of allelic dimorphism in malarial surface antigens. </w:t>
      </w:r>
      <w:r w:rsidRPr="007A6D4F">
        <w:rPr>
          <w:rFonts w:ascii="Calibri" w:hAnsi="Calibri"/>
          <w:i/>
          <w:iCs/>
          <w:noProof/>
          <w:sz w:val="22"/>
        </w:rPr>
        <w:t>Heredity</w:t>
      </w:r>
      <w:r w:rsidRPr="007A6D4F">
        <w:rPr>
          <w:rFonts w:ascii="Calibri" w:hAnsi="Calibri"/>
          <w:noProof/>
          <w:sz w:val="22"/>
        </w:rPr>
        <w:t>, 100(2), pp.103–10. Available at: http://www.ncbi.nlm.nih.gov/pubmed/17021615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Samarakoon, U., Regier, A., et al., 2011. High-throughput 454 resequencing for allele discovery and recombination mapping in Plasmodium falciparum. </w:t>
      </w:r>
      <w:r w:rsidRPr="007A6D4F">
        <w:rPr>
          <w:rFonts w:ascii="Calibri" w:hAnsi="Calibri"/>
          <w:i/>
          <w:iCs/>
          <w:noProof/>
          <w:sz w:val="22"/>
        </w:rPr>
        <w:t>BMC genomics</w:t>
      </w:r>
      <w:r w:rsidRPr="007A6D4F">
        <w:rPr>
          <w:rFonts w:ascii="Calibri" w:hAnsi="Calibri"/>
          <w:noProof/>
          <w:sz w:val="22"/>
        </w:rPr>
        <w:t>, 12, p.116. Available at: http://www.pubmedcentral.nih.gov/articlerender.fcgi?artid=3055840&amp;tool=pmcentrez&amp;rendertype=abstract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Samarakoon, U., Gonzales, J.M., et al., 2011. The landscape of inherited and de novo copy number variants in a Plasmodium falciparum genetic cross. </w:t>
      </w:r>
      <w:r w:rsidRPr="007A6D4F">
        <w:rPr>
          <w:rFonts w:ascii="Calibri" w:hAnsi="Calibri"/>
          <w:i/>
          <w:iCs/>
          <w:noProof/>
          <w:sz w:val="22"/>
        </w:rPr>
        <w:t>BMC genomics</w:t>
      </w:r>
      <w:r w:rsidRPr="007A6D4F">
        <w:rPr>
          <w:rFonts w:ascii="Calibri" w:hAnsi="Calibri"/>
          <w:noProof/>
          <w:sz w:val="22"/>
        </w:rPr>
        <w:t>, 12, p.457. Available at: http://www.pubmedcentral.nih.gov/articlerender.fcgi?artid=3191341&amp;tool=pmcentrez&amp;rendertype=abstract [Accessed October 18,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Saunders, I.W., Brohede, J. &amp; Hannan, G.N., 2007. Estimating genotyping error rates from Mendelian errors in SNP array genotypes and their impact on inference. </w:t>
      </w:r>
      <w:r w:rsidRPr="007A6D4F">
        <w:rPr>
          <w:rFonts w:ascii="Calibri" w:hAnsi="Calibri"/>
          <w:i/>
          <w:iCs/>
          <w:noProof/>
          <w:sz w:val="22"/>
        </w:rPr>
        <w:t>Genomics</w:t>
      </w:r>
      <w:r w:rsidRPr="007A6D4F">
        <w:rPr>
          <w:rFonts w:ascii="Calibri" w:hAnsi="Calibri"/>
          <w:noProof/>
          <w:sz w:val="22"/>
        </w:rPr>
        <w:t>, 90(3), pp.291–6. Available at: http://www.sciencedirect.com/science/article/pii/S088875430700136X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Sepúlveda, N. et al., 2013. A Poisson hierarchical modelling approach to detecting copy number variation in sequence coverage data. </w:t>
      </w:r>
      <w:r w:rsidRPr="007A6D4F">
        <w:rPr>
          <w:rFonts w:ascii="Calibri" w:hAnsi="Calibri"/>
          <w:i/>
          <w:iCs/>
          <w:noProof/>
          <w:sz w:val="22"/>
        </w:rPr>
        <w:t>BMC genomics</w:t>
      </w:r>
      <w:r w:rsidRPr="007A6D4F">
        <w:rPr>
          <w:rFonts w:ascii="Calibri" w:hAnsi="Calibri"/>
          <w:noProof/>
          <w:sz w:val="22"/>
        </w:rPr>
        <w:t>, 14, p.128. Available at: http://www.pubmedcentral.nih.gov/articlerender.fcgi?artid=3679970&amp;tool=pmcentrez&amp;rendertype=abstract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Su, X. et al., 1999. A genetic map and recombination parameters of the human malaria parasite Plasmodium falciparum. </w:t>
      </w:r>
      <w:r w:rsidRPr="007A6D4F">
        <w:rPr>
          <w:rFonts w:ascii="Calibri" w:hAnsi="Calibri"/>
          <w:i/>
          <w:iCs/>
          <w:noProof/>
          <w:sz w:val="22"/>
        </w:rPr>
        <w:t>Science (New York, N.Y.)</w:t>
      </w:r>
      <w:r w:rsidRPr="007A6D4F">
        <w:rPr>
          <w:rFonts w:ascii="Calibri" w:hAnsi="Calibri"/>
          <w:noProof/>
          <w:sz w:val="22"/>
        </w:rPr>
        <w:t>, 286(5443), pp.1351–3. Available at: http://www.ncbi.nlm.nih.gov/pubmed/10558988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Tan, J.C. et al., 2010. Variable numbers of tandem repeats in Plasmodium falciparum genes. </w:t>
      </w:r>
      <w:r w:rsidRPr="007A6D4F">
        <w:rPr>
          <w:rFonts w:ascii="Calibri" w:hAnsi="Calibri"/>
          <w:i/>
          <w:iCs/>
          <w:noProof/>
          <w:sz w:val="22"/>
        </w:rPr>
        <w:t>Journal of molecular evolution</w:t>
      </w:r>
      <w:r w:rsidRPr="007A6D4F">
        <w:rPr>
          <w:rFonts w:ascii="Calibri" w:hAnsi="Calibri"/>
          <w:noProof/>
          <w:sz w:val="22"/>
        </w:rPr>
        <w:t>, 71(4), pp.268–78. Available at: http://www.pubmedcentral.nih.gov/articlerender.fcgi?artid=3205454&amp;tool=pmcentrez&amp;rendertype=abstract [Accessed November 21,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Valli, A., López-Moya, J.J. &amp; García, J.A., 2007. Recombination and gene duplication in the evolutionary diversification of P1 proteins in the family Potyviridae. </w:t>
      </w:r>
      <w:r w:rsidRPr="007A6D4F">
        <w:rPr>
          <w:rFonts w:ascii="Calibri" w:hAnsi="Calibri"/>
          <w:i/>
          <w:iCs/>
          <w:noProof/>
          <w:sz w:val="22"/>
        </w:rPr>
        <w:t>The Journal of general virology</w:t>
      </w:r>
      <w:r w:rsidRPr="007A6D4F">
        <w:rPr>
          <w:rFonts w:ascii="Calibri" w:hAnsi="Calibri"/>
          <w:noProof/>
          <w:sz w:val="22"/>
        </w:rPr>
        <w:t>, 88(Pt 3), pp.1016–28. Available at: http://www.ncbi.nlm.nih.gov/pubmed/17325376 [Accessed May 12,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Völker, M. et al., 2010. Copy number variation, chromosome rearrangement, and their association with recombination during avian evolution. </w:t>
      </w:r>
      <w:r w:rsidRPr="007A6D4F">
        <w:rPr>
          <w:rFonts w:ascii="Calibri" w:hAnsi="Calibri"/>
          <w:i/>
          <w:iCs/>
          <w:noProof/>
          <w:sz w:val="22"/>
        </w:rPr>
        <w:t>Genome research</w:t>
      </w:r>
      <w:r w:rsidRPr="007A6D4F">
        <w:rPr>
          <w:rFonts w:ascii="Calibri" w:hAnsi="Calibri"/>
          <w:noProof/>
          <w:sz w:val="22"/>
        </w:rPr>
        <w:t>, 20(4), pp.503–11. Available at: http://genome.cshlp.org/content/20/4/503.full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Walker-Jonah, A. et al., 1992. An RFLP map of the Plasmodium falciparum genome, recombination rates and favored linkage groups in a genetic cross. </w:t>
      </w:r>
      <w:r w:rsidRPr="007A6D4F">
        <w:rPr>
          <w:rFonts w:ascii="Calibri" w:hAnsi="Calibri"/>
          <w:i/>
          <w:iCs/>
          <w:noProof/>
          <w:sz w:val="22"/>
        </w:rPr>
        <w:t>Molecular and biochemical parasitology</w:t>
      </w:r>
      <w:r w:rsidRPr="007A6D4F">
        <w:rPr>
          <w:rFonts w:ascii="Calibri" w:hAnsi="Calibri"/>
          <w:noProof/>
          <w:sz w:val="22"/>
        </w:rPr>
        <w:t>, 51(2), pp.313–20. Available at: http://www.ncbi.nlm.nih.gov/pubmed/1349423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Walliker, D. et al., 1987. Genetic analysis of the human malaria parasite Plasmodium falciparum. </w:t>
      </w:r>
      <w:r w:rsidRPr="007A6D4F">
        <w:rPr>
          <w:rFonts w:ascii="Calibri" w:hAnsi="Calibri"/>
          <w:i/>
          <w:iCs/>
          <w:noProof/>
          <w:sz w:val="22"/>
        </w:rPr>
        <w:t>Science (New York, N.Y.)</w:t>
      </w:r>
      <w:r w:rsidRPr="007A6D4F">
        <w:rPr>
          <w:rFonts w:ascii="Calibri" w:hAnsi="Calibri"/>
          <w:noProof/>
          <w:sz w:val="22"/>
        </w:rPr>
        <w:t>, 236(4809), pp.1661–6. Available at: http://www.ncbi.nlm.nih.gov/pubmed/3299700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Wellems, T.E. et al., 1990. Chloroquine resistance not linked to mdr-like genes in a Plasmodium falciparum cross. </w:t>
      </w:r>
      <w:r w:rsidRPr="007A6D4F">
        <w:rPr>
          <w:rFonts w:ascii="Calibri" w:hAnsi="Calibri"/>
          <w:i/>
          <w:iCs/>
          <w:noProof/>
          <w:sz w:val="22"/>
        </w:rPr>
        <w:t>Nature</w:t>
      </w:r>
      <w:r w:rsidRPr="007A6D4F">
        <w:rPr>
          <w:rFonts w:ascii="Calibri" w:hAnsi="Calibri"/>
          <w:noProof/>
          <w:sz w:val="22"/>
        </w:rPr>
        <w:t>, 345(6272), pp.253–5. Available at: http://www.ncbi.nlm.nih.gov/pubmed/1970614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Wellems, T.E., Walker-Jonah, A. &amp; Panton, L.J., 1991. Genetic mapping of the chloroquine-resistance locus on Plasmodium falciparum chromosome 7. </w:t>
      </w:r>
      <w:r w:rsidRPr="007A6D4F">
        <w:rPr>
          <w:rFonts w:ascii="Calibri" w:hAnsi="Calibri"/>
          <w:i/>
          <w:iCs/>
          <w:noProof/>
          <w:sz w:val="22"/>
        </w:rPr>
        <w:t>Proceedings of the National Academy of Sciences of the United States of America</w:t>
      </w:r>
      <w:r w:rsidRPr="007A6D4F">
        <w:rPr>
          <w:rFonts w:ascii="Calibri" w:hAnsi="Calibri"/>
          <w:noProof/>
          <w:sz w:val="22"/>
        </w:rPr>
        <w:t>, 88(8), pp.3382–6. Available at: http://www.pubmedcentral.nih.gov/articlerender.fcgi?artid=51451&amp;tool=pmcentrez&amp;rendertype=abstract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Youds, J.L. &amp; Boulton, S.J., 2011. The choice in meiosis - defining the factors that influence crossover or non-crossover formation. </w:t>
      </w:r>
      <w:r w:rsidRPr="007A6D4F">
        <w:rPr>
          <w:rFonts w:ascii="Calibri" w:hAnsi="Calibri"/>
          <w:i/>
          <w:iCs/>
          <w:noProof/>
          <w:sz w:val="22"/>
        </w:rPr>
        <w:t>Journal of cell science</w:t>
      </w:r>
      <w:r w:rsidRPr="007A6D4F">
        <w:rPr>
          <w:rFonts w:ascii="Calibri" w:hAnsi="Calibri"/>
          <w:noProof/>
          <w:sz w:val="22"/>
        </w:rPr>
        <w:t>, 124(Pt 4), pp.501–13. Available at: http://www.ncbi.nlm.nih.gov/pubmed/21282472 [Accessed December 12,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Zilversmit, M.M. et al., 2010. Low-complexity regions in Plasmodium falciparum: missing links in the evolution of an extreme genome. </w:t>
      </w:r>
      <w:r w:rsidRPr="007A6D4F">
        <w:rPr>
          <w:rFonts w:ascii="Calibri" w:hAnsi="Calibri"/>
          <w:i/>
          <w:iCs/>
          <w:noProof/>
          <w:sz w:val="22"/>
        </w:rPr>
        <w:t>Molecular biology and evolution</w:t>
      </w:r>
      <w:r w:rsidRPr="007A6D4F">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A6D4F">
      <w:pPr>
        <w:pStyle w:val="NormalWeb"/>
        <w:ind w:left="480" w:hanging="480"/>
        <w:divId w:val="1967739879"/>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41E" w:rsidRDefault="0022341E" w:rsidP="008B66D9">
      <w:pPr>
        <w:spacing w:after="0" w:line="240" w:lineRule="auto"/>
      </w:pPr>
      <w:r>
        <w:separator/>
      </w:r>
    </w:p>
  </w:endnote>
  <w:endnote w:type="continuationSeparator" w:id="0">
    <w:p w:rsidR="0022341E" w:rsidRDefault="0022341E" w:rsidP="008B66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41E" w:rsidRDefault="0022341E" w:rsidP="008B66D9">
      <w:pPr>
        <w:spacing w:after="0" w:line="240" w:lineRule="auto"/>
      </w:pPr>
      <w:r>
        <w:separator/>
      </w:r>
    </w:p>
  </w:footnote>
  <w:footnote w:type="continuationSeparator" w:id="0">
    <w:p w:rsidR="0022341E" w:rsidRDefault="0022341E" w:rsidP="008B66D9">
      <w:pPr>
        <w:spacing w:after="0" w:line="240" w:lineRule="auto"/>
      </w:pPr>
      <w:r>
        <w:continuationSeparator/>
      </w:r>
    </w:p>
  </w:footnote>
  <w:footnote w:id="1">
    <w:p w:rsidR="006F1FCC" w:rsidRDefault="006F1FCC">
      <w:pPr>
        <w:pStyle w:val="FootnoteText"/>
      </w:pPr>
      <w:r>
        <w:rPr>
          <w:rStyle w:val="FootnoteReference"/>
        </w:rPr>
        <w:footnoteRef/>
      </w:r>
      <w:r>
        <w:t xml:space="preserve"> MRC Centre for Genomics and Global Health, University of Oxford, Oxford, UK</w:t>
      </w:r>
    </w:p>
  </w:footnote>
  <w:footnote w:id="2">
    <w:p w:rsidR="006F1FCC" w:rsidRDefault="006F1FCC">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6F1FCC" w:rsidRDefault="006F1FCC">
      <w:pPr>
        <w:pStyle w:val="FootnoteText"/>
      </w:pPr>
      <w:r>
        <w:rPr>
          <w:rStyle w:val="FootnoteReference"/>
        </w:rPr>
        <w:footnoteRef/>
      </w:r>
      <w:r>
        <w:t xml:space="preserve"> Wellcome Trust Centre for Human Genetics, University of Oxford, Oxford, UK</w:t>
      </w:r>
    </w:p>
  </w:footnote>
  <w:footnote w:id="4">
    <w:p w:rsidR="006F1FCC" w:rsidRDefault="006F1FCC">
      <w:pPr>
        <w:pStyle w:val="FootnoteText"/>
      </w:pPr>
      <w:r>
        <w:rPr>
          <w:rStyle w:val="FootnoteReference"/>
        </w:rPr>
        <w:footnoteRef/>
      </w:r>
      <w:r>
        <w:t xml:space="preserve"> Bowdoin College, Brunswick, Maine, USA</w:t>
      </w:r>
    </w:p>
  </w:footnote>
  <w:footnote w:id="5">
    <w:p w:rsidR="006F1FCC" w:rsidRDefault="006F1FCC">
      <w:pPr>
        <w:pStyle w:val="FootnoteText"/>
      </w:pPr>
      <w:r>
        <w:rPr>
          <w:rStyle w:val="FootnoteReference"/>
        </w:rPr>
        <w:footnoteRef/>
      </w:r>
      <w:r>
        <w:t xml:space="preserve"> Broad Institute of Harvard and MIT, Cambridge, Massachusetts, USA</w:t>
      </w:r>
    </w:p>
  </w:footnote>
  <w:footnote w:id="6">
    <w:p w:rsidR="006F1FCC" w:rsidRDefault="006F1FCC">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6F1FCC" w:rsidRDefault="006F1FCC">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6F1FCC" w:rsidRDefault="006F1FCC">
      <w:pPr>
        <w:pStyle w:val="FootnoteText"/>
      </w:pPr>
      <w:r>
        <w:rPr>
          <w:rStyle w:val="FootnoteReference"/>
        </w:rPr>
        <w:footnoteRef/>
      </w:r>
      <w:r>
        <w:t xml:space="preserve"> Eck Institute for Global Health, Department of Biological Sciences, University of Notre Dame, Notre Dame, Indiana, USA</w:t>
      </w:r>
    </w:p>
  </w:footnote>
  <w:footnote w:id="9">
    <w:p w:rsidR="006F1FCC" w:rsidRDefault="006F1FCC">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6F1FCC" w:rsidRDefault="006F1FCC">
      <w:pPr>
        <w:pStyle w:val="FootnoteText"/>
      </w:pPr>
      <w:r>
        <w:rPr>
          <w:rStyle w:val="FootnoteReference"/>
        </w:rPr>
        <w:footnoteRef/>
      </w:r>
      <w:r>
        <w:t xml:space="preserve"> Department of Statistics, University of Oxford, Oxford, UK</w:t>
      </w:r>
    </w:p>
  </w:footnote>
  <w:footnote w:id="11">
    <w:p w:rsidR="006F1FCC" w:rsidRDefault="006F1FCC">
      <w:pPr>
        <w:pStyle w:val="FootnoteText"/>
      </w:pPr>
      <w:r>
        <w:rPr>
          <w:rStyle w:val="FootnoteReference"/>
        </w:rPr>
        <w:footnoteRef/>
      </w:r>
      <w:r>
        <w:t xml:space="preserve"> ftp://ngs.sanger.ac.uk/production/pf-crosses/1.0/</w:t>
      </w:r>
    </w:p>
  </w:footnote>
  <w:footnote w:id="12">
    <w:p w:rsidR="006F1FCC" w:rsidRDefault="006F1FCC">
      <w:pPr>
        <w:pStyle w:val="FootnoteText"/>
      </w:pPr>
      <w:r>
        <w:rPr>
          <w:rStyle w:val="FootnoteReference"/>
        </w:rPr>
        <w:footnoteRef/>
      </w:r>
      <w:r>
        <w:t xml:space="preserve"> ftp://ngs.sanger.ac.uk/production/pf-crosses/1.0/</w:t>
      </w:r>
    </w:p>
  </w:footnote>
  <w:footnote w:id="13">
    <w:p w:rsidR="006F1FCC" w:rsidRDefault="006F1FCC">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4">
    <w:p w:rsidR="006F1FCC" w:rsidRDefault="006F1FCC">
      <w:pPr>
        <w:pStyle w:val="FootnoteText"/>
      </w:pPr>
      <w:r>
        <w:rPr>
          <w:rStyle w:val="FootnoteReference"/>
        </w:rPr>
        <w:footnoteRef/>
      </w:r>
      <w:r>
        <w:t xml:space="preserve"> https://github.com/alimanfoo/pysamstats</w:t>
      </w:r>
    </w:p>
  </w:footnote>
  <w:footnote w:id="15">
    <w:p w:rsidR="005F76A4" w:rsidRDefault="005F76A4"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6">
    <w:p w:rsidR="005F76A4" w:rsidRDefault="005F76A4"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7">
    <w:p w:rsidR="005F76A4" w:rsidRDefault="005F76A4"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8">
    <w:p w:rsidR="005F76A4" w:rsidRDefault="005F76A4"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9">
    <w:p w:rsidR="005F76A4" w:rsidRDefault="005F76A4"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20">
    <w:p w:rsidR="005F76A4" w:rsidRDefault="005F76A4"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1">
    <w:p w:rsidR="005F76A4" w:rsidRDefault="005F76A4"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numRestart w:val="eachPage"/>
    <w:footnote w:id="-1"/>
    <w:footnote w:id="0"/>
  </w:footnotePr>
  <w:endnotePr>
    <w:endnote w:id="-1"/>
    <w:endnote w:id="0"/>
  </w:endnotePr>
  <w:compat/>
  <w:rsids>
    <w:rsidRoot w:val="00A24306"/>
    <w:rsid w:val="0001017A"/>
    <w:rsid w:val="000118A7"/>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49B3"/>
    <w:rsid w:val="00114AB5"/>
    <w:rsid w:val="001238A3"/>
    <w:rsid w:val="00123EBE"/>
    <w:rsid w:val="001301E2"/>
    <w:rsid w:val="001321AD"/>
    <w:rsid w:val="00141CF3"/>
    <w:rsid w:val="00142C02"/>
    <w:rsid w:val="00143AF4"/>
    <w:rsid w:val="00153CF8"/>
    <w:rsid w:val="00161CD0"/>
    <w:rsid w:val="0016550F"/>
    <w:rsid w:val="00170A38"/>
    <w:rsid w:val="0017234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22CD"/>
    <w:rsid w:val="004A3C93"/>
    <w:rsid w:val="004B64BC"/>
    <w:rsid w:val="004B714B"/>
    <w:rsid w:val="004C01D4"/>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50AD8"/>
    <w:rsid w:val="00557F5B"/>
    <w:rsid w:val="0056071D"/>
    <w:rsid w:val="00572EC2"/>
    <w:rsid w:val="00581853"/>
    <w:rsid w:val="005833BA"/>
    <w:rsid w:val="005A3815"/>
    <w:rsid w:val="005A420C"/>
    <w:rsid w:val="005A5B5E"/>
    <w:rsid w:val="005B37DB"/>
    <w:rsid w:val="005B671D"/>
    <w:rsid w:val="005B6E1D"/>
    <w:rsid w:val="005C3FF3"/>
    <w:rsid w:val="005D178D"/>
    <w:rsid w:val="005D6D67"/>
    <w:rsid w:val="005D73F0"/>
    <w:rsid w:val="005E4F41"/>
    <w:rsid w:val="005E4F4C"/>
    <w:rsid w:val="005E5FE9"/>
    <w:rsid w:val="005F76A4"/>
    <w:rsid w:val="005F7D85"/>
    <w:rsid w:val="005F7DD3"/>
    <w:rsid w:val="00601883"/>
    <w:rsid w:val="006018E2"/>
    <w:rsid w:val="00605B08"/>
    <w:rsid w:val="006065AE"/>
    <w:rsid w:val="00607AA0"/>
    <w:rsid w:val="0062071D"/>
    <w:rsid w:val="00622DB4"/>
    <w:rsid w:val="00622F1D"/>
    <w:rsid w:val="00624AF9"/>
    <w:rsid w:val="00630078"/>
    <w:rsid w:val="00635AD4"/>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3C4"/>
    <w:rsid w:val="00831572"/>
    <w:rsid w:val="008336DB"/>
    <w:rsid w:val="008337E7"/>
    <w:rsid w:val="00840C8B"/>
    <w:rsid w:val="00843650"/>
    <w:rsid w:val="0084749C"/>
    <w:rsid w:val="008509AB"/>
    <w:rsid w:val="008529A0"/>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C2480"/>
    <w:rsid w:val="009D296D"/>
    <w:rsid w:val="009E0D59"/>
    <w:rsid w:val="009E1600"/>
    <w:rsid w:val="009E51A2"/>
    <w:rsid w:val="009E5648"/>
    <w:rsid w:val="009E5C7B"/>
    <w:rsid w:val="009F1864"/>
    <w:rsid w:val="009F3202"/>
    <w:rsid w:val="009F34F8"/>
    <w:rsid w:val="009F3C0F"/>
    <w:rsid w:val="00A00035"/>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B5A"/>
    <w:rsid w:val="00D329C7"/>
    <w:rsid w:val="00D3337B"/>
    <w:rsid w:val="00D3722C"/>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1296E"/>
    <w:rsid w:val="00E13949"/>
    <w:rsid w:val="00E1484F"/>
    <w:rsid w:val="00E174F7"/>
    <w:rsid w:val="00E224EF"/>
    <w:rsid w:val="00E23718"/>
    <w:rsid w:val="00E25470"/>
    <w:rsid w:val="00E32851"/>
    <w:rsid w:val="00E3669F"/>
    <w:rsid w:val="00E36A4E"/>
    <w:rsid w:val="00E4440B"/>
    <w:rsid w:val="00E52F83"/>
    <w:rsid w:val="00E551B5"/>
    <w:rsid w:val="00E65A8F"/>
    <w:rsid w:val="00E73835"/>
    <w:rsid w:val="00E81244"/>
    <w:rsid w:val="00E843DF"/>
    <w:rsid w:val="00E852B4"/>
    <w:rsid w:val="00E90EAE"/>
    <w:rsid w:val="00E91A85"/>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2BE6"/>
    <w:rsid w:val="00F1438E"/>
    <w:rsid w:val="00F230BE"/>
    <w:rsid w:val="00F23B0D"/>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r="http://schemas.openxmlformats.org/officeDocument/2006/relationships" xmlns:w="http://schemas.openxmlformats.org/wordprocessingml/2006/main">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4.jpe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hyperlink" Target="http://www.malariagen.net/apps/pf-crosses" TargetMode="Externa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www.malariagen.net/apps/pf-crosses" TargetMode="External"/><Relationship Id="rId14" Type="http://schemas.openxmlformats.org/officeDocument/2006/relationships/hyperlink" Target="http://www.malariagen.net/apps/pf-crosse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0D7D3-A6B1-4C3C-8231-541386B55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6503</TotalTime>
  <Pages>32</Pages>
  <Words>78836</Words>
  <Characters>449371</Characters>
  <Application>Microsoft Office Word</Application>
  <DocSecurity>0</DocSecurity>
  <Lines>3744</Lines>
  <Paragraphs>1054</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527153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aliman</cp:lastModifiedBy>
  <cp:revision>301</cp:revision>
  <cp:lastPrinted>2015-05-12T14:15:00Z</cp:lastPrinted>
  <dcterms:created xsi:type="dcterms:W3CDTF">2014-11-21T18:07:00Z</dcterms:created>
  <dcterms:modified xsi:type="dcterms:W3CDTF">2015-05-12T20:59:00Z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