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w:t>
      </w:r>
      <w:proofErr w:type="spellStart"/>
      <w:r w:rsidRPr="00A24306">
        <w:t>Iqbal</w:t>
      </w:r>
      <w:proofErr w:type="spellEnd"/>
      <w:r w:rsidR="003C55CB">
        <w:rPr>
          <w:rStyle w:val="FootnoteReference"/>
        </w:rPr>
        <w:footnoteReference w:id="3"/>
      </w:r>
      <w:r w:rsidRPr="00A24306">
        <w:t>, Paul Vauterin</w:t>
      </w:r>
      <w:fldSimple w:instr=" NOTEREF _Ref407025212 \h  \* MERGEFORMAT ">
        <w:r w:rsidR="00BE5D41" w:rsidRPr="00BE5D41">
          <w:rPr>
            <w:vertAlign w:val="superscript"/>
          </w:rPr>
          <w:t>1</w:t>
        </w:r>
      </w:fldSimple>
      <w:r w:rsidR="00CE7736">
        <w:t>,</w:t>
      </w:r>
      <w:r w:rsidRPr="00A24306">
        <w:t xml:space="preserve"> Richard Pearson</w:t>
      </w:r>
      <w:r w:rsidR="00264F25">
        <w:rPr>
          <w:vertAlign w:val="superscript"/>
        </w:rPr>
        <w:fldChar w:fldCharType="begin"/>
      </w:r>
      <w:r w:rsidR="00CE7736">
        <w:instrText xml:space="preserve"> NOTEREF _Ref407025212 \f \h </w:instrText>
      </w:r>
      <w:r w:rsidR="00264F25">
        <w:rPr>
          <w:vertAlign w:val="superscript"/>
        </w:rPr>
      </w:r>
      <w:r w:rsidR="00264F25">
        <w:rPr>
          <w:vertAlign w:val="superscript"/>
        </w:rPr>
        <w:fldChar w:fldCharType="separate"/>
      </w:r>
      <w:r w:rsidR="00BE5D41" w:rsidRPr="00BE5D41">
        <w:rPr>
          <w:rStyle w:val="FootnoteReference"/>
        </w:rPr>
        <w:t>1</w:t>
      </w:r>
      <w:r w:rsidR="00264F25">
        <w:rPr>
          <w:vertAlign w:val="superscript"/>
        </w:rPr>
        <w:fldChar w:fldCharType="end"/>
      </w:r>
      <w:r w:rsidR="00CE7736">
        <w:rPr>
          <w:vertAlign w:val="superscript"/>
        </w:rPr>
        <w:t>,</w:t>
      </w:r>
      <w:r w:rsidR="00264F25">
        <w:rPr>
          <w:vertAlign w:val="superscript"/>
        </w:rPr>
        <w:fldChar w:fldCharType="begin"/>
      </w:r>
      <w:r w:rsidR="00CE7736">
        <w:rPr>
          <w:vertAlign w:val="superscript"/>
        </w:rPr>
        <w:instrText xml:space="preserve"> NOTEREF _Ref407025258 \f \h </w:instrText>
      </w:r>
      <w:r w:rsidR="00264F25">
        <w:rPr>
          <w:vertAlign w:val="superscript"/>
        </w:rPr>
      </w:r>
      <w:r w:rsidR="00264F25">
        <w:rPr>
          <w:vertAlign w:val="superscript"/>
        </w:rPr>
        <w:fldChar w:fldCharType="separate"/>
      </w:r>
      <w:r w:rsidR="00BE5D41" w:rsidRPr="00BE5D41">
        <w:rPr>
          <w:rStyle w:val="FootnoteReference"/>
        </w:rPr>
        <w:t>2</w:t>
      </w:r>
      <w:r w:rsidR="00264F25">
        <w:rPr>
          <w:vertAlign w:val="superscript"/>
        </w:rPr>
        <w:fldChar w:fldCharType="end"/>
      </w:r>
      <w:r w:rsidRPr="00A24306">
        <w:t>, Susana Campino</w:t>
      </w:r>
      <w:r w:rsidR="00264F25">
        <w:fldChar w:fldCharType="begin"/>
      </w:r>
      <w:r w:rsidR="00CE7736">
        <w:instrText xml:space="preserve"> NOTEREF _Ref407025258 \f \h </w:instrText>
      </w:r>
      <w:r w:rsidR="00264F25">
        <w:fldChar w:fldCharType="separate"/>
      </w:r>
      <w:r w:rsidR="00BE5D41" w:rsidRPr="00BE5D41">
        <w:rPr>
          <w:rStyle w:val="FootnoteReference"/>
        </w:rPr>
        <w:t>2</w:t>
      </w:r>
      <w:r w:rsidR="00264F25">
        <w:fldChar w:fldCharType="end"/>
      </w:r>
      <w:r w:rsidRPr="00A24306">
        <w:t xml:space="preserve">, </w:t>
      </w:r>
      <w:r w:rsidR="0004180F">
        <w:t>Michel Theron</w:t>
      </w:r>
      <w:r w:rsidR="00264F25">
        <w:fldChar w:fldCharType="begin"/>
      </w:r>
      <w:r w:rsidR="00CE7736">
        <w:instrText xml:space="preserve"> NOTEREF _Ref407025258 \f \h </w:instrText>
      </w:r>
      <w:r w:rsidR="00264F25">
        <w:fldChar w:fldCharType="separate"/>
      </w:r>
      <w:r w:rsidR="00BE5D41" w:rsidRPr="00BE5D41">
        <w:rPr>
          <w:rStyle w:val="FootnoteReference"/>
        </w:rPr>
        <w:t>2</w:t>
      </w:r>
      <w:r w:rsidR="00264F25">
        <w:fldChar w:fldCharType="end"/>
      </w:r>
      <w:r w:rsidR="0004180F">
        <w:t>, Kelda Gould</w:t>
      </w:r>
      <w:r w:rsidR="00264F25">
        <w:rPr>
          <w:vertAlign w:val="superscript"/>
        </w:rPr>
        <w:fldChar w:fldCharType="begin"/>
      </w:r>
      <w:r w:rsidR="00CE7736">
        <w:instrText xml:space="preserve"> NOTEREF _Ref407025258 \f \h </w:instrText>
      </w:r>
      <w:r w:rsidR="00264F25">
        <w:rPr>
          <w:vertAlign w:val="superscript"/>
        </w:rPr>
      </w:r>
      <w:r w:rsidR="00264F25">
        <w:rPr>
          <w:vertAlign w:val="superscript"/>
        </w:rPr>
        <w:fldChar w:fldCharType="separate"/>
      </w:r>
      <w:r w:rsidR="00BE5D41" w:rsidRPr="00BE5D41">
        <w:rPr>
          <w:rStyle w:val="FootnoteReference"/>
        </w:rPr>
        <w:t>2</w:t>
      </w:r>
      <w:r w:rsidR="00264F25">
        <w:rPr>
          <w:vertAlign w:val="superscript"/>
        </w:rPr>
        <w:fldChar w:fldCharType="end"/>
      </w:r>
      <w:r w:rsidR="0004180F">
        <w:t xml:space="preserve">, </w:t>
      </w:r>
      <w:r w:rsidRPr="00A24306">
        <w:t>Daniel Mead</w:t>
      </w:r>
      <w:r w:rsidR="00264F25">
        <w:rPr>
          <w:vertAlign w:val="superscript"/>
        </w:rPr>
        <w:fldChar w:fldCharType="begin"/>
      </w:r>
      <w:r w:rsidR="00CE7736">
        <w:instrText xml:space="preserve"> NOTEREF _Ref407025258 \f \h </w:instrText>
      </w:r>
      <w:r w:rsidR="00264F25">
        <w:rPr>
          <w:vertAlign w:val="superscript"/>
        </w:rPr>
      </w:r>
      <w:r w:rsidR="00264F25">
        <w:rPr>
          <w:vertAlign w:val="superscript"/>
        </w:rPr>
        <w:fldChar w:fldCharType="separate"/>
      </w:r>
      <w:r w:rsidR="00BE5D41" w:rsidRPr="00BE5D41">
        <w:rPr>
          <w:rStyle w:val="FootnoteReference"/>
        </w:rPr>
        <w:t>2</w:t>
      </w:r>
      <w:r w:rsidR="00264F25">
        <w:rPr>
          <w:vertAlign w:val="superscript"/>
        </w:rPr>
        <w:fldChar w:fldCharType="end"/>
      </w:r>
      <w:r w:rsidRPr="00A24306">
        <w:t>, Eleanor Drury</w:t>
      </w:r>
      <w:r w:rsidR="00264F25">
        <w:rPr>
          <w:vertAlign w:val="superscript"/>
        </w:rPr>
        <w:fldChar w:fldCharType="begin"/>
      </w:r>
      <w:r w:rsidR="00CE7736">
        <w:instrText xml:space="preserve"> NOTEREF _Ref407025258 \f \h </w:instrText>
      </w:r>
      <w:r w:rsidR="00264F25">
        <w:rPr>
          <w:vertAlign w:val="superscript"/>
        </w:rPr>
      </w:r>
      <w:r w:rsidR="00264F25">
        <w:rPr>
          <w:vertAlign w:val="superscript"/>
        </w:rPr>
        <w:fldChar w:fldCharType="separate"/>
      </w:r>
      <w:r w:rsidR="00BE5D41" w:rsidRPr="00BE5D41">
        <w:rPr>
          <w:rStyle w:val="FootnoteReference"/>
        </w:rPr>
        <w:t>2</w:t>
      </w:r>
      <w:r w:rsidR="00264F25">
        <w:rPr>
          <w:vertAlign w:val="superscript"/>
        </w:rPr>
        <w:fldChar w:fldCharType="end"/>
      </w:r>
      <w:r w:rsidRPr="00A24306">
        <w:t xml:space="preserve">, </w:t>
      </w:r>
      <w:r w:rsidR="00395FA2">
        <w:t>John O’Brien</w:t>
      </w:r>
      <w:r w:rsidR="00E13949">
        <w:rPr>
          <w:rStyle w:val="FootnoteReference"/>
        </w:rPr>
        <w:footnoteReference w:id="4"/>
      </w:r>
      <w:r w:rsidR="00395FA2">
        <w:t xml:space="preserve">, </w:t>
      </w:r>
      <w:proofErr w:type="spellStart"/>
      <w:r w:rsidR="00395FA2">
        <w:t>Valentin</w:t>
      </w:r>
      <w:proofErr w:type="spellEnd"/>
      <w:r w:rsidR="00395FA2">
        <w:t xml:space="preserve">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264F25">
        <w:rPr>
          <w:vertAlign w:val="superscript"/>
        </w:rPr>
        <w:fldChar w:fldCharType="begin"/>
      </w:r>
      <w:r w:rsidR="00630078">
        <w:instrText xml:space="preserve"> NOTEREF _Ref407025337 \f \h </w:instrText>
      </w:r>
      <w:r w:rsidR="00264F25">
        <w:rPr>
          <w:vertAlign w:val="superscript"/>
        </w:rPr>
      </w:r>
      <w:r w:rsidR="00264F25">
        <w:rPr>
          <w:vertAlign w:val="superscript"/>
        </w:rPr>
        <w:fldChar w:fldCharType="separate"/>
      </w:r>
      <w:r w:rsidR="00BE5D41" w:rsidRPr="00BE5D41">
        <w:rPr>
          <w:rStyle w:val="FootnoteReference"/>
        </w:rPr>
        <w:t>5</w:t>
      </w:r>
      <w:r w:rsidR="00264F25">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fldSimple w:instr=" NOTEREF _Ref417453778 \h  \* MERGEFORMAT ">
        <w:r w:rsidR="00BE5D41">
          <w:rPr>
            <w:vertAlign w:val="superscript"/>
          </w:rPr>
          <w:t>7</w:t>
        </w:r>
      </w:fldSimple>
      <w:r w:rsidR="00BE5D41">
        <w:t>,</w:t>
      </w:r>
      <w:r w:rsidRPr="00A24306">
        <w:t xml:space="preserve"> </w:t>
      </w:r>
      <w:proofErr w:type="spellStart"/>
      <w:r w:rsidR="00BE5D41">
        <w:t>Upeka</w:t>
      </w:r>
      <w:proofErr w:type="spellEnd"/>
      <w:r w:rsidR="00BE5D41">
        <w:t xml:space="preserve"> Samarakoon</w:t>
      </w:r>
      <w:fldSimple w:instr=" NOTEREF _Ref417453876 \h  \* MERGEFORMAT ">
        <w:r w:rsidR="00BE5D41">
          <w:rPr>
            <w:vertAlign w:val="superscript"/>
          </w:rPr>
          <w:t>8</w:t>
        </w:r>
      </w:fldSimple>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264F25">
        <w:fldChar w:fldCharType="begin"/>
      </w:r>
      <w:r w:rsidR="00630078">
        <w:instrText xml:space="preserve"> NOTEREF _Ref407025357 \f \h </w:instrText>
      </w:r>
      <w:r w:rsidR="00264F25">
        <w:fldChar w:fldCharType="separate"/>
      </w:r>
      <w:r w:rsidR="00BE5D41" w:rsidRPr="00BE5D41">
        <w:rPr>
          <w:rStyle w:val="FootnoteReference"/>
        </w:rPr>
        <w:t>9</w:t>
      </w:r>
      <w:r w:rsidR="00264F25">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264F25">
        <w:rPr>
          <w:vertAlign w:val="superscript"/>
        </w:rPr>
        <w:fldChar w:fldCharType="begin"/>
      </w:r>
      <w:r w:rsidR="00630078">
        <w:instrText xml:space="preserve"> NOTEREF _Ref407025357 \f \h </w:instrText>
      </w:r>
      <w:r w:rsidR="00264F25">
        <w:rPr>
          <w:vertAlign w:val="superscript"/>
        </w:rPr>
      </w:r>
      <w:r w:rsidR="00264F25">
        <w:rPr>
          <w:vertAlign w:val="superscript"/>
        </w:rPr>
        <w:fldChar w:fldCharType="separate"/>
      </w:r>
      <w:r w:rsidR="00BE5D41" w:rsidRPr="00BE5D41">
        <w:rPr>
          <w:rStyle w:val="FootnoteReference"/>
        </w:rPr>
        <w:t>9</w:t>
      </w:r>
      <w:r w:rsidR="00264F25">
        <w:rPr>
          <w:vertAlign w:val="superscript"/>
        </w:rPr>
        <w:fldChar w:fldCharType="end"/>
      </w:r>
      <w:r w:rsidRPr="00A24306">
        <w:t>, Julian Rayner</w:t>
      </w:r>
      <w:r w:rsidR="00264F25">
        <w:rPr>
          <w:vertAlign w:val="superscript"/>
        </w:rPr>
        <w:fldChar w:fldCharType="begin"/>
      </w:r>
      <w:r w:rsidR="00630078">
        <w:instrText xml:space="preserve"> NOTEREF _Ref407025258 \f \h </w:instrText>
      </w:r>
      <w:r w:rsidR="00264F25">
        <w:rPr>
          <w:vertAlign w:val="superscript"/>
        </w:rPr>
      </w:r>
      <w:r w:rsidR="00264F25">
        <w:rPr>
          <w:vertAlign w:val="superscript"/>
        </w:rPr>
        <w:fldChar w:fldCharType="separate"/>
      </w:r>
      <w:r w:rsidR="00BE5D41" w:rsidRPr="00BE5D41">
        <w:rPr>
          <w:rStyle w:val="FootnoteReference"/>
        </w:rPr>
        <w:t>2</w:t>
      </w:r>
      <w:r w:rsidR="00264F25">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264F25">
        <w:rPr>
          <w:vertAlign w:val="superscript"/>
        </w:rPr>
        <w:fldChar w:fldCharType="begin"/>
      </w:r>
      <w:r w:rsidR="00630078">
        <w:instrText xml:space="preserve"> NOTEREF _Ref407025258 \f \h </w:instrText>
      </w:r>
      <w:r w:rsidR="00264F25">
        <w:rPr>
          <w:vertAlign w:val="superscript"/>
        </w:rPr>
      </w:r>
      <w:r w:rsidR="00264F25">
        <w:rPr>
          <w:vertAlign w:val="superscript"/>
        </w:rPr>
        <w:fldChar w:fldCharType="separate"/>
      </w:r>
      <w:r w:rsidR="00BE5D41" w:rsidRPr="00BE5D41">
        <w:rPr>
          <w:rStyle w:val="FootnoteReference"/>
        </w:rPr>
        <w:t>2</w:t>
      </w:r>
      <w:r w:rsidR="00264F25">
        <w:rPr>
          <w:vertAlign w:val="superscript"/>
        </w:rPr>
        <w:fldChar w:fldCharType="end"/>
      </w:r>
      <w:r w:rsidR="00630078">
        <w:rPr>
          <w:vertAlign w:val="superscript"/>
        </w:rPr>
        <w:t>,</w:t>
      </w:r>
      <w:r w:rsidR="00264F25">
        <w:rPr>
          <w:vertAlign w:val="superscript"/>
        </w:rPr>
        <w:fldChar w:fldCharType="begin"/>
      </w:r>
      <w:r w:rsidR="00630078">
        <w:rPr>
          <w:vertAlign w:val="superscript"/>
        </w:rPr>
        <w:instrText xml:space="preserve"> NOTEREF _Ref407025212 \f \h </w:instrText>
      </w:r>
      <w:r w:rsidR="00264F25">
        <w:rPr>
          <w:vertAlign w:val="superscript"/>
        </w:rPr>
      </w:r>
      <w:r w:rsidR="00264F25">
        <w:rPr>
          <w:vertAlign w:val="superscript"/>
        </w:rPr>
        <w:fldChar w:fldCharType="separate"/>
      </w:r>
      <w:r w:rsidR="00BE5D41" w:rsidRPr="00BE5D41">
        <w:rPr>
          <w:rStyle w:val="FootnoteReference"/>
        </w:rPr>
        <w:t>1</w:t>
      </w:r>
      <w:r w:rsidR="00264F25">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B513E5">
        <w:t>ate the value of thi</w:t>
      </w:r>
      <w:r w:rsidR="00D6625D">
        <w:t>s</w:t>
      </w:r>
      <w:r w:rsidR="00B513E5">
        <w:t xml:space="preserve"> resource</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264F25">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264F25">
        <w:fldChar w:fldCharType="separate"/>
      </w:r>
      <w:r w:rsidR="00194EE4" w:rsidRPr="00194EE4">
        <w:rPr>
          <w:noProof/>
        </w:rPr>
        <w:t>(Ashley et al. 2014)</w:t>
      </w:r>
      <w:r w:rsidR="00264F25">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264F25">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264F25">
        <w:fldChar w:fldCharType="separate"/>
      </w:r>
      <w:r w:rsidR="00CB6C32" w:rsidRPr="00CB6C32">
        <w:rPr>
          <w:noProof/>
        </w:rPr>
        <w:t>(Manske</w:t>
      </w:r>
      <w:r w:rsidR="00DB2FDB">
        <w:rPr>
          <w:noProof/>
        </w:rPr>
        <w:t>, Miotto</w:t>
      </w:r>
      <w:r w:rsidR="00CB6C32" w:rsidRPr="00CB6C32">
        <w:rPr>
          <w:noProof/>
        </w:rPr>
        <w:t xml:space="preserve"> et al., 2012; Miotto et al., 2013)</w:t>
      </w:r>
      <w:r w:rsidR="00264F25">
        <w:fldChar w:fldCharType="end"/>
      </w:r>
      <w:r w:rsidR="0066222C">
        <w:t xml:space="preserve">, </w:t>
      </w:r>
      <w:r w:rsidR="00DB2FDB">
        <w:t>the generation of antigenic diversity</w:t>
      </w:r>
      <w:r w:rsidR="00486677">
        <w:t xml:space="preserve"> </w:t>
      </w:r>
      <w:r w:rsidR="00DB2FDB">
        <w:t xml:space="preserve"> </w:t>
      </w:r>
      <w:r w:rsidR="00264F25">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264F25">
        <w:fldChar w:fldCharType="separate"/>
      </w:r>
      <w:r w:rsidR="00486677" w:rsidRPr="00486677">
        <w:rPr>
          <w:noProof/>
        </w:rPr>
        <w:t>(Claessens et al. 2014)</w:t>
      </w:r>
      <w:r w:rsidR="00264F25">
        <w:fldChar w:fldCharType="end"/>
      </w:r>
      <w:r w:rsidR="00DB2FDB">
        <w:t xml:space="preserve"> and </w:t>
      </w:r>
      <w:r w:rsidR="0066222C">
        <w:t xml:space="preserve">the genetic basis for artemisinin resistance </w:t>
      </w:r>
      <w:r w:rsidR="00264F25">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264F25">
        <w:fldChar w:fldCharType="separate"/>
      </w:r>
      <w:r w:rsidR="00194EE4" w:rsidRPr="00194EE4">
        <w:rPr>
          <w:noProof/>
        </w:rPr>
        <w:t>(Ariey et al. 2014)</w:t>
      </w:r>
      <w:r w:rsidR="00264F25">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264F25">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264F25">
        <w:fldChar w:fldCharType="separate"/>
      </w:r>
      <w:r w:rsidR="00194EE4" w:rsidRPr="00194EE4">
        <w:rPr>
          <w:noProof/>
        </w:rPr>
        <w:t>(Gardner et al. 2002)</w:t>
      </w:r>
      <w:r w:rsidR="00264F25">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264F25">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264F25">
        <w:fldChar w:fldCharType="separate"/>
      </w:r>
      <w:r w:rsidR="00194EE4" w:rsidRPr="00194EE4">
        <w:rPr>
          <w:noProof/>
        </w:rPr>
        <w:t>(Gardner et al. 2002; Zilversmit et al. 2010; Muralidharan &amp; Goldberg 2013; DePristo et al. 2006)</w:t>
      </w:r>
      <w:r w:rsidR="00264F25">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264F25">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264F25">
        <w:fldChar w:fldCharType="separate"/>
      </w:r>
      <w:r w:rsidR="00486677" w:rsidRPr="00486677">
        <w:rPr>
          <w:noProof/>
        </w:rPr>
        <w:t>(Bopp et al. 2013; Freitas-Junior et al. 2000; Claessens et al. 2014)</w:t>
      </w:r>
      <w:r w:rsidR="00264F25">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264F25">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264F25">
        <w:fldChar w:fldCharType="separate"/>
      </w:r>
      <w:r w:rsidR="00194EE4" w:rsidRPr="00194EE4">
        <w:rPr>
          <w:noProof/>
        </w:rPr>
        <w:t>(Roy et al. 2008)</w:t>
      </w:r>
      <w:r w:rsidR="00264F25">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264F25">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264F25">
        <w:fldChar w:fldCharType="separate"/>
      </w:r>
      <w:r w:rsidR="00194EE4" w:rsidRPr="00194EE4">
        <w:rPr>
          <w:noProof/>
        </w:rPr>
        <w:t>(Jeffares et al. 2007; Haerty &amp; Golding 2011; Tan et al. 2010)</w:t>
      </w:r>
      <w:r w:rsidR="00264F25">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264F25">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264F25">
        <w:fldChar w:fldCharType="separate"/>
      </w:r>
      <w:r w:rsidR="00123EBE" w:rsidRPr="00123EBE">
        <w:rPr>
          <w:noProof/>
        </w:rPr>
        <w:t>(Mok et al. 2014; Gonzales et al. 2008)</w:t>
      </w:r>
      <w:r w:rsidR="00264F25">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264F25">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264F25">
        <w:fldChar w:fldCharType="separate"/>
      </w:r>
      <w:r w:rsidR="00194EE4" w:rsidRPr="00194EE4">
        <w:rPr>
          <w:noProof/>
        </w:rPr>
        <w:t>(Robasky et al. 2014)</w:t>
      </w:r>
      <w:r w:rsidR="00264F25">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264F25">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264F25">
        <w:fldChar w:fldCharType="separate"/>
      </w:r>
      <w:r w:rsidR="00194EE4" w:rsidRPr="00194EE4">
        <w:rPr>
          <w:noProof/>
        </w:rPr>
        <w:t>(Saunders et al. 2007)</w:t>
      </w:r>
      <w:r w:rsidR="00264F25">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264F25">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264F25">
        <w:fldChar w:fldCharType="separate"/>
      </w:r>
      <w:r w:rsidR="00194EE4" w:rsidRPr="00194EE4">
        <w:rPr>
          <w:noProof/>
        </w:rPr>
        <w:t>(Walliker et al. 1987)</w:t>
      </w:r>
      <w:r w:rsidR="00264F25">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264F2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264F25">
        <w:fldChar w:fldCharType="separate"/>
      </w:r>
      <w:r w:rsidR="00194EE4" w:rsidRPr="00194EE4">
        <w:rPr>
          <w:noProof/>
        </w:rPr>
        <w:t>(Wellems et al. 1991)</w:t>
      </w:r>
      <w:r w:rsidR="00264F25">
        <w:fldChar w:fldCharType="end"/>
      </w:r>
      <w:r w:rsidR="00A72CFF">
        <w:t xml:space="preserve"> and host specificity </w:t>
      </w:r>
      <w:r w:rsidR="00264F2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264F25">
        <w:fldChar w:fldCharType="separate"/>
      </w:r>
      <w:r w:rsidR="00194EE4" w:rsidRPr="00194EE4">
        <w:rPr>
          <w:noProof/>
        </w:rPr>
        <w:t>(Hayton et al. 2008)</w:t>
      </w:r>
      <w:r w:rsidR="00264F25">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264F25">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264F25">
        <w:fldChar w:fldCharType="separate"/>
      </w:r>
      <w:r w:rsidR="00367A11" w:rsidRPr="00367A11">
        <w:rPr>
          <w:noProof/>
        </w:rPr>
        <w:t>(Ranford-Cartwright &amp; Mwangi 2012)</w:t>
      </w:r>
      <w:r w:rsidR="00264F25">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 xml:space="preserve">a </w:t>
      </w:r>
      <w:r w:rsidR="00AE2F47">
        <w:t xml:space="preserve">broad </w:t>
      </w:r>
      <w:r w:rsidR="0065235B">
        <w:t>range of genetic and phenotypic diversity</w:t>
      </w:r>
      <w:r w:rsidR="002453E7">
        <w:t xml:space="preserve"> </w:t>
      </w:r>
      <w:r w:rsidR="00264F25">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264F25">
        <w:fldChar w:fldCharType="separate"/>
      </w:r>
      <w:r w:rsidR="002453E7" w:rsidRPr="002453E7">
        <w:rPr>
          <w:noProof/>
        </w:rPr>
        <w:t>(Ranford-Cartwright &amp; Mwangi 2012)</w:t>
      </w:r>
      <w:r w:rsidR="00264F25">
        <w:fldChar w:fldCharType="end"/>
      </w:r>
      <w:r>
        <w:t xml:space="preserve">. We use a combination of methods for variant discovery, leveraging both alignment of sequence reads to the 3D7 reference genome </w:t>
      </w:r>
      <w:r w:rsidR="00264F25">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264F25">
        <w:fldChar w:fldCharType="separate"/>
      </w:r>
      <w:r w:rsidR="008F4EA1" w:rsidRPr="008F4EA1">
        <w:rPr>
          <w:noProof/>
        </w:rPr>
        <w:t>(DePristo et al. 2011; Li &amp; Durbin 2009; McKenna et al. 2010)</w:t>
      </w:r>
      <w:r w:rsidR="00264F25">
        <w:fldChar w:fldCharType="end"/>
      </w:r>
      <w:r w:rsidR="00194EE4">
        <w:t xml:space="preserve"> </w:t>
      </w:r>
      <w:r>
        <w:t>and reference-fre</w:t>
      </w:r>
      <w:r w:rsidR="00194EE4">
        <w:t xml:space="preserve">e sequence assembly </w:t>
      </w:r>
      <w:r w:rsidR="00264F25">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264F25">
        <w:fldChar w:fldCharType="separate"/>
      </w:r>
      <w:r w:rsidR="00194EE4" w:rsidRPr="00194EE4">
        <w:rPr>
          <w:noProof/>
        </w:rPr>
        <w:t>(Iqbal et al. 2012)</w:t>
      </w:r>
      <w:r w:rsidR="00264F25">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w:t>
      </w:r>
      <w:r>
        <w:lastRenderedPageBreak/>
        <w:t xml:space="preserve">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264F25">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264F25">
        <w:fldChar w:fldCharType="separate"/>
      </w:r>
      <w:r w:rsidR="00EE1931" w:rsidRPr="00EE1931">
        <w:rPr>
          <w:noProof/>
        </w:rPr>
        <w:t>(Su et al. 1999; Jiang et al. 2011; Walker-Jonah et al. 1992)</w:t>
      </w:r>
      <w:r w:rsidR="00264F25">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264F25">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264F25">
        <w:fldChar w:fldCharType="separate"/>
      </w:r>
      <w:r w:rsidR="009D296D" w:rsidRPr="009D296D">
        <w:rPr>
          <w:noProof/>
        </w:rPr>
        <w:t>(Su et al. 1999)</w:t>
      </w:r>
      <w:r w:rsidR="00264F25">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264F25">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264F25">
        <w:fldChar w:fldCharType="separate"/>
      </w:r>
      <w:r w:rsidR="006D6FCD" w:rsidRPr="006D6FCD">
        <w:rPr>
          <w:noProof/>
        </w:rPr>
        <w:t>(Samarakoon, Regier, et al. 2011)</w:t>
      </w:r>
      <w:r w:rsidR="00264F25">
        <w:fldChar w:fldCharType="end"/>
      </w:r>
      <w:r w:rsidR="009D296D">
        <w:t>. Previous studies have also</w:t>
      </w:r>
      <w:r w:rsidR="006E7EA9">
        <w:t xml:space="preserve"> demonstrated that at least some recombination events occur within coding regions </w:t>
      </w:r>
      <w:r w:rsidR="00264F25">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264F25">
        <w:fldChar w:fldCharType="separate"/>
      </w:r>
      <w:r w:rsidR="00EE1931" w:rsidRPr="00EE1931">
        <w:rPr>
          <w:noProof/>
        </w:rPr>
        <w:t>(Kerr et al. 1994)</w:t>
      </w:r>
      <w:r w:rsidR="00264F25">
        <w:fldChar w:fldCharType="end"/>
      </w:r>
      <w:r w:rsidR="00065004">
        <w:t xml:space="preserve"> and suggested that recombination events are not uniformly distributed </w:t>
      </w:r>
      <w:r w:rsidR="006E7EA9">
        <w:t xml:space="preserve">over the genome </w:t>
      </w:r>
      <w:r w:rsidR="00264F25">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264F25">
        <w:fldChar w:fldCharType="separate"/>
      </w:r>
      <w:r w:rsidR="00EE1931" w:rsidRPr="00EE1931">
        <w:rPr>
          <w:noProof/>
        </w:rPr>
        <w:t>(Jiang et al. 2011)</w:t>
      </w:r>
      <w:r w:rsidR="00264F25">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264F25">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264F25">
        <w:fldChar w:fldCharType="separate"/>
      </w:r>
      <w:r w:rsidR="00EE1931" w:rsidRPr="00EE1931">
        <w:rPr>
          <w:noProof/>
        </w:rPr>
        <w:t>(Wellems et al. 1990; Samarakoon, Gonzales, et al. 2011)</w:t>
      </w:r>
      <w:r w:rsidR="00264F25">
        <w:fldChar w:fldCharType="end"/>
      </w:r>
      <w:r w:rsidR="006E7EA9">
        <w:t xml:space="preserve">. </w:t>
      </w:r>
      <w:r w:rsidR="001C4E6F">
        <w:t>We find evidence for crossover recombination within these amplifications leading to regions of pseudo-heterozygosity wi</w:t>
      </w:r>
      <w:r w:rsidR="00AE2F47">
        <w:t xml:space="preserve">thin progeny clones. This has </w:t>
      </w:r>
      <w:r w:rsidR="001C4E6F">
        <w:t>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264F25">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264F25">
        <w:fldChar w:fldCharType="separate"/>
      </w:r>
      <w:r w:rsidR="007A475F" w:rsidRPr="007A475F">
        <w:rPr>
          <w:noProof/>
        </w:rPr>
        <w:t>(Walliker et al. 1987)</w:t>
      </w:r>
      <w:r w:rsidR="00264F25">
        <w:fldChar w:fldCharType="end"/>
      </w:r>
      <w:r w:rsidR="007A475F">
        <w:t xml:space="preserve">, HB3×Dd2 </w:t>
      </w:r>
      <w:r w:rsidR="00264F25">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264F25">
        <w:fldChar w:fldCharType="separate"/>
      </w:r>
      <w:r w:rsidR="007A475F" w:rsidRPr="007A475F">
        <w:rPr>
          <w:noProof/>
        </w:rPr>
        <w:t>(Wellems et al. 1990; Wellems et al. 1991)</w:t>
      </w:r>
      <w:r w:rsidR="00264F25">
        <w:fldChar w:fldCharType="end"/>
      </w:r>
      <w:r w:rsidR="007A475F">
        <w:t xml:space="preserve"> and 7G8×GB4 </w:t>
      </w:r>
      <w:r w:rsidR="00264F25">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264F25">
        <w:fldChar w:fldCharType="separate"/>
      </w:r>
      <w:r w:rsidR="007A475F" w:rsidRPr="007A475F">
        <w:rPr>
          <w:noProof/>
        </w:rPr>
        <w:t>(Hayton et al. 2008)</w:t>
      </w:r>
      <w:r w:rsidR="00264F25">
        <w:fldChar w:fldCharType="end"/>
      </w:r>
      <w:r>
        <w:t xml:space="preserve"> were sequenced using Illumina high throughput technology, with the majority of samples obtai</w:t>
      </w:r>
      <w:r w:rsidR="00B513E5">
        <w:t>ning an average depth above 100X</w:t>
      </w:r>
      <w:r w:rsidR="00A74395">
        <w:t xml:space="preserve"> (Table S1</w:t>
      </w:r>
      <w:r w:rsidR="004169E9">
        <w:t>)</w:t>
      </w:r>
      <w:r>
        <w:t xml:space="preserve">. All DNA libraries were derived from haploid parasite clones in culture, and sufficient DNA was available to use PCR-free library preparation throughout, which has </w:t>
      </w:r>
      <w:r>
        <w:lastRenderedPageBreak/>
        <w:t xml:space="preserve">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264F25">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264F25">
        <w:fldChar w:fldCharType="separate"/>
      </w:r>
      <w:r w:rsidR="00334433" w:rsidRPr="00334433">
        <w:rPr>
          <w:noProof/>
        </w:rPr>
        <w:t>(Kozarewa et al. 2009)</w:t>
      </w:r>
      <w:r w:rsidR="00264F25">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264F25">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264F25">
        <w:fldChar w:fldCharType="separate"/>
      </w:r>
      <w:r w:rsidR="007D71A9" w:rsidRPr="007D71A9">
        <w:rPr>
          <w:noProof/>
        </w:rPr>
        <w:t>(Fang et al. 2014)</w:t>
      </w:r>
      <w:r w:rsidR="00264F25">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A74395">
        <w:t xml:space="preserve">Supplementary Information; Figures S1-S3; </w:t>
      </w:r>
      <w:r w:rsidR="00B1349E">
        <w:t xml:space="preserve">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264F25">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264F25">
        <w:fldChar w:fldCharType="separate"/>
      </w:r>
      <w:r w:rsidR="00486677" w:rsidRPr="00486677">
        <w:rPr>
          <w:noProof/>
        </w:rPr>
        <w:t>(Bopp et al. 2013; Claessens et al. 2014)</w:t>
      </w:r>
      <w:r w:rsidR="00264F25">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264F25">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264F25">
        <w:fldChar w:fldCharType="separate"/>
      </w:r>
      <w:r w:rsidR="001C68E4" w:rsidRPr="001C68E4">
        <w:rPr>
          <w:noProof/>
        </w:rPr>
        <w:t>(Flueck et al. 2009)</w:t>
      </w:r>
      <w:r w:rsidR="00264F25">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proofErr w:type="gramStart"/>
      <w:r w:rsidR="00FB2301">
        <w:t>,</w:t>
      </w:r>
      <w:proofErr w:type="gramEnd"/>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D3722C">
      <w:pPr>
        <w:pStyle w:val="Heading2"/>
      </w:pPr>
      <w:r>
        <w:lastRenderedPageBreak/>
        <w:t xml:space="preserve">SNP, </w:t>
      </w:r>
      <w:r w:rsidR="00F230BE">
        <w:t>INDEL</w:t>
      </w:r>
      <w:r>
        <w:t xml:space="preserve"> and complex variation</w:t>
      </w:r>
      <w:r w:rsidR="00092516">
        <w:t xml:space="preserve"> within the core genome</w:t>
      </w:r>
    </w:p>
    <w:p w:rsidR="000118A7"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264F25">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264F25">
        <w:fldChar w:fldCharType="separate"/>
      </w:r>
      <w:r w:rsidR="008509AB" w:rsidRPr="008509AB">
        <w:rPr>
          <w:noProof/>
        </w:rPr>
        <w:t>(DePristo et al. 2011; Li &amp; Durbin 2009)</w:t>
      </w:r>
      <w:r w:rsidR="00264F25">
        <w:fldChar w:fldCharType="end"/>
      </w:r>
      <w:r>
        <w:t xml:space="preserve">, the other based on partial assembly of sequence reads and comparison of assembled contigs </w:t>
      </w:r>
      <w:r w:rsidR="00264F25">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264F25">
        <w:fldChar w:fldCharType="separate"/>
      </w:r>
      <w:r w:rsidR="0077147F" w:rsidRPr="0077147F">
        <w:rPr>
          <w:noProof/>
        </w:rPr>
        <w:t>(Iqbal et al. 2012)</w:t>
      </w:r>
      <w:r w:rsidR="00264F25">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F551F4">
        <w:t>M</w:t>
      </w:r>
      <w:r w:rsidR="008A5CF4">
        <w:t xml:space="preserve">ethods and </w:t>
      </w:r>
      <w:r w:rsidR="00F551F4">
        <w:t>S</w:t>
      </w:r>
      <w:r>
        <w:t xml:space="preserve">upplementary </w:t>
      </w:r>
      <w:r w:rsidR="00F551F4">
        <w:t>I</w:t>
      </w:r>
      <w:r>
        <w:t>nformation</w:t>
      </w:r>
      <w:r w:rsidR="00A74395">
        <w:t>; Figures S4-S7</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A74395">
        <w:t>Table S2</w:t>
      </w:r>
      <w:r w:rsidR="004177B6">
        <w:t>)</w:t>
      </w:r>
      <w:r w:rsidR="00F551F4">
        <w:t xml:space="preserve"> </w:t>
      </w:r>
      <w:r w:rsidR="00A74395">
        <w:t>demonstrating</w:t>
      </w:r>
      <w:r w:rsidR="00F551F4">
        <w:t xml:space="preserve">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A74395">
        <w:t>s (Figure S8</w:t>
      </w:r>
      <w:r w:rsidR="00F551F4">
        <w:t>)</w:t>
      </w:r>
      <w:r w:rsidR="004177B6">
        <w:t xml:space="preserve"> or comparing results of the two variant calling methods</w:t>
      </w:r>
      <w:r w:rsidR="00F551F4">
        <w:t xml:space="preserve"> (Figure</w:t>
      </w:r>
      <w:r w:rsidR="00A74395">
        <w:t>s</w:t>
      </w:r>
      <w:r w:rsidR="00F551F4">
        <w:t xml:space="preserve"> S</w:t>
      </w:r>
      <w:r w:rsidR="00A74395">
        <w:t>6 and S7</w:t>
      </w:r>
      <w:r w:rsidR="00F551F4">
        <w:t>)</w:t>
      </w:r>
      <w:r w:rsidR="004177B6">
        <w:t>.</w:t>
      </w:r>
      <w:r w:rsidR="00BC5A53">
        <w:t xml:space="preserve"> </w:t>
      </w:r>
    </w:p>
    <w:p w:rsidR="000118A7" w:rsidRDefault="00224F6A" w:rsidP="00831572">
      <w:r>
        <w:t xml:space="preserve">The near-perfect reproducibility, concordance </w:t>
      </w:r>
      <w:r w:rsidR="001865B1">
        <w:t>between calling methods and</w:t>
      </w:r>
      <w:r w:rsidR="000C7198">
        <w:t xml:space="preserve"> </w:t>
      </w:r>
      <w:r>
        <w:t xml:space="preserve">highly parsimonious patterns of inheritance and recombination indicate that variants </w:t>
      </w:r>
      <w:r w:rsidR="001865B1">
        <w:t xml:space="preserve">discovered here </w:t>
      </w:r>
      <w:r>
        <w:t xml:space="preserve">correspond to genuine genetic differences </w:t>
      </w:r>
      <w:r w:rsidR="001865B1">
        <w:t>segregating within the crosses</w:t>
      </w:r>
      <w:r>
        <w:t xml:space="preserve">. </w:t>
      </w:r>
      <w:r w:rsidR="001865B1">
        <w:t xml:space="preserve">However, some variants may be false discoveries, in the sense that the variant allele is not correctly ascertained. </w:t>
      </w:r>
      <w:r w:rsidR="00BC5A53">
        <w:t>To estimate rates of false discovery and sensitivity we compared variant</w:t>
      </w:r>
      <w:r w:rsidR="000C7198">
        <w:t xml:space="preserve"> allele</w:t>
      </w:r>
      <w:r w:rsidR="00BC5A53">
        <w:t xml:space="preserve">s called in each of the HB3 replicates with the HB3 draft assembly </w:t>
      </w:r>
      <w:r w:rsidR="00264F25">
        <w:fldChar w:fldCharType="begin" w:fldLock="1"/>
      </w:r>
      <w:r w:rsidR="00BC5A53">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264F25">
        <w:fldChar w:fldCharType="separate"/>
      </w:r>
      <w:r w:rsidR="00BC5A53" w:rsidRPr="00E23718">
        <w:rPr>
          <w:noProof/>
        </w:rPr>
        <w:t>(Birren et al. 2006)</w:t>
      </w:r>
      <w:r w:rsidR="00264F25">
        <w:fldChar w:fldCharType="end"/>
      </w:r>
      <w:r w:rsidR="00BC5A53">
        <w:t xml:space="preserve"> and publicly available HB3 gene sequences (Supplementary Information). </w:t>
      </w:r>
      <w:r w:rsidR="00D1018D">
        <w:t>We estimated a SNP FDR between 0.6-2.7% for the alignment-based calling method and between 0.0-</w:t>
      </w:r>
      <w:proofErr w:type="gramStart"/>
      <w:r w:rsidR="00D1018D">
        <w:t>1.1%</w:t>
      </w:r>
      <w:proofErr w:type="gramEnd"/>
      <w:r w:rsidR="00D1018D">
        <w:t xml:space="preserve"> for the assembly</w:t>
      </w:r>
      <w:r w:rsidR="00A74395">
        <w:t>-based calling method (Table S4</w:t>
      </w:r>
      <w:r w:rsidR="00D1018D">
        <w:t>). INDEL FDR estimates were higher for both calling methods, in the range 8.3-12.5%</w:t>
      </w:r>
      <w:r w:rsidR="00A74395">
        <w:t>, however we noted a number of discordances between previously published sequences, making accurate FDR estimation difficult</w:t>
      </w:r>
      <w:r w:rsidR="000118A7">
        <w:t xml:space="preserve"> (Supplementary Information)</w:t>
      </w:r>
      <w:r w:rsidR="00D1018D">
        <w:t>.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particularly for the assembly-based calling method (Table</w:t>
      </w:r>
      <w:r w:rsidR="00A74395">
        <w:t xml:space="preserve"> S4</w:t>
      </w:r>
      <w:r w:rsidR="007A3B6B">
        <w:t xml:space="preserve">). </w:t>
      </w:r>
      <w:r w:rsidR="00CF2092">
        <w:t>This lower sensitivity was partly due to the fact that the assembly-based calling method was only capable of genotyping biallelic var</w:t>
      </w:r>
      <w:r w:rsidR="000118A7">
        <w:t>iants. All segregating variants</w:t>
      </w:r>
      <w:r w:rsidR="00CF2092">
        <w:t xml:space="preserve"> in the 3D7xHB3 cross </w:t>
      </w:r>
      <w:r w:rsidR="000118A7">
        <w:t>are</w:t>
      </w:r>
      <w:r w:rsidR="00CF2092">
        <w:t xml:space="preserve"> expected to be biallelic because 3D7 is the reference clone, however segregating variation in the HB3xDd2 and 7G8xGB4 crosses could be multiallelic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0118A7">
        <w:t xml:space="preserve">at least in part </w:t>
      </w:r>
      <w:r w:rsidR="003B428E">
        <w:t>for the lower number of segregating INDELs discovered in the HB3xDd2 and 7G8xGB4 crosses compared with 3D7xHB3 (</w:t>
      </w:r>
      <w:r>
        <w:t>T</w:t>
      </w:r>
      <w:r w:rsidR="003B428E">
        <w:t xml:space="preserve">able 1). </w:t>
      </w:r>
    </w:p>
    <w:p w:rsidR="00BC5A53" w:rsidRDefault="00BC5A53" w:rsidP="00831572">
      <w:r>
        <w:lastRenderedPageBreak/>
        <w:t>To provide the greatest possible resolution for the present study, filtered variants called by each method were combined into a singl</w:t>
      </w:r>
      <w:r w:rsidR="00CF2092">
        <w:t>e call set for each cross (M</w:t>
      </w:r>
      <w:r>
        <w:t>ethods</w:t>
      </w:r>
      <w:r w:rsidR="00CF2092">
        <w:t xml:space="preserve"> and Supplementary Information</w:t>
      </w:r>
      <w:r>
        <w:t>). All variant calls can be downloaded from a public FTP site</w:t>
      </w:r>
      <w:r w:rsidR="00224F6A">
        <w:rPr>
          <w:rStyle w:val="FootnoteReference"/>
        </w:rPr>
        <w:footnoteReference w:id="12"/>
      </w:r>
      <w:r>
        <w:t xml:space="preserve"> or browsed via the web application at </w:t>
      </w:r>
      <w:hyperlink r:id="rId8" w:history="1">
        <w:r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0118A7">
        <w:t xml:space="preserve"> in all three crosses (T</w:t>
      </w:r>
      <w:r w:rsidR="00107FF0">
        <w: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264F25">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264F25">
        <w:fldChar w:fldCharType="separate"/>
      </w:r>
      <w:r w:rsidR="006E6764" w:rsidRPr="006E6764">
        <w:rPr>
          <w:noProof/>
        </w:rPr>
        <w:t>(Chen et al. 2009)</w:t>
      </w:r>
      <w:r w:rsidR="00264F25">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 xml:space="preserve">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spellStart"/>
      <w:proofErr w:type="gramEnd"/>
      <w:r w:rsidR="00FE0FEE">
        <w:t>asparagine</w:t>
      </w:r>
      <w:proofErr w:type="spellEnd"/>
      <w:r w:rsidR="00FE0FEE">
        <w:t>) tracts</w:t>
      </w:r>
      <w:r w:rsidR="00F23B0D">
        <w:t xml:space="preserve"> (</w:t>
      </w:r>
      <w:r w:rsidR="001865B1">
        <w:t>F</w:t>
      </w:r>
      <w:r w:rsidR="00F23B0D">
        <w:t>igure 1B)</w:t>
      </w:r>
      <w:r w:rsidR="00FE0FEE">
        <w:t xml:space="preserve">. Tandem repeat sequences are prone to slipped strand mis-pairing during DNA replication </w:t>
      </w:r>
      <w:r w:rsidR="00264F25">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264F25">
        <w:fldChar w:fldCharType="separate"/>
      </w:r>
      <w:r w:rsidR="00E3669F" w:rsidRPr="00E3669F">
        <w:rPr>
          <w:noProof/>
        </w:rPr>
        <w:t>(Li et al. 2002; Lovett 2004)</w:t>
      </w:r>
      <w:r w:rsidR="00264F25">
        <w:fldChar w:fldCharType="end"/>
      </w:r>
      <w:r w:rsidR="00FE0FEE">
        <w:t xml:space="preserve"> and are known to be associated with high rates of </w:t>
      </w:r>
      <w:r w:rsidR="00F230BE">
        <w:t>INDEL</w:t>
      </w:r>
      <w:r w:rsidR="00FE0FEE">
        <w:t xml:space="preserve"> mutat</w:t>
      </w:r>
      <w:r w:rsidR="00F230BE">
        <w:t xml:space="preserve">ion </w:t>
      </w:r>
      <w:r w:rsidR="00264F25">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264F25">
        <w:fldChar w:fldCharType="separate"/>
      </w:r>
      <w:r w:rsidR="00F230BE" w:rsidRPr="00F230BE">
        <w:rPr>
          <w:noProof/>
        </w:rPr>
        <w:t>(Montgomery et al. 2013)</w:t>
      </w:r>
      <w:r w:rsidR="00264F25">
        <w:fldChar w:fldCharType="end"/>
      </w:r>
      <w:r w:rsidR="00FE0FEE">
        <w:t xml:space="preserve">. Poly(AT) repeats are very common in the non-coding regions of the </w:t>
      </w:r>
      <w:r w:rsidR="00FE0FEE" w:rsidRPr="00720774">
        <w:rPr>
          <w:i/>
        </w:rPr>
        <w:t>P. falciparum</w:t>
      </w:r>
      <w:r w:rsidR="00F230BE">
        <w:t xml:space="preserve"> genome </w:t>
      </w:r>
      <w:r w:rsidR="00264F25">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264F25">
        <w:fldChar w:fldCharType="separate"/>
      </w:r>
      <w:r w:rsidR="00F230BE" w:rsidRPr="00F230BE">
        <w:rPr>
          <w:noProof/>
        </w:rPr>
        <w:t>(Gardner et al. 2002)</w:t>
      </w:r>
      <w:r w:rsidR="00264F25">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264F25">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264F25">
        <w:fldChar w:fldCharType="separate"/>
      </w:r>
      <w:r w:rsidR="004A3C93" w:rsidRPr="004A3C93">
        <w:rPr>
          <w:noProof/>
        </w:rPr>
        <w:t>(Muralidharan &amp; Goldberg 2013; Tan et al. 2010)</w:t>
      </w:r>
      <w:r w:rsidR="00264F25">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w:t>
      </w:r>
      <w:r w:rsidR="000118A7">
        <w:t>Here</w:t>
      </w:r>
      <w:r>
        <w:t xml:space="preserve">,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264F25">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264F25">
        <w:fldChar w:fldCharType="separate"/>
      </w:r>
      <w:r w:rsidR="001C4C7D" w:rsidRPr="001C4C7D">
        <w:rPr>
          <w:noProof/>
        </w:rPr>
        <w:t xml:space="preserve">Brick et al. </w:t>
      </w:r>
      <w:r w:rsidR="0016550F">
        <w:rPr>
          <w:noProof/>
        </w:rPr>
        <w:t>(</w:t>
      </w:r>
      <w:r w:rsidR="001C4C7D" w:rsidRPr="001C4C7D">
        <w:rPr>
          <w:noProof/>
        </w:rPr>
        <w:t>2008)</w:t>
      </w:r>
      <w:r w:rsidR="00264F25">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w:t>
      </w:r>
      <w:r w:rsidR="00C24746">
        <w:t>F</w:t>
      </w:r>
      <w:r>
        <w:t>igure</w:t>
      </w:r>
      <w:r w:rsidR="001C4C7D">
        <w:t xml:space="preserve"> 1C</w:t>
      </w:r>
      <w:r>
        <w:t xml:space="preserve">). Further </w:t>
      </w:r>
      <w:r>
        <w:lastRenderedPageBreak/>
        <w:t xml:space="preserve">experimental work will be required to determine whether these </w:t>
      </w:r>
      <w:r w:rsidR="00F230BE">
        <w:t>INDEL</w:t>
      </w:r>
      <w:r>
        <w:t>s have any impact on promoter activity</w:t>
      </w:r>
      <w:r w:rsidR="00A4677A">
        <w:t>.</w:t>
      </w:r>
    </w:p>
    <w:p w:rsidR="00A4677A" w:rsidRDefault="00D246DE" w:rsidP="00D3722C">
      <w:pPr>
        <w:pStyle w:val="Heading3"/>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0C7198">
        <w:t>)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264F25">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264F25">
        <w:fldChar w:fldCharType="separate"/>
      </w:r>
      <w:r w:rsidR="00ED25D2" w:rsidRPr="00ED25D2">
        <w:rPr>
          <w:noProof/>
        </w:rPr>
        <w:t>(Ferreira et al. 2003)</w:t>
      </w:r>
      <w:r w:rsidR="00264F25">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rsidR="000118A7">
        <w:t>9</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264F25">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264F25">
        <w:fldChar w:fldCharType="separate"/>
      </w:r>
      <w:r w:rsidR="00ED25D2" w:rsidRPr="00ED25D2">
        <w:rPr>
          <w:noProof/>
        </w:rPr>
        <w:t>(Ferreira et al. 2003)</w:t>
      </w:r>
      <w:r w:rsidR="00264F25">
        <w:fldChar w:fldCharType="end"/>
      </w:r>
      <w:r>
        <w:t xml:space="preserve">) as </w:t>
      </w:r>
      <w:r w:rsidR="009255D4">
        <w:t xml:space="preserve">verified </w:t>
      </w:r>
      <w:r>
        <w:t xml:space="preserve">by comparison with </w:t>
      </w:r>
      <w:r w:rsidR="000118A7">
        <w:t>publicly available</w:t>
      </w:r>
      <w:r>
        <w:t xml:space="preserve"> </w:t>
      </w:r>
      <w:r w:rsidR="000118A7">
        <w:t xml:space="preserve">capillary </w:t>
      </w:r>
      <w:r>
        <w:t>sequence data</w:t>
      </w:r>
      <w:r w:rsidR="000118A7">
        <w:t xml:space="preserve"> for clone HB3</w:t>
      </w:r>
      <w:r>
        <w:t>.</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r w:rsidR="00EE0300" w:rsidRPr="00EE0300">
        <w:rPr>
          <w:i/>
        </w:rPr>
        <w:t>dblmsp</w:t>
      </w:r>
      <w:r w:rsidR="009255D4" w:rsidRPr="00EE0300">
        <w:rPr>
          <w:i/>
        </w:rPr>
        <w:t>2</w:t>
      </w:r>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264F25">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264F25">
        <w:fldChar w:fldCharType="separate"/>
      </w:r>
      <w:r w:rsidR="006018E2" w:rsidRPr="006018E2">
        <w:rPr>
          <w:noProof/>
        </w:rPr>
        <w:t>(Lasonder et al. 2008)</w:t>
      </w:r>
      <w:r w:rsidR="00264F25">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w:t>
      </w:r>
      <w:r w:rsidR="00316BAD">
        <w:lastRenderedPageBreak/>
        <w:t>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w:t>
      </w:r>
      <w:r w:rsidR="000118A7">
        <w:t xml:space="preserve">at least </w:t>
      </w:r>
      <w:r w:rsidR="00936076">
        <w:t xml:space="preserve">an order of magnitude greater resolution than available </w:t>
      </w:r>
      <w:r w:rsidR="00320E71">
        <w:t>previously</w:t>
      </w:r>
      <w:r w:rsidR="004357C6">
        <w:t xml:space="preserve"> </w:t>
      </w:r>
      <w:r w:rsidR="00264F25">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264F25">
        <w:fldChar w:fldCharType="separate"/>
      </w:r>
      <w:r w:rsidR="004357C6" w:rsidRPr="004357C6">
        <w:rPr>
          <w:noProof/>
        </w:rPr>
        <w:t>(Jiang et al. 2011)</w:t>
      </w:r>
      <w:r w:rsidR="00264F25">
        <w:fldChar w:fldCharType="end"/>
      </w:r>
      <w:r w:rsidR="00936076">
        <w:t>. In eukaryotes, programmed double strand breaks (DSBs) during meiosis are resolved by either crossover (CO) or non-crossover (NCO) between</w:t>
      </w:r>
      <w:r w:rsidR="004357C6">
        <w:t xml:space="preserve"> homologous chromosomes </w:t>
      </w:r>
      <w:r w:rsidR="00264F25">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264F25">
        <w:fldChar w:fldCharType="separate"/>
      </w:r>
      <w:r w:rsidR="00C03BD9" w:rsidRPr="00C03BD9">
        <w:rPr>
          <w:noProof/>
        </w:rPr>
        <w:t>(Hastings 1992; Youds &amp; Boulton 2011; Mancera et al. 2008; Baudat &amp; de Massy 2007)</w:t>
      </w:r>
      <w:r w:rsidR="00264F25">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F1438E">
        <w:t xml:space="preserve">Figure 1 in </w:t>
      </w:r>
      <w:r w:rsidR="00264F25">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264F25">
        <w:fldChar w:fldCharType="separate"/>
      </w:r>
      <w:r w:rsidR="00684E88" w:rsidRPr="00684E88">
        <w:rPr>
          <w:noProof/>
        </w:rPr>
        <w:t xml:space="preserve">Youds &amp; Boulton </w:t>
      </w:r>
      <w:r w:rsidR="00684E88">
        <w:rPr>
          <w:noProof/>
        </w:rPr>
        <w:t>(</w:t>
      </w:r>
      <w:r w:rsidR="00684E88" w:rsidRPr="00684E88">
        <w:rPr>
          <w:noProof/>
        </w:rPr>
        <w:t>2011</w:t>
      </w:r>
      <w:r w:rsidR="00264F25">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 </w:t>
      </w:r>
      <w:r w:rsidR="00936076">
        <w:t xml:space="preserve">and complex conversion tracts </w:t>
      </w:r>
      <w:r w:rsidR="004A3C93">
        <w:t>(</w:t>
      </w:r>
      <w:r w:rsidR="00A50A39">
        <w:t>containing</w:t>
      </w:r>
      <w:r w:rsidR="004A3C93">
        <w:t xml:space="preserve"> switches between parental alleles) </w:t>
      </w:r>
      <w:r w:rsidR="00936076">
        <w:t xml:space="preserve">(see </w:t>
      </w:r>
      <w:r w:rsidR="00F1438E">
        <w:t>M</w:t>
      </w:r>
      <w:r w:rsidR="00936076">
        <w:t>ethods</w:t>
      </w:r>
      <w:r w:rsidR="000118A7">
        <w:t xml:space="preserve"> and Supplementary Information</w:t>
      </w:r>
      <w:r w:rsidR="00936076">
        <w:t xml:space="preserve">).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0118A7">
        <w:t>S11</w:t>
      </w:r>
      <w:r w:rsidR="00F1438E">
        <w:t>)</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w:t>
      </w:r>
      <w:r w:rsidR="00873A32">
        <w:t>F</w:t>
      </w:r>
      <w:r w:rsidR="00C82549">
        <w:t>igure 3</w:t>
      </w:r>
      <w:r>
        <w:t xml:space="preserve">A). There was a strong linear correlation between chromosome size and CO recombination rate, with a rate of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264F25">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264F25">
        <w:fldChar w:fldCharType="separate"/>
      </w:r>
      <w:r w:rsidR="006469F3" w:rsidRPr="006469F3">
        <w:rPr>
          <w:noProof/>
        </w:rPr>
        <w:t>(Baudat &amp; de Massy 2007; Martinez-Perez &amp; Colaiácovo 2009; Mancera et al. 2008)</w:t>
      </w:r>
      <w:r w:rsidR="00264F25">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264F25">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264F25">
        <w:fldChar w:fldCharType="separate"/>
      </w:r>
      <w:r w:rsidR="00811543" w:rsidRPr="00811543">
        <w:rPr>
          <w:noProof/>
        </w:rPr>
        <w:t>(Jiang et al. 2011)</w:t>
      </w:r>
      <w:r w:rsidR="00264F25">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w:t>
      </w:r>
      <w:r>
        <w:lastRenderedPageBreak/>
        <w:t xml:space="preserve">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264F25">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264F25">
        <w:fldChar w:fldCharType="separate"/>
      </w:r>
      <w:r w:rsidR="00667FE0" w:rsidRPr="00667FE0">
        <w:rPr>
          <w:noProof/>
        </w:rPr>
        <w:t>(Myers et al. 2005)</w:t>
      </w:r>
      <w:r w:rsidR="00264F25">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Of the 331 conversion tracts observed, an outlying group of 7 very long (</w:t>
      </w:r>
      <w:r w:rsidR="007A4A23">
        <w:t>&gt;18kb) complex tracts was found</w:t>
      </w:r>
      <w:r>
        <w:t xml:space="preserve"> </w:t>
      </w:r>
      <w:r w:rsidR="007A4A23">
        <w:t>(</w:t>
      </w:r>
      <w:r>
        <w:t xml:space="preserve">described further </w:t>
      </w:r>
      <w:r w:rsidR="00C44746">
        <w:t>below</w:t>
      </w:r>
      <w:r w:rsidR="007A4A23">
        <w:t>)</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264F25">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264F25">
        <w:fldChar w:fldCharType="separate"/>
      </w:r>
      <w:r w:rsidR="008C28A7" w:rsidRPr="008C28A7">
        <w:rPr>
          <w:noProof/>
        </w:rPr>
        <w:t>(Hilliker et al. 1994)</w:t>
      </w:r>
      <w:r w:rsidR="00264F25">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w:t>
      </w:r>
      <w:r w:rsidR="00873A32">
        <w:t>F</w:t>
      </w:r>
      <w:r w:rsidR="00C97C07">
        <w:t>igure 3</w:t>
      </w:r>
      <w:r>
        <w:t xml:space="preserve">F) however the correlation was weaker than for the CO recombination rate, presumably due to the fewer number of observed NCO events and thus greater </w:t>
      </w:r>
      <w:r>
        <w:lastRenderedPageBreak/>
        <w:t>sampling error. As with CO events there was a significant enrichment of NCO events within genes (P=0.002 by Monte Ca</w:t>
      </w:r>
      <w:r w:rsidR="00EC0BBF">
        <w:t>rlo simulation) with 37 (16%)</w:t>
      </w:r>
      <w:r>
        <w:t xml:space="preserve"> </w:t>
      </w:r>
      <w:proofErr w:type="gramStart"/>
      <w:r>
        <w:t>NCO conversion tracts falling entirely within a gene, 110 (48%) spanning a gene boundary, 35 (15%) entirely spanning a gene, and 14 (6%) intergenic.</w:t>
      </w:r>
      <w:proofErr w:type="gramEnd"/>
      <w:r>
        <w:t xml:space="preserve">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7A4A23">
        <w:t>Figure S12</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7A4A23">
        <w:t>Figure S12</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264F25">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264F25">
        <w:fldChar w:fldCharType="separate"/>
      </w:r>
      <w:r w:rsidR="00C44746" w:rsidRPr="006469F3">
        <w:rPr>
          <w:noProof/>
        </w:rPr>
        <w:t>(Mancera et al. 2008)</w:t>
      </w:r>
      <w:r w:rsidR="00264F25">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homologue </w:t>
      </w:r>
      <w:r w:rsidR="00CC26CD">
        <w:rPr>
          <w:i/>
        </w:rPr>
        <w:t xml:space="preserve">mdr1 </w:t>
      </w:r>
      <w:r>
        <w:t xml:space="preserve">which confers </w:t>
      </w:r>
      <w:proofErr w:type="spellStart"/>
      <w:r>
        <w:t>mefloquine</w:t>
      </w:r>
      <w:proofErr w:type="spellEnd"/>
      <w:r>
        <w:t xml:space="preserve"> resistance </w:t>
      </w:r>
      <w:r w:rsidR="00264F25">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264F25">
        <w:fldChar w:fldCharType="separate"/>
      </w:r>
      <w:r w:rsidRPr="0069322E">
        <w:rPr>
          <w:noProof/>
        </w:rPr>
        <w:t>(Cowman et al. 1994)</w:t>
      </w:r>
      <w:r w:rsidR="00264F25">
        <w:fldChar w:fldCharType="end"/>
      </w:r>
      <w:r>
        <w:t>. This amplification is</w:t>
      </w:r>
      <w:r w:rsidR="00A87178">
        <w:t xml:space="preserve"> </w:t>
      </w:r>
      <w:r w:rsidR="00C7335B">
        <w:t xml:space="preserve">also </w:t>
      </w:r>
      <w:r w:rsidR="00A87178">
        <w:t>known to segregate in</w:t>
      </w:r>
      <w:r w:rsidR="00766CC9">
        <w:t xml:space="preserve"> the progeny of HB3xDd2 </w:t>
      </w:r>
      <w:r w:rsidR="00264F25">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264F25">
        <w:fldChar w:fldCharType="separate"/>
      </w:r>
      <w:r w:rsidR="00686F39" w:rsidRPr="00686F39">
        <w:rPr>
          <w:noProof/>
        </w:rPr>
        <w:t>(Wellems et al. 1990)</w:t>
      </w:r>
      <w:r w:rsidR="00264F25">
        <w:fldChar w:fldCharType="end"/>
      </w:r>
      <w:r w:rsidR="00686F39">
        <w:t xml:space="preserve"> with evidence for meiotic recombination within the amplified region in two progeny clones </w:t>
      </w:r>
      <w:r w:rsidR="00264F25">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264F25">
        <w:fldChar w:fldCharType="separate"/>
      </w:r>
      <w:r w:rsidR="00686F39" w:rsidRPr="00686F39">
        <w:rPr>
          <w:noProof/>
        </w:rPr>
        <w:t>(Samarakoon, Gonzales, et al. 2011)</w:t>
      </w:r>
      <w:r w:rsidR="00264F25">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264F25">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264F25">
        <w:fldChar w:fldCharType="separate"/>
      </w:r>
      <w:r w:rsidRPr="0069322E">
        <w:rPr>
          <w:noProof/>
        </w:rPr>
        <w:t>(Kidgell et al. 2006; Heinberg et al. 2013)</w:t>
      </w:r>
      <w:r w:rsidR="00264F25">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264F25">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264F25">
        <w:fldChar w:fldCharType="separate"/>
      </w:r>
      <w:r w:rsidR="00766CC9" w:rsidRPr="00766CC9">
        <w:rPr>
          <w:noProof/>
        </w:rPr>
        <w:t>(Samarakoon, Gonzales, et al. 2011)</w:t>
      </w:r>
      <w:r w:rsidR="00264F25">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264F25">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264F25">
        <w:fldChar w:fldCharType="separate"/>
      </w:r>
      <w:r w:rsidR="00766CC9" w:rsidRPr="00766CC9">
        <w:rPr>
          <w:noProof/>
        </w:rPr>
        <w:t>(Kidgell et al. 2006; Sepúlveda et al. 2013)</w:t>
      </w:r>
      <w:r w:rsidR="00264F25">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w:t>
      </w:r>
      <w:r w:rsidR="00B05A9F">
        <w:t xml:space="preserve">at drug resistance loci </w:t>
      </w:r>
      <w:r w:rsidR="004925F5">
        <w:t>to 3D7xHB3 and 7G8xGB4</w:t>
      </w:r>
      <w:r w:rsidR="00143AF4">
        <w:t>.</w:t>
      </w:r>
      <w:r w:rsidR="00F57A57">
        <w:t xml:space="preserve"> </w:t>
      </w:r>
    </w:p>
    <w:p w:rsidR="004925F5" w:rsidRDefault="00A87178" w:rsidP="004925F5">
      <w:r w:rsidRPr="00143AF4">
        <w:lastRenderedPageBreak/>
        <w:t>We</w:t>
      </w:r>
      <w:r>
        <w:t xml:space="preserve"> combined data on depth of sequence coverage </w:t>
      </w:r>
      <w:r w:rsidR="00143AF4">
        <w:t>and the orientation of ali</w:t>
      </w:r>
      <w:r w:rsidR="00A6066D">
        <w:t>gned read pairs</w:t>
      </w:r>
      <w:r w:rsidR="00143AF4">
        <w:t xml:space="preserve">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w:t>
      </w:r>
      <w:r w:rsidR="00B05A9F">
        <w:t>S</w:t>
      </w:r>
      <w:r w:rsidR="00A6066D">
        <w:t>13</w:t>
      </w:r>
      <w:r w:rsidR="00143AF4">
        <w:t xml:space="preserve">).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suggesting an error in the reference</w:t>
      </w:r>
      <w:r w:rsidR="00A6066D">
        <w:t xml:space="preserve"> sequence</w:t>
      </w:r>
      <w:r w:rsidR="005A420C">
        <w:t xml:space="preserve">.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264F25">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264F25">
        <w:fldChar w:fldCharType="separate"/>
      </w:r>
      <w:r w:rsidR="00EC5F6F" w:rsidRPr="00EC5F6F">
        <w:rPr>
          <w:noProof/>
        </w:rPr>
        <w:t>(Cowman et al. 1994)</w:t>
      </w:r>
      <w:r w:rsidR="00264F25">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 xml:space="preserve">To further explore the </w:t>
      </w:r>
      <w:r w:rsidR="00A6066D">
        <w:t xml:space="preserve">apparent </w:t>
      </w:r>
      <w:r>
        <w:t>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w:t>
      </w:r>
      <w:r w:rsidR="00A6066D">
        <w:t xml:space="preserve"> (Figure 4)</w:t>
      </w:r>
      <w:r w:rsidR="00242BE4">
        <w:t>.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rsidR="00B05A9F">
        <w:t>B</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w:t>
      </w:r>
      <w:r>
        <w:lastRenderedPageBreak/>
        <w:t>coincide closely with the breakpoint</w:t>
      </w:r>
      <w:r w:rsidR="00242BE4">
        <w:t>s of the duplication (</w:t>
      </w:r>
      <w:r w:rsidR="00C4455E">
        <w:t>F</w:t>
      </w:r>
      <w:r w:rsidR="00242BE4">
        <w:t>igure 4</w:t>
      </w:r>
      <w:r w:rsidR="00B05A9F">
        <w:t>C</w:t>
      </w:r>
      <w:r>
        <w:t xml:space="preserve">). This is harder to explain, as it would require two crossover events at or close to the borders of the duplicated region, which </w:t>
      </w:r>
      <w:r w:rsidR="00C4455E">
        <w:t>would seem</w:t>
      </w:r>
      <w:r>
        <w:t xml:space="preserve"> improbable unless the CNV breakpoints are also p</w:t>
      </w:r>
      <w:r w:rsidR="002B5CBF">
        <w:t>rone to meiotic crossover</w:t>
      </w:r>
      <w:r w:rsidR="000C3978">
        <w:t xml:space="preserve"> </w:t>
      </w:r>
      <w:r w:rsidR="00264F25">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264F25">
        <w:fldChar w:fldCharType="separate"/>
      </w:r>
      <w:r w:rsidR="00194EE4" w:rsidRPr="00194EE4">
        <w:rPr>
          <w:noProof/>
        </w:rPr>
        <w:t>(Völker et al. 2010)</w:t>
      </w:r>
      <w:r w:rsidR="00264F25">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rsidR="00B05A9F">
        <w:t>E</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264F25">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264F25">
        <w:fldChar w:fldCharType="separate"/>
      </w:r>
      <w:r w:rsidR="00F81315" w:rsidRPr="00F81315">
        <w:rPr>
          <w:noProof/>
        </w:rPr>
        <w:t>(Samarakoon, Gonzales, et al. 2011)</w:t>
      </w:r>
      <w:r w:rsidR="00264F25">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w:t>
      </w:r>
      <w:r w:rsidR="006A36AF">
        <w:t xml:space="preserve"> (data not shown)</w:t>
      </w:r>
      <w:r w:rsidR="00FF4738">
        <w:t>. B</w:t>
      </w:r>
      <w:r>
        <w:t xml:space="preserve">oth of </w:t>
      </w:r>
      <w:r w:rsidR="00FF4738">
        <w:t xml:space="preserve">these </w:t>
      </w:r>
      <w:r>
        <w:t xml:space="preserve">are consistent with a single crossover having occurred within the amplified region.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9" w:history="1">
        <w:r w:rsidR="00F428AA" w:rsidRPr="006F0B99">
          <w:rPr>
            <w:rStyle w:val="Hyperlink"/>
          </w:rPr>
          <w:t>http://www.malariagen.net/apps/pf-crosses</w:t>
        </w:r>
      </w:hyperlink>
      <w:r w:rsidR="00F428AA">
        <w:t>. The application includes a tool for browsing and querying a table of variants for each call set</w:t>
      </w:r>
      <w:r w:rsidR="004535B2">
        <w:t xml:space="preserve"> (Figure 5B)</w:t>
      </w:r>
      <w:r w:rsidR="00F428AA">
        <w: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w:t>
      </w:r>
      <w:r w:rsidR="004535B2">
        <w:t xml:space="preserve"> (Figure 5C)</w:t>
      </w:r>
      <w:r w:rsidR="00F428AA">
        <w:t xml:space="preserve">; a tool for browsing the genome, allowing the location of variants to </w:t>
      </w:r>
      <w:r w:rsidR="00FC2174">
        <w:t xml:space="preserve">be </w:t>
      </w:r>
      <w:r w:rsidR="00F428AA">
        <w:t xml:space="preserve">viewed in the context of genome features and </w:t>
      </w:r>
      <w:r w:rsidR="003E6777">
        <w:t>alignment metrics</w:t>
      </w:r>
      <w:r w:rsidR="004535B2">
        <w:t xml:space="preserve"> (Figure 5D)</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264F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264F25">
        <w:fldChar w:fldCharType="separate"/>
      </w:r>
      <w:r w:rsidR="006C6A25" w:rsidRPr="006C6A25">
        <w:rPr>
          <w:noProof/>
        </w:rPr>
        <w:t>(Manske &amp; Kwiatkowski 2009)</w:t>
      </w:r>
      <w:r w:rsidR="00264F25">
        <w:fldChar w:fldCharType="end"/>
      </w:r>
      <w:r w:rsidR="004535B2">
        <w:t xml:space="preserve"> (Figure 5E)</w:t>
      </w:r>
      <w:r w:rsidR="00F428AA">
        <w:t xml:space="preserve">. </w:t>
      </w:r>
      <w:r w:rsidR="00E25470">
        <w:t>All tools are highly interactive, for example when browsing genotypes in parents and progeny the user can hover over any variant and view further information about the reference and alternate alleles, effect prediction, etc. Filters applied to variants can also be changed dynamically, allowing users to explore the entire dataset and compare calling and filtering methods.</w:t>
      </w:r>
      <w:r w:rsidR="00B241EF">
        <w:t xml:space="preserve"> For the genome browser, a multi-resolution </w:t>
      </w:r>
      <w:proofErr w:type="spellStart"/>
      <w:r w:rsidR="00B241EF">
        <w:t>filterbank</w:t>
      </w:r>
      <w:proofErr w:type="spellEnd"/>
      <w:r w:rsidR="00B241EF">
        <w:t xml:space="preserve"> was implemented to enable highly responsive browsing at all scales from base-pair resolution up to entire chromosomes.</w:t>
      </w:r>
      <w:r w:rsidR="00E25470">
        <w:t xml:space="preserve"> </w:t>
      </w:r>
      <w:r w:rsidR="00F428AA">
        <w:t xml:space="preserve">The underlying technologies for this web application are being developed as a generic framework so that they can </w:t>
      </w:r>
      <w:r w:rsidR="00F428AA">
        <w:lastRenderedPageBreak/>
        <w:t>be used with other datasets, as part o</w:t>
      </w:r>
      <w:r w:rsidR="00572EC2">
        <w:t>f an open source project</w:t>
      </w:r>
      <w:r w:rsidR="00572EC2">
        <w:rPr>
          <w:rStyle w:val="FootnoteReference"/>
        </w:rPr>
        <w:footnoteReference w:id="13"/>
      </w:r>
      <w:r w:rsidR="00F428AA">
        <w:t xml:space="preserve"> that will be described in detail elsewhere.</w:t>
      </w:r>
    </w:p>
    <w:p w:rsidR="009E1600" w:rsidRDefault="009E1600" w:rsidP="003F4A84">
      <w:pPr>
        <w:pStyle w:val="Heading1"/>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rsidR="00264F25">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264F25">
        <w:fldChar w:fldCharType="separate"/>
      </w:r>
      <w:r w:rsidRPr="00FB69B5">
        <w:rPr>
          <w:noProof/>
        </w:rPr>
        <w:t>(Price et al. 2004; Anderson et al. 2009)</w:t>
      </w:r>
      <w:r w:rsidR="00264F25">
        <w:fldChar w:fldCharType="end"/>
      </w:r>
      <w:r>
        <w:t>.</w:t>
      </w:r>
    </w:p>
    <w:p w:rsidR="0068115D" w:rsidRDefault="0068115D" w:rsidP="009E1600"/>
    <w:p w:rsidR="0068115D" w:rsidRDefault="0068115D" w:rsidP="009E1600">
      <w:r>
        <w:t xml:space="preserve">@@TODO </w:t>
      </w:r>
      <w:proofErr w:type="gramStart"/>
      <w:r>
        <w:t>compare</w:t>
      </w:r>
      <w:proofErr w:type="gramEnd"/>
      <w:r>
        <w:t xml:space="preserve"> NCO rates with </w:t>
      </w:r>
      <w:proofErr w:type="spellStart"/>
      <w:r>
        <w:t>Samarakoon</w:t>
      </w:r>
      <w:proofErr w:type="spellEnd"/>
      <w:r>
        <w:t xml:space="preserve">, </w:t>
      </w:r>
      <w:proofErr w:type="spellStart"/>
      <w:r>
        <w:t>Regier</w:t>
      </w:r>
      <w:proofErr w:type="spellEnd"/>
      <w:r>
        <w:t xml:space="preserve"> et al.</w:t>
      </w:r>
    </w:p>
    <w:p w:rsidR="00F81315" w:rsidRDefault="00F81315" w:rsidP="009E1600">
      <w:r>
        <w:t xml:space="preserve">@@TODO </w:t>
      </w:r>
      <w:proofErr w:type="gramStart"/>
      <w:r>
        <w:t>discuss</w:t>
      </w:r>
      <w:proofErr w:type="gramEnd"/>
      <w:r>
        <w:t xml:space="preserve"> recombination in CNVs in relation to </w:t>
      </w:r>
      <w:proofErr w:type="spellStart"/>
      <w:r>
        <w:t>Samarakoon</w:t>
      </w:r>
      <w:proofErr w:type="spellEnd"/>
      <w:r>
        <w:t>, Gonzales. Emphasise what is novel?</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264F2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264F25">
        <w:fldChar w:fldCharType="separate"/>
      </w:r>
      <w:r w:rsidR="00114AB5" w:rsidRPr="00114AB5">
        <w:rPr>
          <w:noProof/>
        </w:rPr>
        <w:t>(Gardner et al. 2002; DePristo et al. 2006; Zilversmit et al. 2010; Muralidharan &amp; Goldberg 2013)</w:t>
      </w:r>
      <w:r w:rsidR="00264F25">
        <w:fldChar w:fldCharType="end"/>
      </w:r>
      <w:r w:rsidR="00943113">
        <w:t xml:space="preserve"> and </w:t>
      </w:r>
      <w:r w:rsidR="00381C07">
        <w:t xml:space="preserve">the evidence that replication slippage causes high variability in </w:t>
      </w:r>
      <w:r w:rsidR="00943113">
        <w:t xml:space="preserve">short tandem repeats </w:t>
      </w:r>
      <w:r w:rsidR="00264F25">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264F25">
        <w:fldChar w:fldCharType="separate"/>
      </w:r>
      <w:r w:rsidR="00114AB5" w:rsidRPr="00114AB5">
        <w:rPr>
          <w:noProof/>
        </w:rPr>
        <w:t xml:space="preserve">(Lovett 2004; Li </w:t>
      </w:r>
      <w:r w:rsidR="00114AB5" w:rsidRPr="00114AB5">
        <w:rPr>
          <w:noProof/>
        </w:rPr>
        <w:lastRenderedPageBreak/>
        <w:t>et al. 2002; Tan et al. 2010)</w:t>
      </w:r>
      <w:r w:rsidR="00264F25">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264F25">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264F25">
        <w:fldChar w:fldCharType="separate"/>
      </w:r>
      <w:r w:rsidR="007A13ED" w:rsidRPr="007A13ED">
        <w:rPr>
          <w:noProof/>
        </w:rPr>
        <w:t>(Mok et al. 2014)</w:t>
      </w:r>
      <w:r w:rsidR="00264F25">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264F25">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264F25">
        <w:fldChar w:fldCharType="separate"/>
      </w:r>
      <w:r w:rsidR="00142C02" w:rsidRPr="00142C02">
        <w:rPr>
          <w:noProof/>
        </w:rPr>
        <w:t>(Price et al. 2004; Heinberg et al. 2013)</w:t>
      </w:r>
      <w:r w:rsidR="00264F25">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264F25">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264F25">
        <w:fldChar w:fldCharType="separate"/>
      </w:r>
      <w:r w:rsidR="001301E2" w:rsidRPr="001301E2">
        <w:rPr>
          <w:noProof/>
        </w:rPr>
        <w:t>(Li et al. 2002; Anderson et al. 2009)</w:t>
      </w:r>
      <w:r w:rsidR="00264F25">
        <w:fldChar w:fldCharType="end"/>
      </w:r>
      <w:r w:rsidR="00DF2176">
        <w:t xml:space="preserve">. </w:t>
      </w:r>
      <w:r w:rsidR="003D3144">
        <w:t xml:space="preserve">Using the HB3xDd2 cross, </w:t>
      </w:r>
      <w:r w:rsidR="00264F25">
        <w:fldChar w:fldCharType="begin" w:fldLock="1"/>
      </w:r>
      <w:r w:rsidR="003D3144">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264F25">
        <w:fldChar w:fldCharType="separate"/>
      </w:r>
      <w:r w:rsidR="003D3144" w:rsidRPr="003D3144">
        <w:rPr>
          <w:noProof/>
        </w:rPr>
        <w:t xml:space="preserve">Gonzales et al. </w:t>
      </w:r>
      <w:r w:rsidR="003D3144">
        <w:rPr>
          <w:noProof/>
        </w:rPr>
        <w:t>(</w:t>
      </w:r>
      <w:r w:rsidR="003D3144" w:rsidRPr="003D3144">
        <w:rPr>
          <w:noProof/>
        </w:rPr>
        <w:t>2008)</w:t>
      </w:r>
      <w:r w:rsidR="00264F25">
        <w:fldChar w:fldCharType="end"/>
      </w:r>
      <w:r w:rsidR="003D3144">
        <w:t xml:space="preserve"> showed that both </w:t>
      </w:r>
      <w:r w:rsidR="003D3144">
        <w:rPr>
          <w:i/>
        </w:rPr>
        <w:t xml:space="preserve">cis </w:t>
      </w:r>
      <w:r w:rsidR="003D3144">
        <w:t xml:space="preserve">and </w:t>
      </w:r>
      <w:r w:rsidR="003D3144">
        <w:rPr>
          <w:i/>
        </w:rPr>
        <w:t xml:space="preserve">trans </w:t>
      </w:r>
      <w:r w:rsidR="003D3144">
        <w:t xml:space="preserve">genetic variation influences gene expression in </w:t>
      </w:r>
      <w:r w:rsidR="003D3144" w:rsidRPr="003D3144">
        <w:rPr>
          <w:i/>
        </w:rPr>
        <w:t>P. falciparum</w:t>
      </w:r>
      <w:r w:rsidR="003D3144">
        <w:t xml:space="preserve">, including a major </w:t>
      </w:r>
      <w:r w:rsidR="003D3144" w:rsidRPr="003D3144">
        <w:rPr>
          <w:i/>
        </w:rPr>
        <w:t>trans</w:t>
      </w:r>
      <w:r w:rsidR="003D3144">
        <w:t xml:space="preserve"> regulatory hotspot coinciding with the amplification spanning </w:t>
      </w:r>
      <w:r w:rsidR="003D3144">
        <w:rPr>
          <w:i/>
        </w:rPr>
        <w:t>mdr1.</w:t>
      </w:r>
      <w:r w:rsidR="003D3144">
        <w:t xml:space="preserve"> Also of relevance, s</w:t>
      </w:r>
      <w:r w:rsidR="007A13ED">
        <w:t xml:space="preserve">hort tandem repeat length variations within regulatory elements </w:t>
      </w:r>
      <w:r w:rsidR="003D3144">
        <w:t xml:space="preserve">have been shown </w:t>
      </w:r>
      <w:r w:rsidR="007A13ED">
        <w:t xml:space="preserve">to affect gene activity across a number of species </w:t>
      </w:r>
      <w:r w:rsidR="00264F25">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264F25">
        <w:fldChar w:fldCharType="separate"/>
      </w:r>
      <w:r w:rsidR="007A13ED" w:rsidRPr="007A13ED">
        <w:rPr>
          <w:noProof/>
        </w:rPr>
        <w:t>(Li et al. 2002)</w:t>
      </w:r>
      <w:r w:rsidR="00264F25">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w:t>
      </w:r>
      <w:r w:rsidR="003D3144">
        <w:t xml:space="preserve"> @@TODO relate to fungus paper.</w:t>
      </w:r>
      <w:r w:rsidR="001301E2">
        <w:t xml:space="preserve">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264F25">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264F25">
        <w:fldChar w:fldCharType="separate"/>
      </w:r>
      <w:r w:rsidR="00622F1D" w:rsidRPr="00622F1D">
        <w:rPr>
          <w:noProof/>
        </w:rPr>
        <w:t>(Roy et al. 2008; Ferreira et al. 2003)</w:t>
      </w:r>
      <w:r w:rsidR="00264F25">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264F25">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264F25">
        <w:fldChar w:fldCharType="separate"/>
      </w:r>
      <w:r w:rsidR="00EE0300" w:rsidRPr="00EE0300">
        <w:rPr>
          <w:noProof/>
        </w:rPr>
        <w:t>(Singh et al. 2009)</w:t>
      </w:r>
      <w:r w:rsidR="00264F25">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264F25">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264F25">
        <w:fldChar w:fldCharType="separate"/>
      </w:r>
      <w:r w:rsidR="00DD329D" w:rsidRPr="00DD329D">
        <w:rPr>
          <w:noProof/>
        </w:rPr>
        <w:t>(Kidgell et al. 2006; Winter et al. 2005)</w:t>
      </w:r>
      <w:r w:rsidR="00264F25">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 xml:space="preserve">a mixture of parasite </w:t>
      </w:r>
      <w:r w:rsidR="009A32D6">
        <w:lastRenderedPageBreak/>
        <w:t>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264F25">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264F25">
        <w:fldChar w:fldCharType="separate"/>
      </w:r>
      <w:r w:rsidR="00622F1D" w:rsidRPr="00622F1D">
        <w:rPr>
          <w:noProof/>
        </w:rPr>
        <w:t>(Walliker et al. 1987)</w:t>
      </w:r>
      <w:r w:rsidR="00264F25">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264F25">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264F25">
        <w:fldChar w:fldCharType="separate"/>
      </w:r>
      <w:r w:rsidR="00DF6A03" w:rsidRPr="00DF6A03">
        <w:rPr>
          <w:noProof/>
        </w:rPr>
        <w:t>(Su et al. 1999; Jiang et al. 2011)</w:t>
      </w:r>
      <w:r w:rsidR="00264F25">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t>
      </w:r>
      <w:r w:rsidR="009E5648">
        <w:t xml:space="preserve">@@TODO </w:t>
      </w:r>
      <w:proofErr w:type="gramStart"/>
      <w:r w:rsidR="009E5648">
        <w:t>ensure</w:t>
      </w:r>
      <w:proofErr w:type="gramEnd"/>
      <w:r w:rsidR="009E5648">
        <w:t xml:space="preserve"> proper citation of </w:t>
      </w:r>
      <w:proofErr w:type="spellStart"/>
      <w:r w:rsidR="009E5648">
        <w:t>Samarakoon</w:t>
      </w:r>
      <w:proofErr w:type="spellEnd"/>
      <w:r w:rsidR="009E5648">
        <w:t xml:space="preserve">, </w:t>
      </w:r>
      <w:proofErr w:type="spellStart"/>
      <w:r w:rsidR="009E5648">
        <w:t>Regier</w:t>
      </w:r>
      <w:proofErr w:type="spellEnd"/>
      <w:r w:rsidR="009E5648">
        <w:t xml:space="preserve"> et al. </w:t>
      </w:r>
      <w:r w:rsidR="00605B08">
        <w:t>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264F25">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264F25">
        <w:fldChar w:fldCharType="separate"/>
      </w:r>
      <w:r w:rsidR="00D5776C" w:rsidRPr="00D5776C">
        <w:rPr>
          <w:noProof/>
        </w:rPr>
        <w:t>(Mancera et al. 2008)</w:t>
      </w:r>
      <w:r w:rsidR="00264F25">
        <w:fldChar w:fldCharType="end"/>
      </w:r>
      <w:r w:rsidR="002169DD">
        <w:t xml:space="preserve"> </w:t>
      </w:r>
      <w:r w:rsidR="00605B08">
        <w:t xml:space="preserve">but longer than humans </w:t>
      </w:r>
      <w:r w:rsidR="00264F25">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264F25">
        <w:fldChar w:fldCharType="separate"/>
      </w:r>
      <w:r w:rsidR="0076105D" w:rsidRPr="0076105D">
        <w:rPr>
          <w:noProof/>
        </w:rPr>
        <w:t>(Jeffreys &amp; May 2004)</w:t>
      </w:r>
      <w:r w:rsidR="00264F25">
        <w:fldChar w:fldCharType="end"/>
      </w:r>
      <w:r w:rsidR="0076105D">
        <w:t xml:space="preserve"> </w:t>
      </w:r>
      <w:r w:rsidR="00605B08">
        <w:t xml:space="preserve">and </w:t>
      </w:r>
      <w:r w:rsidR="007A5FFB" w:rsidRPr="007A5FFB">
        <w:rPr>
          <w:i/>
        </w:rPr>
        <w:t>Drosophila</w:t>
      </w:r>
      <w:r w:rsidR="00605B08">
        <w:t xml:space="preserve"> </w:t>
      </w:r>
      <w:r w:rsidR="00264F25">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264F25">
        <w:fldChar w:fldCharType="separate"/>
      </w:r>
      <w:r w:rsidR="007A5FFB" w:rsidRPr="007A5FFB">
        <w:rPr>
          <w:noProof/>
        </w:rPr>
        <w:t>(Hilliker et al. 1994)</w:t>
      </w:r>
      <w:r w:rsidR="00264F25">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264F25">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264F25">
        <w:fldChar w:fldCharType="separate"/>
      </w:r>
      <w:r w:rsidR="00E91A85" w:rsidRPr="00E91A85">
        <w:rPr>
          <w:noProof/>
        </w:rPr>
        <w:t>(Myers et al. 2005)</w:t>
      </w:r>
      <w:r w:rsidR="00264F25">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264F25">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264F25">
        <w:fldChar w:fldCharType="separate"/>
      </w:r>
      <w:r w:rsidR="00E91A85" w:rsidRPr="00E91A85">
        <w:rPr>
          <w:noProof/>
        </w:rPr>
        <w:t>(Jiang et al. 2011)</w:t>
      </w:r>
      <w:r w:rsidR="00264F25">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264F25">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264F25">
        <w:fldChar w:fldCharType="separate"/>
      </w:r>
      <w:r w:rsidR="00486677" w:rsidRPr="00486677">
        <w:rPr>
          <w:noProof/>
        </w:rPr>
        <w:t>(Claessens et al. 2014)</w:t>
      </w:r>
      <w:r w:rsidR="00264F25">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264F25">
        <w:fldChar w:fldCharType="begin" w:fldLock="1"/>
      </w:r>
      <w:r w:rsidR="00141CF3">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"id" : "ITEM-8", "itemData" : { "DOI" : "10.1006/expr.2001.4618", "ISSN" : "0014-4894", "PMID" : "11465989", "abstract" : "Samples of three pyrimethamine-sensitive clones of Plasmodium falciparum were grown for periods of 22-46 weeks in media containing stepwise increases in pyrimethamine concentrations and were seen to develop up to 1000-fold increases in resistance to the drug. With clone T9/94RC17, the dihydrofolate reductase (DHFR) gene was sequenced from 10 uncloned populations and 29 pure clones, all having increased resistance to pyrimethamine, and these sequences were compared with the sequence of the original pyrimethamine-sensitive clone. No changes in amino acid sequence were found to have occurred. Some resistant clones obtained by this method were then examined by pulsed-field gel electrophoresis, and the results indicated that there had been an increase in the size of chromosome 4. This was confirmed by hybridization of Southern blots with a chromosome 4-specific probe, the vacuolar ATPase subunit B gene, and a probe to DHFR. Dot-blotting with an oligonucleotide probe to DHFR confirmed that there had been increases up to 44-fold in copy number of the DHFR gene in the resistant strains. Resistant clones obtained by this procedure were then grown in medium lacking pyrimethamine for a period of nearly 2 years, and reversion nearly to the level of pyrimethamine sensitivity of the original clone T9/94RC17 was found to occur after about 16 months. Correspondingly, the chromosome 4 of the reverted population reverted to a size like that of the original sensitive clone T9/94RC17. The procedure of growing parasites in stepwise increases of pyrimethamine concentration was repeated with two other pyrimethamine-sensitive clones: TM4CB8-2.2.3 and G112CB1.1. (The DHFR gene of these clones encodes serine at position 108, in place of threonine as in clone T9/94RC17, and it was thought that this difference might conceivably affect the rate of mutation to asparagine at this position). Clones TM4CB8-2.2.3 and G112CB1.1 also responded by developing gradually increased resistance to pyrimethamine. However, in clone TM4CB8-2.2.3 a single mutation from Ile to Met at position 164 in the DHFR gene sequence was identified, and in clone G112CB1.1 there was a single mutation from Ala to Ser at position 16, but no mutations at position 108 were obtained in any of the clones studied here. In addition, chromosome 4 of clone TM4CB8-2.2.3 increased in size, presumably due to amplification of the DHFR gene. No increase in size was seen in clone G112CB1.1. We conclude that whereas some mutation\u2026", "author" : [ { "dropping-particle" : "", "family" : "Thaithong", "given" : "S", "non-dropping-particle" : "", "parse-names" : false, "suffix" : "" }, { "dropping-particle" : "", "family" : "Ranford-Cartwright", "given" : "L C", "non-dropping-particle" : "", "parse-names" : false, "suffix" : "" }, { "dropping-particle" : "", "family" : "Siripoon", "given" : "N", "non-dropping-particle" : "", "parse-names" : false, "suffix" : "" }, { "dropping-particle" : "", "family" : "Harnyuttanakorn", "given" : "P", "non-dropping-particle" : "", "parse-names" : false, "suffix" : "" }, { "dropping-particle" : "", "family" : "Kanchanakhan", "given" : "N S", "non-dropping-particle" : "", "parse-names" : false, "suffix" : "" }, { "dropping-particle" : "", "family" : "Seugorn", "given" : "A", "non-dropping-particle" : "", "parse-names" : false, "suffix" : "" }, { "dropping-particle" : "", "family" : "Rungsihirunrat", "given" : "K", "non-dropping-particle" : "", "parse-names" : false, "suffix" : "" }, { "dropping-particle" : "V", "family" : "Cravo", "given" : "P", "non-dropping-particle" : "", "parse-names" : false, "suffix" : "" }, { "dropping-particle" : "", "family" : "Beale", "given" : "G H", "non-dropping-particle" : "", "parse-names" : false, "suffix" : "" } ], "container-title" : "Experimental parasitology", "id" : "ITEM-8", "issue" : "2", "issued" : { "date-parts" : [ [ "2001", "6" ] ] }, "page" : "59-70", "title" : "Plasmodium falciparum: gene mutations and amplification of dihydrofolate reductase genes in parasites grown in vitro in presence of pyrimethamine.", "type" : "article-journal", "volume" : "98" }, "uris" : [ "http://www.mendeley.com/documents/?uuid=00dfec53-7ea0-4eeb-827f-e88a485d617e" ] } ], "mendeley" : { "formattedCitation" : "(Price et al. 2004; Anderson et al. 2009; Nair et al. 2008; Kidgell et al. 2006; Heinberg et al. 2013; Triglia et al. 1991; Cowman et al. 1994; Thaithong et al. 2001)", "plainTextFormattedCitation" : "(Price et al. 2004; Anderson et al. 2009; Nair et al. 2008; Kidgell et al. 2006; Heinberg et al. 2013; Triglia et al. 1991; Cowman et al. 1994; Thaithong et al. 2001)", "previouslyFormattedCitation" : "(Price et al. 2004; Anderson et al. 2009; Nair et al. 2008; Kidgell et al. 2006; Heinberg et al. 2013; Triglia et al. 1991; Cowman et al. 1994; Thaithong et al. 2001)" }, "properties" : { "noteIndex" : 0 }, "schema" : "https://github.com/citation-style-language/schema/raw/master/csl-citation.json" }</w:instrText>
      </w:r>
      <w:r w:rsidR="00264F25">
        <w:fldChar w:fldCharType="separate"/>
      </w:r>
      <w:r w:rsidR="00666208" w:rsidRPr="00666208">
        <w:rPr>
          <w:noProof/>
        </w:rPr>
        <w:t xml:space="preserve">(Price et al. 2004; Anderson et al. 2009; Nair et al. 2008; Kidgell et al. </w:t>
      </w:r>
      <w:r w:rsidR="00666208" w:rsidRPr="00666208">
        <w:rPr>
          <w:noProof/>
        </w:rPr>
        <w:lastRenderedPageBreak/>
        <w:t>2006; Heinberg et al. 2013; Triglia et al. 1991; Cowman et al. 1994; Thaithong et al. 2001)</w:t>
      </w:r>
      <w:r w:rsidR="00264F25">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264F25">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264F25">
        <w:fldChar w:fldCharType="separate"/>
      </w:r>
      <w:r w:rsidR="00AC053E" w:rsidRPr="00AC053E">
        <w:rPr>
          <w:noProof/>
        </w:rPr>
        <w:t>(Samarakoon, Gonzales, et al. 2011)</w:t>
      </w:r>
      <w:r w:rsidR="00264F25">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264F25">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264F25">
        <w:fldChar w:fldCharType="separate"/>
      </w:r>
      <w:r w:rsidR="00141CF3" w:rsidRPr="00141CF3">
        <w:rPr>
          <w:noProof/>
        </w:rPr>
        <w:t>(Kondrashov 2012; Anderson et al. 2009; Rosenthal 2013)</w:t>
      </w:r>
      <w:r w:rsidR="00264F25">
        <w:fldChar w:fldCharType="end"/>
      </w:r>
      <w:r w:rsidR="00D329C7">
        <w:t xml:space="preserve"> and can also confer both resistance to one class of drugs and sensitivity to another</w:t>
      </w:r>
      <w:r w:rsidR="008C5FF4">
        <w:t xml:space="preserve"> </w:t>
      </w:r>
      <w:r w:rsidR="00264F25">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264F25">
        <w:fldChar w:fldCharType="separate"/>
      </w:r>
      <w:r w:rsidR="008C5FF4" w:rsidRPr="008C5FF4">
        <w:rPr>
          <w:noProof/>
        </w:rPr>
        <w:t>(Anderson et al. 2009)</w:t>
      </w:r>
      <w:r w:rsidR="00264F25">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264F25">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264F25">
        <w:fldChar w:fldCharType="separate"/>
      </w:r>
      <w:r w:rsidR="008C5FF4" w:rsidRPr="008C5FF4">
        <w:rPr>
          <w:noProof/>
        </w:rPr>
        <w:t>(Nair et al. 2007)</w:t>
      </w:r>
      <w:r w:rsidR="00264F25">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xml:space="preserve">, creating a </w:t>
      </w:r>
      <w:r w:rsidR="008C5FF4">
        <w:lastRenderedPageBreak/>
        <w:t>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0A1F02">
      <w:pPr>
        <w:pStyle w:val="Heading1"/>
      </w:pPr>
      <w:r>
        <w:t>Methods</w:t>
      </w:r>
    </w:p>
    <w:p w:rsidR="009E1600" w:rsidRDefault="00AC67A5" w:rsidP="000A1F02">
      <w:pPr>
        <w:pStyle w:val="Heading2"/>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264F25">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264F25">
        <w:fldChar w:fldCharType="separate"/>
      </w:r>
      <w:r w:rsidR="00457090" w:rsidRPr="00457090">
        <w:rPr>
          <w:noProof/>
        </w:rPr>
        <w:t>(Manske et al. 2012)</w:t>
      </w:r>
      <w:r w:rsidR="00264F25">
        <w:fldChar w:fldCharType="end"/>
      </w:r>
      <w:r w:rsidR="00457090">
        <w:t xml:space="preserve"> </w:t>
      </w:r>
      <w:r>
        <w:t xml:space="preserve">except that the PCR-free method of library preparation as described in </w:t>
      </w:r>
      <w:r w:rsidR="00264F25">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264F25">
        <w:fldChar w:fldCharType="separate"/>
      </w:r>
      <w:r w:rsidR="00457090" w:rsidRPr="00457090">
        <w:rPr>
          <w:noProof/>
        </w:rPr>
        <w:t>(Kozarewa et al. 2009)</w:t>
      </w:r>
      <w:r w:rsidR="00264F25">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264F25">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264F25">
        <w:fldChar w:fldCharType="separate"/>
      </w:r>
      <w:r w:rsidR="00CD5EC1" w:rsidRPr="00CD5EC1">
        <w:rPr>
          <w:noProof/>
        </w:rPr>
        <w:t>(Li &amp; Durbin 2009)</w:t>
      </w:r>
      <w:r w:rsidR="00264F25">
        <w:fldChar w:fldCharType="end"/>
      </w:r>
      <w:r w:rsidR="00CD5EC1">
        <w:t xml:space="preserve"> </w:t>
      </w:r>
      <w:r w:rsidR="00077681">
        <w:t xml:space="preserve">to align reads to the 3D7 version 3 reference genome, then applied GATK </w:t>
      </w:r>
      <w:r w:rsidR="00264F25">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264F25">
        <w:fldChar w:fldCharType="separate"/>
      </w:r>
      <w:r w:rsidR="00077681" w:rsidRPr="00077681">
        <w:rPr>
          <w:noProof/>
        </w:rPr>
        <w:t>(McKenna et al. 2010)</w:t>
      </w:r>
      <w:r w:rsidR="00264F25">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264F25">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264F25">
        <w:fldChar w:fldCharType="separate"/>
      </w:r>
      <w:r w:rsidR="00077681" w:rsidRPr="00077681">
        <w:rPr>
          <w:noProof/>
        </w:rPr>
        <w:t>(DePristo et al. 2011; Van der Auwera et al. 2002)</w:t>
      </w:r>
      <w:r w:rsidR="00264F25">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264F25">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264F25">
        <w:fldChar w:fldCharType="separate"/>
      </w:r>
      <w:r w:rsidR="00CD5EC1" w:rsidRPr="00CD5EC1">
        <w:rPr>
          <w:noProof/>
        </w:rPr>
        <w:t>(Iqbal et al. 2012)</w:t>
      </w:r>
      <w:r w:rsidR="00264F25">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264F25">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264F25">
        <w:fldChar w:fldCharType="separate"/>
      </w:r>
      <w:r w:rsidR="00A50A39" w:rsidRPr="00A50A39">
        <w:rPr>
          <w:noProof/>
        </w:rPr>
        <w:t xml:space="preserve">Samarakoon, Regier, et al. </w:t>
      </w:r>
      <w:r w:rsidR="00A50A39">
        <w:rPr>
          <w:noProof/>
        </w:rPr>
        <w:t>(</w:t>
      </w:r>
      <w:r w:rsidR="00A50A39" w:rsidRPr="00A50A39">
        <w:rPr>
          <w:noProof/>
        </w:rPr>
        <w:t>2011)</w:t>
      </w:r>
      <w:r w:rsidR="00264F25">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lastRenderedPageBreak/>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w:t>
      </w:r>
      <w:bookmarkStart w:id="6" w:name="_GoBack"/>
      <w:bookmarkEnd w:id="6"/>
      <w:r w:rsidRPr="001F6267">
        <w:t>tory was supported by the Wellcome Trust (grant reference number 091791).</w:t>
      </w:r>
    </w:p>
    <w:p w:rsidR="009E1600" w:rsidRDefault="009E1600" w:rsidP="000A1F02">
      <w:pPr>
        <w:pStyle w:val="Heading1"/>
      </w:pPr>
      <w:r>
        <w:t>References</w:t>
      </w:r>
    </w:p>
    <w:p w:rsidR="00EC5F6F" w:rsidRPr="00EC5F6F" w:rsidRDefault="00264F25">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Chromosome research : an international journal on 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9(12), 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10(12), p.e1004812. 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3, pp.539–50. Available at: 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279(1749), pp.5048–57. 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19(2), pp.105–12. Available at: 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4(10), p.e1000243. Available at: 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201(11), pp.1853–63. Available at: 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264F25" w:rsidP="00EC5F6F">
      <w:pPr>
        <w:pStyle w:val="NormalWeb"/>
        <w:ind w:left="480" w:hanging="480"/>
        <w:divId w:val="347559534"/>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8E4" w:rsidRDefault="00CE68E4" w:rsidP="008B66D9">
      <w:pPr>
        <w:spacing w:after="0" w:line="240" w:lineRule="auto"/>
      </w:pPr>
      <w:r>
        <w:separator/>
      </w:r>
    </w:p>
  </w:endnote>
  <w:endnote w:type="continuationSeparator" w:id="0">
    <w:p w:rsidR="00CE68E4" w:rsidRDefault="00CE68E4"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8E4" w:rsidRDefault="00CE68E4" w:rsidP="008B66D9">
      <w:pPr>
        <w:spacing w:after="0" w:line="240" w:lineRule="auto"/>
      </w:pPr>
      <w:r>
        <w:separator/>
      </w:r>
    </w:p>
  </w:footnote>
  <w:footnote w:type="continuationSeparator" w:id="0">
    <w:p w:rsidR="00CE68E4" w:rsidRDefault="00CE68E4" w:rsidP="008B66D9">
      <w:pPr>
        <w:spacing w:after="0" w:line="240" w:lineRule="auto"/>
      </w:pPr>
      <w:r>
        <w:continuationSeparator/>
      </w:r>
    </w:p>
  </w:footnote>
  <w:footnote w:id="1">
    <w:p w:rsidR="00BC5A53" w:rsidRDefault="00BC5A53">
      <w:pPr>
        <w:pStyle w:val="FootnoteText"/>
      </w:pPr>
      <w:r>
        <w:rPr>
          <w:rStyle w:val="FootnoteReference"/>
        </w:rPr>
        <w:footnoteRef/>
      </w:r>
      <w:r>
        <w:t xml:space="preserve"> MRC Centre for Genomics and Global Health, University of Oxford, Oxford, UK</w:t>
      </w:r>
    </w:p>
  </w:footnote>
  <w:footnote w:id="2">
    <w:p w:rsidR="00BC5A53" w:rsidRDefault="00BC5A53">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BC5A53" w:rsidRDefault="00BC5A53">
      <w:pPr>
        <w:pStyle w:val="FootnoteText"/>
      </w:pPr>
      <w:r>
        <w:rPr>
          <w:rStyle w:val="FootnoteReference"/>
        </w:rPr>
        <w:footnoteRef/>
      </w:r>
      <w:r>
        <w:t xml:space="preserve"> Wellcome Trust Centre for Human Genetics, University of Oxford, Oxford, UK</w:t>
      </w:r>
    </w:p>
  </w:footnote>
  <w:footnote w:id="4">
    <w:p w:rsidR="00BC5A53" w:rsidRDefault="00BC5A53">
      <w:pPr>
        <w:pStyle w:val="FootnoteText"/>
      </w:pPr>
      <w:r>
        <w:rPr>
          <w:rStyle w:val="FootnoteReference"/>
        </w:rPr>
        <w:footnoteRef/>
      </w:r>
      <w:r>
        <w:t xml:space="preserve"> Bowdoin College, Brunswick, Maine, USA</w:t>
      </w:r>
    </w:p>
  </w:footnote>
  <w:footnote w:id="5">
    <w:p w:rsidR="00BC5A53" w:rsidRDefault="00BC5A53">
      <w:pPr>
        <w:pStyle w:val="FootnoteText"/>
      </w:pPr>
      <w:r>
        <w:rPr>
          <w:rStyle w:val="FootnoteReference"/>
        </w:rPr>
        <w:footnoteRef/>
      </w:r>
      <w:r>
        <w:t xml:space="preserve"> Broad Institute of Harvard and MIT, Cambridge, Massachusetts, USA</w:t>
      </w:r>
    </w:p>
  </w:footnote>
  <w:footnote w:id="6">
    <w:p w:rsidR="00BC5A53" w:rsidRDefault="00BC5A53">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BC5A53" w:rsidRDefault="00BC5A53">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BC5A53" w:rsidRDefault="00BC5A53">
      <w:pPr>
        <w:pStyle w:val="FootnoteText"/>
      </w:pPr>
      <w:r>
        <w:rPr>
          <w:rStyle w:val="FootnoteReference"/>
        </w:rPr>
        <w:footnoteRef/>
      </w:r>
      <w:r>
        <w:t xml:space="preserve"> Eck Institute for Global Health, Department of Biological Sciences, University of Notre Dame, Notre Dame, Indiana, USA</w:t>
      </w:r>
    </w:p>
  </w:footnote>
  <w:footnote w:id="9">
    <w:p w:rsidR="00BC5A53" w:rsidRDefault="00BC5A53">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BC5A53" w:rsidRDefault="00BC5A53">
      <w:pPr>
        <w:pStyle w:val="FootnoteText"/>
      </w:pPr>
      <w:r>
        <w:rPr>
          <w:rStyle w:val="FootnoteReference"/>
        </w:rPr>
        <w:footnoteRef/>
      </w:r>
      <w:r>
        <w:t xml:space="preserve"> Department of Statistics, University of Oxford, Oxford, UK</w:t>
      </w:r>
    </w:p>
  </w:footnote>
  <w:footnote w:id="11">
    <w:p w:rsidR="00BC5A53" w:rsidRDefault="00BC5A53">
      <w:pPr>
        <w:pStyle w:val="FootnoteText"/>
      </w:pPr>
      <w:r>
        <w:rPr>
          <w:rStyle w:val="FootnoteReference"/>
        </w:rPr>
        <w:footnoteRef/>
      </w:r>
      <w:r w:rsidR="00A74395">
        <w:t xml:space="preserve"> ftp://ngs.sanger.ac.uk/production/pf-crosses/1.0/</w:t>
      </w:r>
    </w:p>
  </w:footnote>
  <w:footnote w:id="12">
    <w:p w:rsidR="00224F6A" w:rsidRDefault="00224F6A">
      <w:pPr>
        <w:pStyle w:val="FootnoteText"/>
      </w:pPr>
      <w:r>
        <w:rPr>
          <w:rStyle w:val="FootnoteReference"/>
        </w:rPr>
        <w:footnoteRef/>
      </w:r>
      <w:r w:rsidR="000118A7">
        <w:t xml:space="preserve"> ftp://ngs.sanger.ac.uk/production/pf-crosses/1.0/</w:t>
      </w:r>
    </w:p>
  </w:footnote>
  <w:footnote w:id="13">
    <w:p w:rsidR="00BC5A53" w:rsidRDefault="00BC5A53">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numRestart w:val="eachPage"/>
    <w:footnote w:id="-1"/>
    <w:footnote w:id="0"/>
  </w:footnotePr>
  <w:endnotePr>
    <w:endnote w:id="-1"/>
    <w:endnote w:id="0"/>
  </w:endnotePr>
  <w:compat/>
  <w:rsids>
    <w:rsidRoot w:val="00A24306"/>
    <w:rsid w:val="0001017A"/>
    <w:rsid w:val="000118A7"/>
    <w:rsid w:val="00013797"/>
    <w:rsid w:val="00016DA9"/>
    <w:rsid w:val="00022BF0"/>
    <w:rsid w:val="0004180F"/>
    <w:rsid w:val="00043C58"/>
    <w:rsid w:val="0005220C"/>
    <w:rsid w:val="000645D6"/>
    <w:rsid w:val="00065004"/>
    <w:rsid w:val="00071215"/>
    <w:rsid w:val="00077681"/>
    <w:rsid w:val="000840C7"/>
    <w:rsid w:val="000900EE"/>
    <w:rsid w:val="00092516"/>
    <w:rsid w:val="00093124"/>
    <w:rsid w:val="00093131"/>
    <w:rsid w:val="00094913"/>
    <w:rsid w:val="00094D11"/>
    <w:rsid w:val="00097BD4"/>
    <w:rsid w:val="000A1F02"/>
    <w:rsid w:val="000C02A8"/>
    <w:rsid w:val="000C3978"/>
    <w:rsid w:val="000C7198"/>
    <w:rsid w:val="000C7B24"/>
    <w:rsid w:val="000D1E36"/>
    <w:rsid w:val="000E06C9"/>
    <w:rsid w:val="0010383D"/>
    <w:rsid w:val="00105191"/>
    <w:rsid w:val="00107FF0"/>
    <w:rsid w:val="001149B3"/>
    <w:rsid w:val="00114AB5"/>
    <w:rsid w:val="00123EBE"/>
    <w:rsid w:val="001301E2"/>
    <w:rsid w:val="001321AD"/>
    <w:rsid w:val="00141CF3"/>
    <w:rsid w:val="00142C02"/>
    <w:rsid w:val="00143AF4"/>
    <w:rsid w:val="00153CF8"/>
    <w:rsid w:val="00161CD0"/>
    <w:rsid w:val="0016550F"/>
    <w:rsid w:val="00170A38"/>
    <w:rsid w:val="0017234E"/>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83E"/>
    <w:rsid w:val="00224F6A"/>
    <w:rsid w:val="00225E63"/>
    <w:rsid w:val="0022798B"/>
    <w:rsid w:val="00242B17"/>
    <w:rsid w:val="00242BE4"/>
    <w:rsid w:val="002453E7"/>
    <w:rsid w:val="002470B8"/>
    <w:rsid w:val="00263A8B"/>
    <w:rsid w:val="00264F25"/>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61C2"/>
    <w:rsid w:val="0043059A"/>
    <w:rsid w:val="004332D4"/>
    <w:rsid w:val="004357C6"/>
    <w:rsid w:val="00436C33"/>
    <w:rsid w:val="004403DA"/>
    <w:rsid w:val="004412FA"/>
    <w:rsid w:val="00442FA6"/>
    <w:rsid w:val="00446F45"/>
    <w:rsid w:val="00450E72"/>
    <w:rsid w:val="004531F4"/>
    <w:rsid w:val="004535B2"/>
    <w:rsid w:val="004568E5"/>
    <w:rsid w:val="00457090"/>
    <w:rsid w:val="00457F08"/>
    <w:rsid w:val="00467EE6"/>
    <w:rsid w:val="00486677"/>
    <w:rsid w:val="004925F5"/>
    <w:rsid w:val="00494F68"/>
    <w:rsid w:val="004A22CD"/>
    <w:rsid w:val="004A3C93"/>
    <w:rsid w:val="004B64BC"/>
    <w:rsid w:val="004B714B"/>
    <w:rsid w:val="004C01D4"/>
    <w:rsid w:val="004C331A"/>
    <w:rsid w:val="004C6EBF"/>
    <w:rsid w:val="004C7856"/>
    <w:rsid w:val="004D3DD9"/>
    <w:rsid w:val="004D3EE2"/>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36AF"/>
    <w:rsid w:val="006A5AA1"/>
    <w:rsid w:val="006B37E8"/>
    <w:rsid w:val="006C1DD2"/>
    <w:rsid w:val="006C6A25"/>
    <w:rsid w:val="006D6FCD"/>
    <w:rsid w:val="006E6764"/>
    <w:rsid w:val="006E7EA9"/>
    <w:rsid w:val="0072106A"/>
    <w:rsid w:val="007220F1"/>
    <w:rsid w:val="00725338"/>
    <w:rsid w:val="00732DD8"/>
    <w:rsid w:val="00734EF6"/>
    <w:rsid w:val="00754F50"/>
    <w:rsid w:val="00760802"/>
    <w:rsid w:val="0076105D"/>
    <w:rsid w:val="00766CC9"/>
    <w:rsid w:val="0077147F"/>
    <w:rsid w:val="00773905"/>
    <w:rsid w:val="0077582B"/>
    <w:rsid w:val="007827B2"/>
    <w:rsid w:val="00783242"/>
    <w:rsid w:val="00783449"/>
    <w:rsid w:val="007A13ED"/>
    <w:rsid w:val="007A3B6B"/>
    <w:rsid w:val="007A475F"/>
    <w:rsid w:val="007A49AA"/>
    <w:rsid w:val="007A4A23"/>
    <w:rsid w:val="007A5FFB"/>
    <w:rsid w:val="007B0CE7"/>
    <w:rsid w:val="007B45FA"/>
    <w:rsid w:val="007B6D3B"/>
    <w:rsid w:val="007C506F"/>
    <w:rsid w:val="007C6969"/>
    <w:rsid w:val="007D21C7"/>
    <w:rsid w:val="007D24A7"/>
    <w:rsid w:val="007D71A9"/>
    <w:rsid w:val="007E1951"/>
    <w:rsid w:val="007F6606"/>
    <w:rsid w:val="0080091F"/>
    <w:rsid w:val="008046A2"/>
    <w:rsid w:val="008066B3"/>
    <w:rsid w:val="00811543"/>
    <w:rsid w:val="00822F7D"/>
    <w:rsid w:val="008303C4"/>
    <w:rsid w:val="00831572"/>
    <w:rsid w:val="008336DB"/>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6698"/>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32224"/>
    <w:rsid w:val="00A42F7A"/>
    <w:rsid w:val="00A44E52"/>
    <w:rsid w:val="00A4677A"/>
    <w:rsid w:val="00A46A4E"/>
    <w:rsid w:val="00A50A39"/>
    <w:rsid w:val="00A55587"/>
    <w:rsid w:val="00A6066D"/>
    <w:rsid w:val="00A72CFF"/>
    <w:rsid w:val="00A74395"/>
    <w:rsid w:val="00A75769"/>
    <w:rsid w:val="00A87178"/>
    <w:rsid w:val="00AA71C7"/>
    <w:rsid w:val="00AC053E"/>
    <w:rsid w:val="00AC67A5"/>
    <w:rsid w:val="00AD0B6C"/>
    <w:rsid w:val="00AD509E"/>
    <w:rsid w:val="00AE2F47"/>
    <w:rsid w:val="00AE555C"/>
    <w:rsid w:val="00AF5355"/>
    <w:rsid w:val="00B037B8"/>
    <w:rsid w:val="00B05A9F"/>
    <w:rsid w:val="00B11DF3"/>
    <w:rsid w:val="00B1349E"/>
    <w:rsid w:val="00B139F3"/>
    <w:rsid w:val="00B1727B"/>
    <w:rsid w:val="00B241EF"/>
    <w:rsid w:val="00B32D1F"/>
    <w:rsid w:val="00B37C66"/>
    <w:rsid w:val="00B50155"/>
    <w:rsid w:val="00B513E5"/>
    <w:rsid w:val="00B537A3"/>
    <w:rsid w:val="00B65E4B"/>
    <w:rsid w:val="00B6677C"/>
    <w:rsid w:val="00BA0FA8"/>
    <w:rsid w:val="00BA4DCF"/>
    <w:rsid w:val="00BB0C47"/>
    <w:rsid w:val="00BB10EC"/>
    <w:rsid w:val="00BC5A53"/>
    <w:rsid w:val="00BD7C23"/>
    <w:rsid w:val="00BE0BCD"/>
    <w:rsid w:val="00BE5D41"/>
    <w:rsid w:val="00BF4505"/>
    <w:rsid w:val="00BF518B"/>
    <w:rsid w:val="00BF5714"/>
    <w:rsid w:val="00BF5E5E"/>
    <w:rsid w:val="00C03BD9"/>
    <w:rsid w:val="00C15FC0"/>
    <w:rsid w:val="00C208FD"/>
    <w:rsid w:val="00C24654"/>
    <w:rsid w:val="00C24746"/>
    <w:rsid w:val="00C32810"/>
    <w:rsid w:val="00C37853"/>
    <w:rsid w:val="00C42374"/>
    <w:rsid w:val="00C4455E"/>
    <w:rsid w:val="00C44746"/>
    <w:rsid w:val="00C47636"/>
    <w:rsid w:val="00C51B90"/>
    <w:rsid w:val="00C53090"/>
    <w:rsid w:val="00C63023"/>
    <w:rsid w:val="00C73348"/>
    <w:rsid w:val="00C7335B"/>
    <w:rsid w:val="00C8137E"/>
    <w:rsid w:val="00C81D5D"/>
    <w:rsid w:val="00C82549"/>
    <w:rsid w:val="00C95BB5"/>
    <w:rsid w:val="00C97C07"/>
    <w:rsid w:val="00CB2ADC"/>
    <w:rsid w:val="00CB6C32"/>
    <w:rsid w:val="00CC26CD"/>
    <w:rsid w:val="00CC4CEC"/>
    <w:rsid w:val="00CC57FE"/>
    <w:rsid w:val="00CD5EC1"/>
    <w:rsid w:val="00CD711E"/>
    <w:rsid w:val="00CE68E4"/>
    <w:rsid w:val="00CE7736"/>
    <w:rsid w:val="00CF2092"/>
    <w:rsid w:val="00D00B79"/>
    <w:rsid w:val="00D05581"/>
    <w:rsid w:val="00D07F33"/>
    <w:rsid w:val="00D1018D"/>
    <w:rsid w:val="00D14426"/>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B2FDB"/>
    <w:rsid w:val="00DC21CA"/>
    <w:rsid w:val="00DC41FA"/>
    <w:rsid w:val="00DC4403"/>
    <w:rsid w:val="00DC5736"/>
    <w:rsid w:val="00DC5FD7"/>
    <w:rsid w:val="00DC6B87"/>
    <w:rsid w:val="00DC78AE"/>
    <w:rsid w:val="00DD329D"/>
    <w:rsid w:val="00DD58EF"/>
    <w:rsid w:val="00DE05F9"/>
    <w:rsid w:val="00DE0EF1"/>
    <w:rsid w:val="00DE11E6"/>
    <w:rsid w:val="00DE48FA"/>
    <w:rsid w:val="00DE754D"/>
    <w:rsid w:val="00DF2176"/>
    <w:rsid w:val="00DF4B94"/>
    <w:rsid w:val="00DF6A03"/>
    <w:rsid w:val="00DF6B1D"/>
    <w:rsid w:val="00DF77B0"/>
    <w:rsid w:val="00E042AF"/>
    <w:rsid w:val="00E1296E"/>
    <w:rsid w:val="00E13949"/>
    <w:rsid w:val="00E1484F"/>
    <w:rsid w:val="00E174F7"/>
    <w:rsid w:val="00E224EF"/>
    <w:rsid w:val="00E23718"/>
    <w:rsid w:val="00E25470"/>
    <w:rsid w:val="00E3669F"/>
    <w:rsid w:val="00E36A4E"/>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77C67"/>
    <w:rsid w:val="00F803F5"/>
    <w:rsid w:val="00F81315"/>
    <w:rsid w:val="00F95A97"/>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4738"/>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395C6-0747-4455-99D0-0899FE31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6061</TotalTime>
  <Pages>27</Pages>
  <Words>86091</Words>
  <Characters>490720</Characters>
  <Application>Microsoft Office Word</Application>
  <DocSecurity>0</DocSecurity>
  <Lines>4089</Lines>
  <Paragraphs>1151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575660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aliman</cp:lastModifiedBy>
  <cp:revision>264</cp:revision>
  <dcterms:created xsi:type="dcterms:W3CDTF">2014-11-21T18:07:00Z</dcterms:created>
  <dcterms:modified xsi:type="dcterms:W3CDTF">2015-05-09T11:47:00Z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