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Default="00A24306" w:rsidP="00D3722C">
      <w:pPr>
        <w:pStyle w:val="Title"/>
      </w:pPr>
      <w:r>
        <w:t xml:space="preserve">Deep sequencing of </w:t>
      </w:r>
      <w:r w:rsidRPr="00A24306">
        <w:rPr>
          <w:i/>
        </w:rPr>
        <w:t>Plasmodium falciparum</w:t>
      </w:r>
      <w:r>
        <w:t xml:space="preserve"> </w:t>
      </w:r>
      <w:r w:rsidR="00B537A3">
        <w:t xml:space="preserve">genetic </w:t>
      </w:r>
      <w:r>
        <w:t>crosses: a resource for the study of genome variation and meiotic recombination</w:t>
      </w:r>
    </w:p>
    <w:p w:rsidR="003C55CB" w:rsidRDefault="00A24306" w:rsidP="00A24306">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fldChar w:fldCharType="begin"/>
      </w:r>
      <w:r w:rsidR="00EA015D">
        <w:instrText xml:space="preserve"> NOTEREF _Ref407025212 \h  \* MERGEFORMAT </w:instrText>
      </w:r>
      <w:r w:rsidR="00EA015D">
        <w:fldChar w:fldCharType="separate"/>
      </w:r>
      <w:r w:rsidR="00BA2ECE">
        <w:t>1</w:t>
      </w:r>
      <w:r w:rsidR="00EA015D">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5C3FF3">
        <w:rPr>
          <w:vertAlign w:val="superscript"/>
        </w:rPr>
      </w:r>
      <w:r w:rsidR="005C3FF3">
        <w:rPr>
          <w:vertAlign w:val="superscript"/>
        </w:rPr>
        <w:fldChar w:fldCharType="separate"/>
      </w:r>
      <w:r w:rsidR="00BA2ECE" w:rsidRPr="00BA2ECE">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5C3FF3">
        <w:rPr>
          <w:vertAlign w:val="superscript"/>
        </w:rPr>
      </w:r>
      <w:r w:rsidR="005C3FF3">
        <w:rPr>
          <w:vertAlign w:val="superscript"/>
        </w:rPr>
        <w:fldChar w:fldCharType="separate"/>
      </w:r>
      <w:r w:rsidR="00BA2ECE" w:rsidRPr="00BA2ECE">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5C3FF3">
        <w:fldChar w:fldCharType="separate"/>
      </w:r>
      <w:r w:rsidR="00BA2ECE" w:rsidRPr="00BA2ECE">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5C3FF3">
        <w:fldChar w:fldCharType="separate"/>
      </w:r>
      <w:r w:rsidR="00BA2ECE" w:rsidRPr="00BA2ECE">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BA2ECE" w:rsidRPr="00BA2ECE">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BA2ECE" w:rsidRPr="00BA2ECE">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BA2ECE" w:rsidRPr="00BA2ECE">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5C3FF3">
        <w:rPr>
          <w:vertAlign w:val="superscript"/>
        </w:rPr>
      </w:r>
      <w:r w:rsidR="005C3FF3">
        <w:rPr>
          <w:vertAlign w:val="superscript"/>
        </w:rPr>
        <w:fldChar w:fldCharType="separate"/>
      </w:r>
      <w:r w:rsidR="00BA2ECE" w:rsidRPr="00BA2ECE">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fldChar w:fldCharType="begin"/>
      </w:r>
      <w:r w:rsidR="00EA015D">
        <w:instrText xml:space="preserve"> NOTEREF _Ref</w:instrText>
      </w:r>
      <w:r w:rsidR="00EA015D">
        <w:instrText xml:space="preserve">417453778 \h  \* MERGEFORMAT </w:instrText>
      </w:r>
      <w:r w:rsidR="00EA015D">
        <w:fldChar w:fldCharType="separate"/>
      </w:r>
      <w:r w:rsidR="00BA2ECE">
        <w:t>7</w:t>
      </w:r>
      <w:r w:rsidR="00EA015D">
        <w:fldChar w:fldCharType="end"/>
      </w:r>
      <w:r w:rsidR="00BE5D41">
        <w:t>,</w:t>
      </w:r>
      <w:r w:rsidRPr="00A24306">
        <w:t xml:space="preserve"> </w:t>
      </w:r>
      <w:proofErr w:type="spellStart"/>
      <w:r w:rsidR="00BE5D41">
        <w:t>Upeka</w:t>
      </w:r>
      <w:proofErr w:type="spellEnd"/>
      <w:r w:rsidR="00BE5D41">
        <w:t xml:space="preserve"> Samarakoon</w:t>
      </w:r>
      <w:r w:rsidR="00EA015D">
        <w:fldChar w:fldCharType="begin"/>
      </w:r>
      <w:r w:rsidR="00EA015D">
        <w:instrText xml:space="preserve"> NOTEREF _Ref417453876 \h  \* MERGEFORMAT </w:instrText>
      </w:r>
      <w:r w:rsidR="00EA015D">
        <w:fldChar w:fldCharType="separate"/>
      </w:r>
      <w:r w:rsidR="00BA2ECE">
        <w:t>8</w:t>
      </w:r>
      <w:r w:rsidR="00EA015D">
        <w:fldChar w:fldCharType="end"/>
      </w:r>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5C3FF3">
        <w:fldChar w:fldCharType="separate"/>
      </w:r>
      <w:r w:rsidR="00BA2ECE" w:rsidRPr="00BA2ECE">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5C3FF3">
        <w:rPr>
          <w:vertAlign w:val="superscript"/>
        </w:rPr>
      </w:r>
      <w:r w:rsidR="005C3FF3">
        <w:rPr>
          <w:vertAlign w:val="superscript"/>
        </w:rPr>
        <w:fldChar w:fldCharType="separate"/>
      </w:r>
      <w:r w:rsidR="00BA2ECE" w:rsidRPr="00BA2ECE">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BA2ECE" w:rsidRPr="00BA2ECE">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BA2ECE" w:rsidRPr="00BA2ECE">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5C3FF3">
        <w:rPr>
          <w:vertAlign w:val="superscript"/>
        </w:rPr>
      </w:r>
      <w:r w:rsidR="005C3FF3">
        <w:rPr>
          <w:vertAlign w:val="superscript"/>
        </w:rPr>
        <w:fldChar w:fldCharType="separate"/>
      </w:r>
      <w:r w:rsidR="00BA2ECE" w:rsidRPr="00BA2ECE">
        <w:rPr>
          <w:rStyle w:val="FootnoteReference"/>
        </w:rPr>
        <w:t>1</w:t>
      </w:r>
      <w:r w:rsidR="005C3FF3">
        <w:rPr>
          <w:vertAlign w:val="superscript"/>
        </w:rPr>
        <w:fldChar w:fldCharType="end"/>
      </w:r>
    </w:p>
    <w:p w:rsidR="00A24306" w:rsidRDefault="00A24306" w:rsidP="00D3722C">
      <w:pPr>
        <w:pStyle w:val="Heading1"/>
      </w:pPr>
      <w:r>
        <w:t>Abstract</w:t>
      </w:r>
    </w:p>
    <w:p w:rsidR="00F803F5" w:rsidRDefault="00A24306" w:rsidP="00A24306">
      <w:r>
        <w:t xml:space="preserve">The human malaria parasite </w:t>
      </w:r>
      <w:r>
        <w:rPr>
          <w:i/>
        </w:rPr>
        <w:t>Plasmodium falciparum</w:t>
      </w:r>
      <w:r>
        <w:t xml:space="preserve"> </w:t>
      </w:r>
      <w:r w:rsidR="00F803F5">
        <w:t>continues to be</w:t>
      </w:r>
      <w:r>
        <w:t xml:space="preserve"> a major focus for public health research, as elimination efforts confront </w:t>
      </w:r>
      <w:r w:rsidR="00A46A4E">
        <w:t xml:space="preserve">the spread of </w:t>
      </w:r>
      <w:r w:rsidR="00F803F5">
        <w:t>artemisinin</w:t>
      </w:r>
      <w:r w:rsidR="00A46A4E">
        <w:t xml:space="preserve"> resistance</w:t>
      </w:r>
      <w:r w:rsidR="00F803F5">
        <w:t xml:space="preserve"> in South-East Asia</w:t>
      </w:r>
      <w:r w:rsidR="00A46A4E">
        <w:t xml:space="preserve">. These efforts stand to gain from a deeper knowledge of genetic diversity and recombination in parasite populations, yet </w:t>
      </w:r>
      <w:r w:rsidR="00A46A4E" w:rsidRPr="00A46A4E">
        <w:rPr>
          <w:i/>
        </w:rPr>
        <w:t>P. falciparum</w:t>
      </w:r>
      <w:r w:rsidR="00A46A4E">
        <w:t xml:space="preserve"> remains a difficult genome to study. To provide a foundation for ongoing research </w:t>
      </w:r>
      <w:r w:rsidR="002D236F">
        <w:t xml:space="preserve">in these </w:t>
      </w:r>
      <w:r w:rsidR="00CC57FE">
        <w:t xml:space="preserve">and other </w:t>
      </w:r>
      <w:r w:rsidR="002D236F">
        <w:t>areas</w:t>
      </w:r>
      <w:r w:rsidR="00CD711E">
        <w:t xml:space="preserve"> of </w:t>
      </w:r>
      <w:r w:rsidR="00CD711E" w:rsidRPr="00CD711E">
        <w:rPr>
          <w:i/>
        </w:rPr>
        <w:t>P. falciparum</w:t>
      </w:r>
      <w:r w:rsidR="00CD711E">
        <w:t xml:space="preserve"> genome biology</w:t>
      </w:r>
      <w:r w:rsidR="002D236F">
        <w:t>,</w:t>
      </w:r>
      <w:r w:rsidR="00A46A4E">
        <w:t xml:space="preserve"> we describe a data resource comprising whole genome deep sequencing of haploid parents and progeny from three genetic crosses. </w:t>
      </w:r>
      <w:r w:rsidR="008D7DCE">
        <w:t xml:space="preserve">We use the sequence data to construct a map of genome variation within each cross, spanning both coding and non-coding regions, and integrating SNP, </w:t>
      </w:r>
      <w:r w:rsidR="00F230BE">
        <w:t>INDEL</w:t>
      </w:r>
      <w:r w:rsidR="008D7DCE">
        <w:t xml:space="preserve"> and complex polymorphisms. </w:t>
      </w:r>
      <w:r w:rsidR="00F803F5">
        <w:t xml:space="preserve">We confirm that </w:t>
      </w:r>
      <w:r w:rsidR="00F230BE">
        <w:t>INDEL</w:t>
      </w:r>
      <w:r w:rsidR="00F803F5">
        <w:t xml:space="preserve">s are </w:t>
      </w:r>
      <w:r w:rsidR="00B11DF3">
        <w:t xml:space="preserve">exceptionally </w:t>
      </w:r>
      <w:r w:rsidR="00F803F5">
        <w:t>abundant, being more common than SNPs and thus the dominant mode of polymorphism</w:t>
      </w:r>
      <w:r w:rsidR="00BF5E5E">
        <w:t xml:space="preserve"> within the core genome</w:t>
      </w:r>
      <w:r w:rsidR="00F803F5">
        <w:t xml:space="preserve">. This map of variation can serve as a </w:t>
      </w:r>
      <w:r w:rsidR="00CC57FE">
        <w:t>robust</w:t>
      </w:r>
      <w:r w:rsidR="00F803F5">
        <w:t xml:space="preserve"> reference point for studies of variation in natural populations, as well as a tool </w:t>
      </w:r>
      <w:r w:rsidR="00F803F5">
        <w:lastRenderedPageBreak/>
        <w:t xml:space="preserve">for </w:t>
      </w:r>
      <w:r w:rsidR="00CC57FE">
        <w:t xml:space="preserve">fine-grained </w:t>
      </w:r>
      <w:r w:rsidR="00F803F5">
        <w:t xml:space="preserve">genotype-phenotype studies within the crosses themselves. We </w:t>
      </w:r>
      <w:r w:rsidR="00624AF9">
        <w:t xml:space="preserve">use the variation data to address </w:t>
      </w:r>
      <w:r w:rsidR="00B11DF3">
        <w:t xml:space="preserve">open questions regarding meiotic recombination, including the relative contribution of crossover and non-crossover </w:t>
      </w:r>
      <w:r w:rsidR="00213F97">
        <w:t>events</w:t>
      </w:r>
      <w:r w:rsidR="00B11DF3">
        <w:t xml:space="preserve">, and the factors influencing variation in recombination rate over the genome. Finally, we study a peculiar </w:t>
      </w:r>
      <w:r w:rsidR="000645D6">
        <w:t>phenomenon within these crosses whereby several progeny have undergone meiotic recombination within regions of copy number amplification</w:t>
      </w:r>
      <w:r w:rsidR="008336DB">
        <w:t xml:space="preserve"> associated with drug resistance</w:t>
      </w:r>
      <w:r w:rsidR="000645D6">
        <w:t>, and discuss the implications for the potenti</w:t>
      </w:r>
      <w:r w:rsidR="00BF5E5E">
        <w:t xml:space="preserve">al of this species to undergo </w:t>
      </w:r>
      <w:r w:rsidR="000645D6">
        <w:t>bursts of evolution within genome regions under strong selection.</w:t>
      </w:r>
    </w:p>
    <w:p w:rsidR="00436C33" w:rsidRDefault="00436C33" w:rsidP="00D3722C">
      <w:pPr>
        <w:pStyle w:val="Heading1"/>
      </w:pPr>
      <w:r>
        <w:t>Introduction</w:t>
      </w:r>
    </w:p>
    <w:p w:rsidR="00B1727B" w:rsidRDefault="00C37853" w:rsidP="00436C33">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High throughput sequencing is a proven technology for the study of genome variation in </w:t>
      </w:r>
      <w:r w:rsidR="0031069D" w:rsidRPr="0031069D">
        <w:rPr>
          <w:i/>
        </w:rPr>
        <w:t>P. falciparum</w:t>
      </w:r>
      <w:r w:rsidR="0066222C">
        <w:t>, and has yielded insights into</w:t>
      </w:r>
      <w:r w:rsidR="0031069D">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However</w:t>
      </w:r>
      <w:r w:rsidR="006065AE">
        <w:t xml:space="preserve">, knowledge </w:t>
      </w:r>
      <w:r w:rsidR="001C088D">
        <w:t>of genome variation</w:t>
      </w:r>
      <w:r w:rsidR="00DE11E6">
        <w:t xml:space="preserve"> is still incomplete</w:t>
      </w:r>
      <w:r w:rsidR="0066222C">
        <w:t xml:space="preserve">, in part because </w:t>
      </w:r>
      <w:r w:rsidR="00DE11E6">
        <w:t>several</w:t>
      </w:r>
      <w:r w:rsidR="0066222C">
        <w:t xml:space="preserve"> factors make the </w:t>
      </w:r>
      <w:r w:rsidR="0066222C">
        <w:rPr>
          <w:i/>
        </w:rPr>
        <w:t>P. falciparum</w:t>
      </w:r>
      <w:r w:rsidR="0066222C">
        <w:t xml:space="preserve"> genome difficult to study in its e</w:t>
      </w:r>
      <w:r w:rsidR="00D52B09">
        <w:t>ntirety. 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D6625D">
        <w:t xml:space="preserve">Despite being free of transposable elements, the genome </w:t>
      </w:r>
      <w:r w:rsidR="00BF5E5E">
        <w:t xml:space="preserve">is </w:t>
      </w:r>
      <w:r w:rsidR="0066222C">
        <w:t>highly repetitive, with short tandem repeats</w:t>
      </w:r>
      <w:r w:rsidR="00DE11E6">
        <w:t xml:space="preserve"> </w:t>
      </w:r>
      <w:r w:rsidR="00D6625D">
        <w:t xml:space="preserve">and other low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Several multi-copy gene families encoding </w:t>
      </w:r>
      <w:r w:rsidR="00213F97">
        <w:t xml:space="preserve">erythrocyte </w:t>
      </w:r>
      <w:r w:rsidR="0066222C">
        <w:t>surface antigens are hypervariable, diversify</w:t>
      </w:r>
      <w:r w:rsidR="001C088D">
        <w:t>ing</w:t>
      </w:r>
      <w:r w:rsidR="0066222C">
        <w:t xml:space="preserve"> within the course of a single infection via ectopic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66222C">
        <w:t>. Other genes associated with the blood-stage exhibit deep and possibly ancient allelic dimorphisms under balancing selection</w:t>
      </w:r>
      <w:r w:rsidR="008F4EA1">
        <w:t>,</w:t>
      </w:r>
      <w:r w:rsidR="0066222C">
        <w:t xml:space="preserve"> </w:t>
      </w:r>
      <w:r w:rsidR="00213F97">
        <w:t xml:space="preserve">where one or more allele families </w:t>
      </w:r>
      <w:r w:rsidR="00530F60">
        <w:t>are</w:t>
      </w:r>
      <w:r w:rsidR="00213F97">
        <w:t xml:space="preserve"> highly diverged from the reference sequence</w:t>
      </w:r>
      <w:r w:rsidR="001C1697">
        <w:t xml:space="preserve"> </w:t>
      </w:r>
      <w:r w:rsidR="005C3FF3">
        <w:fldChar w:fldCharType="begin" w:fldLock="1"/>
      </w:r>
      <w:r w:rsidR="00EE1931">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"previouslyFormattedCitation" : "(Roy et al. 2008)" }, "properties" : { "noteIndex" : 0 }, "schema" : "https://github.com/citation-style-language/schema/raw/master/csl-citation.json" }</w:instrText>
      </w:r>
      <w:r w:rsidR="005C3FF3">
        <w:fldChar w:fldCharType="separate"/>
      </w:r>
      <w:r w:rsidR="00194EE4" w:rsidRPr="00194EE4">
        <w:rPr>
          <w:noProof/>
        </w:rPr>
        <w:t>(Roy et al. 2008)</w:t>
      </w:r>
      <w:r w:rsidR="005C3FF3">
        <w:fldChar w:fldCharType="end"/>
      </w:r>
      <w:r w:rsidR="0066222C">
        <w:t>.</w:t>
      </w:r>
      <w:r w:rsidR="00B1727B">
        <w:t xml:space="preserve"> These factors </w:t>
      </w:r>
      <w:r w:rsidR="001C088D">
        <w:t>challenge both the sequencing technology itself and methods for variant discovery and genotyping</w:t>
      </w:r>
      <w:r w:rsidR="00EA3CED">
        <w:t xml:space="preserve"> from </w:t>
      </w:r>
      <w:r w:rsidR="006065AE">
        <w:t>high throughput</w:t>
      </w:r>
      <w:r w:rsidR="00EA3CED">
        <w:t xml:space="preserve"> sequence </w:t>
      </w:r>
      <w:r w:rsidR="006065AE">
        <w:t>data</w:t>
      </w:r>
      <w:r w:rsidR="00B1727B">
        <w:t xml:space="preserve">. </w:t>
      </w:r>
      <w:r w:rsidR="00530F60">
        <w:t>Data on insertion/deletion (</w:t>
      </w:r>
      <w:r w:rsidR="00F230BE">
        <w:t>INDEL</w:t>
      </w:r>
      <w:r w:rsidR="00C73348">
        <w:t>) variation are limited</w:t>
      </w:r>
      <w:r w:rsidR="008F4EA1">
        <w:t>,</w:t>
      </w:r>
      <w:r w:rsidR="00C73348">
        <w:t xml:space="preserve"> </w:t>
      </w:r>
      <w:r w:rsidR="00530F60">
        <w:t xml:space="preserve">although </w:t>
      </w:r>
      <w:r w:rsidR="003D1E9D">
        <w:t>there is</w:t>
      </w:r>
      <w:r w:rsidR="001C1697">
        <w:t xml:space="preserve"> evidence </w:t>
      </w:r>
      <w:r w:rsidR="00530F60">
        <w:t xml:space="preserve">that </w:t>
      </w:r>
      <w:r w:rsidR="00F230BE">
        <w:t>INDEL</w:t>
      </w:r>
      <w:r w:rsidR="00530F60">
        <w:t xml:space="preserve">s may be unusually abundant </w:t>
      </w:r>
      <w:r w:rsidR="005C3FF3">
        <w:fldChar w:fldCharType="begin" w:fldLock="1"/>
      </w:r>
      <w:r w:rsidR="00EE1931">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5C3FF3">
        <w:fldChar w:fldCharType="separate"/>
      </w:r>
      <w:r w:rsidR="00194EE4" w:rsidRPr="00194EE4">
        <w:rPr>
          <w:noProof/>
        </w:rPr>
        <w:t>(Jeffares et al. 2007; Haerty &amp; Golding 2011; Tan et al. 2010)</w:t>
      </w:r>
      <w:r w:rsidR="005C3FF3">
        <w:fldChar w:fldCharType="end"/>
      </w:r>
      <w:r w:rsidR="00530F60">
        <w:t xml:space="preserve">. </w:t>
      </w:r>
      <w:r w:rsidR="00B1727B">
        <w:t xml:space="preserve">Little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w:t>
      </w:r>
      <w:r w:rsidR="00B1727B">
        <w:lastRenderedPageBreak/>
        <w:t xml:space="preserve">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B1727B">
        <w:t>.</w:t>
      </w:r>
    </w:p>
    <w:p w:rsidR="00DE11E6" w:rsidRDefault="00523D59" w:rsidP="001C088D">
      <w:r>
        <w:t xml:space="preserve">There are many </w:t>
      </w:r>
      <w:r w:rsidR="00C8137E">
        <w:t>potential sources of error</w:t>
      </w:r>
      <w:r>
        <w:t xml:space="preserve"> in the process </w:t>
      </w:r>
      <w:r w:rsidR="00094D11">
        <w:t xml:space="preserve">of high throughput sequencing and </w:t>
      </w:r>
      <w:r>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t xml:space="preserve">. </w:t>
      </w:r>
      <w:r w:rsidR="00016DA9">
        <w:t>Sequencing of replicates provides one strate</w:t>
      </w:r>
      <w:r w:rsidR="00E52F83">
        <w:t>gy for mitigating errors</w:t>
      </w:r>
      <w:r w:rsidR="00016DA9">
        <w:t>. Also, b</w:t>
      </w:r>
      <w:r w:rsidR="001C088D">
        <w:t xml:space="preserve">y sequencing related individuals, </w:t>
      </w:r>
      <w:r w:rsidR="00C8137E">
        <w:t>genotypes</w:t>
      </w:r>
      <w:r w:rsidR="00213F97">
        <w:t xml:space="preserve"> </w:t>
      </w:r>
      <w:r w:rsidR="001C088D">
        <w:t xml:space="preserve">that are in violation of Mendelian </w:t>
      </w:r>
      <w:r w:rsidR="000900EE">
        <w:t>inheritance</w:t>
      </w:r>
      <w:r w:rsidR="001C088D">
        <w:t xml:space="preserve"> can be identified</w:t>
      </w:r>
      <w:r w:rsidR="00123EBE">
        <w:t>. While a small number of de novo mutations are expected in progeny of a cross, the vast majority of Mendelian inconsistencies will reflect errors in variant discovery and/or genotyping, and thus can be used to calibrate methods and filter data</w:t>
      </w:r>
      <w:r w:rsidR="00890734">
        <w:t xml:space="preserve">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 xml:space="preserve">. </w:t>
      </w:r>
      <w:r w:rsidR="00DE11E6">
        <w:t xml:space="preserve">Unfortunately, although pedigrees can be readily obtained for </w:t>
      </w:r>
      <w:r w:rsidR="00EA1963">
        <w:t xml:space="preserve">many </w:t>
      </w:r>
      <w:r w:rsidR="00DE11E6">
        <w:t xml:space="preserve">species, this is currently not the case for </w:t>
      </w:r>
      <w:r w:rsidR="00DE11E6" w:rsidRPr="00DE11E6">
        <w:rPr>
          <w:i/>
        </w:rPr>
        <w:t>P. falciparum</w:t>
      </w:r>
      <w:r w:rsidR="00DE11E6">
        <w:t xml:space="preserve">.  </w:t>
      </w:r>
      <w:r w:rsidR="001C68E4">
        <w:t>The parasite is</w:t>
      </w:r>
      <w:r w:rsidR="00A72CFF">
        <w:t xml:space="preserve"> sexually reproducing</w:t>
      </w:r>
      <w:r w:rsidR="001C68E4">
        <w:t xml:space="preserve"> but remains</w:t>
      </w:r>
      <w:r w:rsidR="00A72CFF">
        <w:t xml:space="preserve"> haploid for the majority of its life cycle, ex</w:t>
      </w:r>
      <w:r w:rsidR="001C68E4">
        <w:t>isting</w:t>
      </w:r>
      <w:r w:rsidR="00A72CFF">
        <w:t xml:space="preserve"> only briefly as a diploid when tak</w:t>
      </w:r>
      <w:r w:rsidR="001C68E4">
        <w:t>en up into the mosquito mid-gut</w:t>
      </w:r>
      <w:r w:rsidR="00A72CFF">
        <w:t xml:space="preserve"> where it undergoes meiosis</w:t>
      </w:r>
      <w:r w:rsidR="001C1697">
        <w:t xml:space="preserve"> </w:t>
      </w:r>
      <w:r w:rsidR="005C3FF3">
        <w:fldChar w:fldCharType="begin" w:fldLock="1"/>
      </w:r>
      <w:r w:rsidR="00EE1931">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194EE4" w:rsidRPr="00194EE4">
        <w:rPr>
          <w:noProof/>
        </w:rPr>
        <w:t>(Walliker et al. 1987)</w:t>
      </w:r>
      <w:r w:rsidR="005C3FF3">
        <w:fldChar w:fldCharType="end"/>
      </w:r>
      <w:r w:rsidR="00A72CFF">
        <w:t xml:space="preserve">. Crossing </w:t>
      </w:r>
      <w:r w:rsidR="00A72CFF">
        <w:rPr>
          <w:i/>
        </w:rPr>
        <w:t xml:space="preserve">P. falciparum </w:t>
      </w:r>
      <w:r w:rsidR="00A72CFF">
        <w:t xml:space="preserve">parasites </w:t>
      </w:r>
      <w:r w:rsidR="0040749C">
        <w:t xml:space="preserve">currently </w:t>
      </w:r>
      <w:r w:rsidR="00A72CFF">
        <w:t xml:space="preserve">involves a laborious and difficult process of mixing clones that are fed to mosquitoes, which are then used to generate blood stage parasites by biting non-human primates. As a result, only three experimental crosses have been published to date, where they have </w:t>
      </w:r>
      <w:r w:rsidR="009044CA">
        <w:t xml:space="preserve">led to key discoveries regarding the </w:t>
      </w:r>
      <w:r w:rsidR="00A72CFF">
        <w:t xml:space="preserve">causes of drug resistance </w:t>
      </w:r>
      <w:r w:rsidR="005C3FF3">
        <w:fldChar w:fldCharType="begin" w:fldLock="1"/>
      </w:r>
      <w:r w:rsidR="00EE1931">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5C3FF3">
        <w:fldChar w:fldCharType="separate"/>
      </w:r>
      <w:r w:rsidR="00194EE4" w:rsidRPr="00194EE4">
        <w:rPr>
          <w:noProof/>
        </w:rPr>
        <w:t>(Wellems et al. 1991)</w:t>
      </w:r>
      <w:r w:rsidR="005C3FF3">
        <w:fldChar w:fldCharType="end"/>
      </w:r>
      <w:r w:rsidR="00A72CFF">
        <w:t xml:space="preserve"> and host specificity </w:t>
      </w:r>
      <w:r w:rsidR="005C3FF3">
        <w:fldChar w:fldCharType="begin" w:fldLock="1"/>
      </w:r>
      <w:r w:rsidR="00EE1931">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194EE4" w:rsidRPr="00194EE4">
        <w:rPr>
          <w:noProof/>
        </w:rPr>
        <w:t>(Hayton et al. 2008)</w:t>
      </w:r>
      <w:r w:rsidR="005C3FF3">
        <w:fldChar w:fldCharType="end"/>
      </w:r>
      <w:r w:rsidR="00A72CFF">
        <w:t xml:space="preserve">. However, although </w:t>
      </w:r>
      <w:r w:rsidR="00367A11">
        <w:t xml:space="preserve">only a limited number of </w:t>
      </w:r>
      <w:r w:rsidR="00A72CFF">
        <w:t xml:space="preserve">crosses </w:t>
      </w:r>
      <w:r w:rsidR="00367A11">
        <w:t>are currently available</w:t>
      </w:r>
      <w:r w:rsidR="00A72CFF">
        <w:t xml:space="preserve">, </w:t>
      </w:r>
      <w:r w:rsidR="00367A11">
        <w:t>typically more than 3</w:t>
      </w:r>
      <w:r w:rsidR="004C331A">
        <w:t xml:space="preserve">0 genetically distinct </w:t>
      </w:r>
      <w:r w:rsidR="00A72CFF">
        <w:t>progeny clones</w:t>
      </w:r>
      <w:r w:rsidR="004C331A">
        <w:t xml:space="preserve"> can be obtained from a single cross</w:t>
      </w:r>
      <w:r w:rsidR="00367A11">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367A11" w:rsidRPr="00367A11">
        <w:rPr>
          <w:noProof/>
        </w:rPr>
        <w:t>(Ranford-Cartwright &amp; Mwangi 2012)</w:t>
      </w:r>
      <w:r w:rsidR="005C3FF3">
        <w:fldChar w:fldCharType="end"/>
      </w:r>
      <w:r w:rsidR="00924F7E">
        <w:t>. The large number of progeny</w:t>
      </w:r>
      <w:r w:rsidR="00A72CFF">
        <w:t xml:space="preserve"> </w:t>
      </w:r>
      <w:r w:rsidR="0040749C">
        <w:t>provides</w:t>
      </w:r>
      <w:r w:rsidR="00A72CFF">
        <w:t xml:space="preserve"> a higher power to observe Mendelian errors than smaller pedigrees or trios</w:t>
      </w:r>
      <w:r w:rsidR="00924F7E">
        <w:t>, and thus to identify variants which are spurious or where genotyping is unreliable</w:t>
      </w:r>
      <w:r w:rsidR="00A72CFF">
        <w:t>. These three crosses are therefore a precious resource for studying genome variation</w:t>
      </w:r>
      <w:r w:rsidR="00624AF9">
        <w:t xml:space="preserve"> in </w:t>
      </w:r>
      <w:r w:rsidR="00624AF9" w:rsidRPr="00624AF9">
        <w:rPr>
          <w:i/>
        </w:rPr>
        <w:t>P. falciparum</w:t>
      </w:r>
      <w:r w:rsidR="00A72CFF">
        <w:t xml:space="preserve">, because </w:t>
      </w:r>
      <w:r w:rsidR="00016DA9">
        <w:t>biological replicates can be readily obtained</w:t>
      </w:r>
      <w:r w:rsidR="003D5E66">
        <w:t xml:space="preserve"> by </w:t>
      </w:r>
      <w:r w:rsidR="003D5E66">
        <w:rPr>
          <w:i/>
        </w:rPr>
        <w:t xml:space="preserve">in vitro </w:t>
      </w:r>
      <w:r w:rsidR="003D5E66">
        <w:t>culture methods</w:t>
      </w:r>
      <w:r w:rsidR="00016DA9">
        <w:t xml:space="preserve">, and because </w:t>
      </w:r>
      <w:r w:rsidR="00A72CFF">
        <w:t>they represent the only</w:t>
      </w:r>
      <w:r w:rsidR="00016DA9">
        <w:t xml:space="preserve"> experimental system</w:t>
      </w:r>
      <w:r w:rsidR="00A72CFF">
        <w:t xml:space="preserve"> within which </w:t>
      </w:r>
      <w:r w:rsidR="00016DA9">
        <w:t>Mendelian errors can be observed</w:t>
      </w:r>
      <w:r w:rsidR="003D5E66">
        <w:t xml:space="preserve"> and used to guide variant discovery</w:t>
      </w:r>
      <w:r w:rsidR="00A72CFF">
        <w:t>.</w:t>
      </w:r>
    </w:p>
    <w:p w:rsidR="00A72CFF" w:rsidRDefault="00783242" w:rsidP="001C088D">
      <w:r>
        <w:t xml:space="preserve">Here we describe a data resource comprising whole genome deep sequencing of parents and progeny of three experimental </w:t>
      </w:r>
      <w:r w:rsidR="009E5C7B">
        <w:rPr>
          <w:i/>
        </w:rPr>
        <w:t>P.</w:t>
      </w:r>
      <w:r>
        <w:rPr>
          <w:i/>
        </w:rPr>
        <w:t xml:space="preserve"> falciparum</w:t>
      </w:r>
      <w:r>
        <w:t xml:space="preserve"> </w:t>
      </w:r>
      <w:r w:rsidR="00530F60">
        <w:t xml:space="preserve">genetic </w:t>
      </w:r>
      <w:r>
        <w:t xml:space="preserve">crosses, involving the parental clones 3D7, HB3, Dd2, 7G8 and GB4, representing </w:t>
      </w:r>
      <w:r w:rsidR="0065235B">
        <w:t xml:space="preserve">a </w:t>
      </w:r>
      <w:r w:rsidR="00AE2F47">
        <w:t xml:space="preserve">broad </w:t>
      </w:r>
      <w:r w:rsidR="0065235B">
        <w:t>range of genetic and phenotypic diversity</w:t>
      </w:r>
      <w:r w:rsidR="002453E7">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2453E7" w:rsidRPr="002453E7">
        <w:rPr>
          <w:noProof/>
        </w:rPr>
        <w:t>(Ranford-Cartwright &amp; Mwangi 2012)</w:t>
      </w:r>
      <w:r w:rsidR="005C3FF3">
        <w:fldChar w:fldCharType="end"/>
      </w:r>
      <w:r>
        <w:t xml:space="preserve">. We use a combination of methods for variant discovery, leveraging both alignment of sequence reads to the 3D7 reference genome </w:t>
      </w:r>
      <w:r w:rsidR="005C3FF3">
        <w:fldChar w:fldCharType="begin" w:fldLock="1"/>
      </w:r>
      <w:r w:rsidR="0016550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rsidR="005C3FF3">
        <w:fldChar w:fldCharType="separate"/>
      </w:r>
      <w:r w:rsidR="008F4EA1" w:rsidRPr="008F4EA1">
        <w:rPr>
          <w:noProof/>
        </w:rPr>
        <w:t>(DePristo et al. 2011; Li &amp; Durbin 2009; McKenna et al. 2010)</w:t>
      </w:r>
      <w:r w:rsidR="005C3FF3">
        <w:fldChar w:fldCharType="end"/>
      </w:r>
      <w:r w:rsidR="00194EE4">
        <w:t xml:space="preserve"> </w:t>
      </w:r>
      <w:r>
        <w:t>and reference-fre</w:t>
      </w:r>
      <w:r w:rsidR="00194EE4">
        <w:t xml:space="preserve">e sequence assembly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194EE4" w:rsidRPr="00194EE4">
        <w:rPr>
          <w:noProof/>
        </w:rPr>
        <w:t>(Iqbal et al. 2012)</w:t>
      </w:r>
      <w:r w:rsidR="005C3FF3">
        <w:fldChar w:fldCharType="end"/>
      </w:r>
      <w:r w:rsidR="00BF5E5E">
        <w:t xml:space="preserve"> to build a</w:t>
      </w:r>
      <w:r>
        <w:t xml:space="preserve"> map of genome variation within each cross </w:t>
      </w:r>
      <w:r w:rsidR="009044CA">
        <w:t>incorporating</w:t>
      </w:r>
      <w:r>
        <w:t xml:space="preserve"> SNP, </w:t>
      </w:r>
      <w:r w:rsidR="00F230BE">
        <w:t>INDEL</w:t>
      </w:r>
      <w:r>
        <w:t xml:space="preserve"> and complex polymorphisms.</w:t>
      </w:r>
      <w:r w:rsidR="002759C7">
        <w:t xml:space="preserve"> </w:t>
      </w:r>
      <w:r>
        <w:t>All of the variants included in the final call set</w:t>
      </w:r>
      <w:r w:rsidR="00BF5E5E">
        <w:t>s</w:t>
      </w:r>
      <w:r>
        <w:t xml:space="preserve"> are highly consistent with Mendelian inheritance and show almost perfect genotype concordance between biological replicates, and hence could serve as a </w:t>
      </w:r>
      <w:r>
        <w:lastRenderedPageBreak/>
        <w:t xml:space="preserve">positive training set to underpin variant discovery in </w:t>
      </w:r>
      <w:r w:rsidR="002759C7">
        <w:t>other studies</w:t>
      </w:r>
      <w:r>
        <w:t>.</w:t>
      </w:r>
      <w:r w:rsidR="002759C7">
        <w:t xml:space="preserve"> These data also reveal some interesting features of genome variation</w:t>
      </w:r>
      <w:r w:rsidR="0040749C">
        <w:t xml:space="preserve"> between the parental clones</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research and education</w:t>
      </w:r>
      <w:r w:rsidR="00FA54A3">
        <w:t xml:space="preserve">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1C4E6F" w:rsidRDefault="00A32224" w:rsidP="001C088D">
      <w:r>
        <w:t xml:space="preserve">We also </w:t>
      </w:r>
      <w:r w:rsidR="009E5C7B">
        <w:t>address</w:t>
      </w:r>
      <w:r w:rsidR="00622DB4">
        <w:t xml:space="preserve"> </w:t>
      </w:r>
      <w:r>
        <w:t xml:space="preserve">open questions regarding meiotic recombination in </w:t>
      </w:r>
      <w:r w:rsidRPr="00A32224">
        <w:rPr>
          <w:i/>
        </w:rPr>
        <w:t>P. falciparum</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 xml:space="preserve">, finding evidence 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non-crossovers</w:t>
      </w:r>
      <w:r w:rsidR="007C6969">
        <w:t xml:space="preserve">, and </w:t>
      </w:r>
      <w:r w:rsidR="006E7EA9">
        <w:t xml:space="preserve">estimate rates for both types of recombination event. This resolution is also sufficient to resolve the location of most recombination events relative to gene and exon boundaries and study spatial variation in recombination rates. Finally we investigate recombination in the context of two large </w:t>
      </w:r>
      <w:r w:rsidR="00BA4DCF">
        <w:t>regions of copy number amplification</w:t>
      </w:r>
      <w:r w:rsidR="006E7EA9">
        <w:t xml:space="preserve">, </w:t>
      </w:r>
      <w:r w:rsidR="001C4E6F">
        <w:t xml:space="preserve">both of </w:t>
      </w:r>
      <w:r w:rsidR="006E7EA9">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rsidR="006E7EA9">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3722C">
      <w:pPr>
        <w:pStyle w:val="Heading1"/>
      </w:pPr>
      <w:r>
        <w:t>Results</w:t>
      </w:r>
    </w:p>
    <w:p w:rsidR="0066428C" w:rsidRDefault="00831572" w:rsidP="00D3722C">
      <w:pPr>
        <w:pStyle w:val="Heading2"/>
      </w:pPr>
      <w:r>
        <w:t>Whole genome sequencing and genome accessibility</w:t>
      </w:r>
    </w:p>
    <w:p w:rsidR="00BA4DCF" w:rsidRDefault="00EA3CED" w:rsidP="00EA3CED">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w:t>
      </w:r>
      <w:r>
        <w:lastRenderedPageBreak/>
        <w:t xml:space="preserve">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1) and HB3(2) for crosses 3D7×HB3 and HB3×</w:t>
      </w:r>
      <w:r w:rsidR="0072106A">
        <w:t xml:space="preserve">Dd2 respectively. For several progeny </w:t>
      </w:r>
      <w:r w:rsidR="001C68E4">
        <w:t xml:space="preserve">clones </w:t>
      </w:r>
      <w:r w:rsidR="0072106A">
        <w:t xml:space="preserve">biological replicates were </w:t>
      </w:r>
      <w:r w:rsidR="006C1DD2">
        <w:t>obtained</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can be obtained via the web application at </w:t>
      </w:r>
      <w:hyperlink r:id="rId8"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EA3CED">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 xml:space="preserve">Supplementary Information; Figures S1-S3; </w:t>
      </w:r>
      <w:r w:rsidR="00B1349E">
        <w:t xml:space="preserve">a BED file defining the boundaries of these regions </w:t>
      </w:r>
      <w:r w:rsidR="00B513E5">
        <w:t>can be downloaded from the FTP site</w:t>
      </w:r>
      <w:r w:rsidR="00B513E5">
        <w:rPr>
          <w:rStyle w:val="FootnoteReference"/>
        </w:rPr>
        <w:footnoteReference w:id="11"/>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3722C">
      <w:pPr>
        <w:pStyle w:val="Heading2"/>
      </w:pPr>
      <w:r>
        <w:lastRenderedPageBreak/>
        <w:t xml:space="preserve">SNP, </w:t>
      </w:r>
      <w:r w:rsidR="00F230BE">
        <w:t>INDEL</w:t>
      </w:r>
      <w:r>
        <w:t xml:space="preserve"> and complex variation</w:t>
      </w:r>
      <w:r w:rsidR="00092516">
        <w:t xml:space="preserve"> within the core genome</w:t>
      </w:r>
    </w:p>
    <w:p w:rsidR="000118A7" w:rsidRDefault="00BF5714" w:rsidP="00831572">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p>
    <w:p w:rsidR="000118A7" w:rsidRDefault="00224F6A" w:rsidP="00831572">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are true genetic marker</w:t>
      </w:r>
      <w:bookmarkStart w:id="6" w:name="_GoBack"/>
      <w:bookmarkEnd w:id="6"/>
      <w:r w:rsidR="002233EA">
        <w:t xml:space="preserve">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FC41D8">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"http://www.mendeley.com/documents/?uuid=a9fb526e-9f0c-4c10-a6a8-8adc387a9d3c", "http://www.mendeley.com/documents/?uuid=d5611798-eaa8-42d9-9833-1d69a9aeed51" ] } ], "mendeley" : { "formattedCitation" : "(Birren et al. 2006a)", "plainTextFormattedCitation" : "(Birren et al. 2006a)", "previouslyFormattedCitation" : "(Birren et al. 2006a)" }, "properties" : { "noteIndex" : 0 }, "schema" : "https://github.com/citation-style-language/schema/raw/master/csl-citation.json" }</w:instrText>
      </w:r>
      <w:r w:rsidR="005C3FF3">
        <w:fldChar w:fldCharType="separate"/>
      </w:r>
      <w:r w:rsidR="0056071D" w:rsidRPr="0056071D">
        <w:rPr>
          <w:noProof/>
        </w:rPr>
        <w:t>(Birren et al. 2006a)</w:t>
      </w:r>
      <w:r w:rsidR="005C3FF3">
        <w:fldChar w:fldCharType="end"/>
      </w:r>
      <w:r w:rsidR="00BC5A53">
        <w:t xml:space="preserve"> and publicly available HB3 gene sequences (Supplementary Information). </w:t>
      </w:r>
      <w:r w:rsidR="00D1018D">
        <w:t>We estimated a SNP FDR between 0.6-2.7% for the alignment-based calling 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r w:rsidR="00A74395">
        <w:t>, however we noted a number of discordances between previously published sequences, making accurate FDR estimation difficult</w:t>
      </w:r>
      <w:r w:rsidR="000118A7">
        <w:t xml:space="preserve"> (Supplementary Information)</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This lower sensitivity was partly due to the fact that the assembly-based calling method was only capable of genotyping biallelic var</w:t>
      </w:r>
      <w:r w:rsidR="000118A7">
        <w:t>iants. All segregating variants</w:t>
      </w:r>
      <w:r w:rsidR="00CF2092">
        <w:t xml:space="preserve"> in the 3D7xHB3 cross </w:t>
      </w:r>
      <w:r w:rsidR="000118A7">
        <w:t>are</w:t>
      </w:r>
      <w:r w:rsidR="00CF2092">
        <w:t xml:space="preserve"> expected to be biallelic because 3D7 is the reference clone, however segregating variation in the HB3xDd2 and 7G8xGB4 crosses could be multiallelic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t>T</w:t>
      </w:r>
      <w:r w:rsidR="003B428E">
        <w:t xml:space="preserve">able 1). </w:t>
      </w:r>
    </w:p>
    <w:p w:rsidR="00BC5A53" w:rsidRDefault="00BC5A53" w:rsidP="00831572">
      <w:r>
        <w:lastRenderedPageBreak/>
        <w:t>To provide the greatest possible resolution for the present study, filtered variants called by each method were combined into a singl</w:t>
      </w:r>
      <w:r w:rsidR="00CF2092">
        <w:t>e call set for each cross (M</w:t>
      </w:r>
      <w:r>
        <w:t>ethods</w:t>
      </w:r>
      <w:r w:rsidR="00CF2092">
        <w:t xml:space="preserve"> and Supplementary Information</w:t>
      </w:r>
      <w:r>
        <w:t>). All variant calls can be downloaded from a public FTP site</w:t>
      </w:r>
      <w:r w:rsidR="00224F6A">
        <w:rPr>
          <w:rStyle w:val="FootnoteReference"/>
        </w:rPr>
        <w:footnoteReference w:id="12"/>
      </w:r>
      <w:r w:rsidR="00F831E6">
        <w:t xml:space="preserve"> and</w:t>
      </w:r>
      <w:r>
        <w:t xml:space="preserve"> browsed via the web application at </w:t>
      </w:r>
      <w:hyperlink r:id="rId9" w:history="1">
        <w:r w:rsidRPr="000B39EA">
          <w:rPr>
            <w:rStyle w:val="Hyperlink"/>
          </w:rPr>
          <w:t>http://www.malariagen.net/apps/pf-crosses</w:t>
        </w:r>
      </w:hyperlink>
      <w:r w:rsidR="001865B1">
        <w:t>.</w:t>
      </w:r>
    </w:p>
    <w:p w:rsidR="00A4677A" w:rsidRDefault="00F230BE" w:rsidP="00D3722C">
      <w:pPr>
        <w:pStyle w:val="Heading3"/>
      </w:pPr>
      <w:r>
        <w:t>INDEL</w:t>
      </w:r>
      <w:r w:rsidR="00A4677A">
        <w:t>s are the most abundant form of polymorphism</w:t>
      </w:r>
    </w:p>
    <w:p w:rsidR="00FE0FEE" w:rsidRDefault="008A5CF4" w:rsidP="00601883">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a comparative study found a SNP to INDEL ratio of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 xml:space="preserve">repeats are unusually abundant within the </w:t>
      </w:r>
      <w:proofErr w:type="spellStart"/>
      <w:r w:rsidR="00FE0FEE">
        <w:t>exome</w:t>
      </w:r>
      <w:proofErr w:type="spellEnd"/>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831572">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 xml:space="preserve">INDELs in </w:t>
      </w:r>
      <w:r w:rsidR="00F831E6">
        <w:lastRenderedPageBreak/>
        <w:t>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A4677A" w:rsidRDefault="00D246DE" w:rsidP="00D3722C">
      <w:pPr>
        <w:pStyle w:val="Heading3"/>
      </w:pPr>
      <w:r w:rsidRPr="00D246DE">
        <w:t xml:space="preserve">Low nucleotide diversity is punctuated by </w:t>
      </w:r>
      <w:r w:rsidR="00E852B4">
        <w:t xml:space="preserve">complex variation in </w:t>
      </w:r>
      <w:r w:rsidRPr="00D246DE">
        <w:t>merozoite</w:t>
      </w:r>
      <w:r w:rsidR="00E852B4">
        <w:t>-stage genes</w:t>
      </w:r>
    </w:p>
    <w:p w:rsidR="00D246DE" w:rsidRPr="00D246DE" w:rsidRDefault="00D246DE" w:rsidP="00D246DE">
      <w:r>
        <w:t>Average nucleotide diversity</w:t>
      </w:r>
      <w:r w:rsidR="009255D4">
        <w:t xml:space="preserve"> across</w:t>
      </w:r>
      <w:r>
        <w:t xml:space="preserve"> the core ge</w:t>
      </w:r>
      <w:r w:rsidR="000C7198">
        <w:t xml:space="preserve">nome was </w:t>
      </w:r>
      <w:r>
        <w:t>low (5x10</w:t>
      </w:r>
      <w:r w:rsidRPr="0066290A">
        <w:rPr>
          <w:vertAlign w:val="superscript"/>
        </w:rPr>
        <w:t>-4</w:t>
      </w:r>
      <w:r w:rsidR="00D008B6">
        <w:t xml:space="preserve"> per </w:t>
      </w:r>
      <w:proofErr w:type="spellStart"/>
      <w:r w:rsidR="00D008B6">
        <w:t>bp</w:t>
      </w:r>
      <w:proofErr w:type="spellEnd"/>
      <w:r w:rsidR="00D008B6">
        <w:t>)</w:t>
      </w:r>
      <w:r w:rsidR="000C7198">
        <w:t xml:space="preserve"> in all three crosses (T</w:t>
      </w:r>
      <w:r>
        <w:t xml:space="preserve">able 1). However, this 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ethod, because sequences 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0118A7">
        <w:t xml:space="preserve"> for clone HB3</w:t>
      </w:r>
      <w:r>
        <w:t>.</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 xml:space="preserve">a DBL-containing protein with unknown function on chromosome 1). A notable exception to the pattern of merozoite expression is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show that complex variation in </w:t>
      </w:r>
      <w:r w:rsidR="005358C1">
        <w:t xml:space="preserve">these </w:t>
      </w:r>
      <w:r w:rsidR="002105BA">
        <w:t>genes can be ascertained in a high throughput manner via assembly of short sequence reads.</w:t>
      </w:r>
    </w:p>
    <w:p w:rsidR="00831572" w:rsidRDefault="0036655D" w:rsidP="00D3722C">
      <w:pPr>
        <w:pStyle w:val="Heading2"/>
      </w:pPr>
      <w:r>
        <w:t>Meiotic c</w:t>
      </w:r>
      <w:r w:rsidR="00901FE9">
        <w:t>rossover and non-crossover</w:t>
      </w:r>
      <w:r w:rsidR="00316BAD">
        <w:t xml:space="preserve"> </w:t>
      </w:r>
      <w:r w:rsidR="00901FE9">
        <w:t xml:space="preserve">recombination </w:t>
      </w:r>
    </w:p>
    <w:p w:rsidR="00316BAD" w:rsidRDefault="001C6FE6" w:rsidP="00901FE9">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w:t>
      </w:r>
      <w:r w:rsidR="00316BAD">
        <w:lastRenderedPageBreak/>
        <w:t>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In eukaryotes, programmed double strand breaks (DSBs) during meiosis are resolved by either crossover (CO) or non-crossover (NCO)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936076">
        <w:t xml:space="preserve">(see </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conversion tracts for further analyses</w:t>
      </w:r>
      <w:r w:rsidR="003C6843">
        <w:t xml:space="preserve"> (Figure </w:t>
      </w:r>
      <w:r w:rsidR="000118A7">
        <w:t>S11</w:t>
      </w:r>
      <w:r w:rsidR="00F1438E">
        <w:t>)</w:t>
      </w:r>
      <w:r w:rsidR="00936076">
        <w:t>.</w:t>
      </w:r>
    </w:p>
    <w:p w:rsidR="0036655D" w:rsidRDefault="0036655D" w:rsidP="00D3722C">
      <w:pPr>
        <w:pStyle w:val="Heading3"/>
      </w:pPr>
      <w:r w:rsidRPr="0036655D">
        <w:t>Gene coding regions are warm</w:t>
      </w:r>
      <w:r w:rsidR="00E852B4">
        <w:t>-</w:t>
      </w:r>
      <w:r w:rsidRPr="0036655D">
        <w:t>spots and centromeres are cold</w:t>
      </w:r>
      <w:r w:rsidR="00E852B4">
        <w:t>-</w:t>
      </w:r>
      <w:r w:rsidRPr="0036655D">
        <w:t>spots of CO recombination</w:t>
      </w:r>
    </w:p>
    <w:p w:rsidR="009C2480" w:rsidRDefault="009C2480" w:rsidP="009919C9">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DE05F9" w:rsidRDefault="009C2480" w:rsidP="009C2480">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lastRenderedPageBreak/>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3722C">
      <w:pPr>
        <w:pStyle w:val="Heading3"/>
      </w:pPr>
      <w:r>
        <w:t xml:space="preserve">Estimation of </w:t>
      </w:r>
      <w:r w:rsidR="00DA1B2C">
        <w:t>conversion tract</w:t>
      </w:r>
      <w:r>
        <w:t xml:space="preserve"> length</w:t>
      </w:r>
      <w:r w:rsidR="00C81D5D">
        <w:t xml:space="preserve"> and NCO recombination rate</w:t>
      </w:r>
    </w:p>
    <w:p w:rsidR="005D73F0" w:rsidRDefault="005D73F0" w:rsidP="005D73F0">
      <w:r>
        <w:t>Of the 331 conversion tracts observed, an outlying group of 7 very long (</w:t>
      </w:r>
      <w:r w:rsidR="007A4A23">
        <w:t>&gt;18kb) complex tracts was found</w:t>
      </w:r>
      <w:r>
        <w:t xml:space="preserve"> </w:t>
      </w:r>
      <w:r w:rsidR="007A4A23">
        <w:t>(</w:t>
      </w:r>
      <w:r>
        <w:t xml:space="preserve">described further </w:t>
      </w:r>
      <w:r w:rsidR="00C44746">
        <w:t>below</w:t>
      </w:r>
      <w:r w:rsidR="007A4A23">
        <w:t>)</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 xml:space="preserve">E). Assuming this model for the tract length distribution, simulations predicted an NCO discovery rate of 40% for HB3 x Dd2, 39% for 7G8 x GB4, and 45% for 3D7 x HB3 where the marker density was slightly higher. </w:t>
      </w:r>
    </w:p>
    <w:p w:rsidR="005D73F0" w:rsidRDefault="005D73F0" w:rsidP="005D73F0">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 xml:space="preserve">rlo </w:t>
      </w:r>
      <w:r w:rsidR="00EC0BBF">
        <w:lastRenderedPageBreak/>
        <w:t>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EB143B">
      <w:r>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3722C">
      <w:pPr>
        <w:pStyle w:val="Heading2"/>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A87178">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 xml:space="preserve">1. </w:t>
      </w:r>
      <w:r w:rsidR="005358C1">
        <w:t>This amplification conf</w:t>
      </w:r>
      <w:r w:rsidR="00184795">
        <w:t xml:space="preserve">ers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t xml:space="preserve"> </w:t>
      </w:r>
      <w:r w:rsidR="00184795">
        <w:t xml:space="preserve">and </w:t>
      </w:r>
      <w:r w:rsidR="00A87178">
        <w:t>segregate</w:t>
      </w:r>
      <w:r w:rsidR="00184795">
        <w:t>s</w:t>
      </w:r>
      <w:r w:rsidR="00A87178">
        <w:t xml:space="preserve"> in</w:t>
      </w:r>
      <w:r w:rsidR="00766CC9">
        <w:t xml:space="preserve"> the progeny of HB3xDd2 </w:t>
      </w:r>
      <w:r w:rsidR="005C3FF3">
        <w:fldChar w:fldCharType="begin" w:fldLock="1"/>
      </w:r>
      <w:r w:rsidR="00686F39">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5C3FF3">
        <w:fldChar w:fldCharType="separate"/>
      </w:r>
      <w:r w:rsidR="00686F39" w:rsidRPr="00686F39">
        <w:rPr>
          <w:noProof/>
        </w:rPr>
        <w:t>(Wellems et al. 1990)</w:t>
      </w:r>
      <w:r w:rsidR="005C3FF3">
        <w:fldChar w:fldCharType="end"/>
      </w:r>
      <w:r w:rsidR="00686F39">
        <w:t xml:space="preserve"> with evidence for meiotic recombination within the amplified region in two progeny clones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Amplifications have also been found spanning </w:t>
      </w:r>
      <w:r w:rsidR="00A87178">
        <w:rPr>
          <w:i/>
        </w:rPr>
        <w:t>gch1</w:t>
      </w:r>
      <w:r w:rsidR="00A87178">
        <w:t xml:space="preserve">, </w:t>
      </w:r>
      <w:r>
        <w:t>conferring resistance to</w:t>
      </w:r>
      <w:r w:rsidR="00A87178">
        <w:t xml:space="preserve"> anti-folate drugs, in both HB3 and Dd2, although the amplifications </w:t>
      </w:r>
      <w:r w:rsidR="004D3EE2">
        <w:t>are</w:t>
      </w:r>
      <w:r w:rsidR="00A87178">
        <w:t xml:space="preserve"> different in size and extent </w:t>
      </w:r>
      <w:r w:rsidR="005C3FF3">
        <w:fldChar w:fldCharType="begin" w:fldLock="1"/>
      </w:r>
      <w:r w:rsidR="00666208">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5C3FF3">
        <w:fldChar w:fldCharType="separate"/>
      </w:r>
      <w:r w:rsidRPr="0069322E">
        <w:rPr>
          <w:noProof/>
        </w:rPr>
        <w:t>(Kidgell et al. 2006; Heinberg et al. 2013)</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4925F5">
      <w:r w:rsidRPr="00143AF4">
        <w:t>We</w:t>
      </w:r>
      <w:r>
        <w:t xml:space="preserve"> combined data on depth of sequence coverage </w:t>
      </w:r>
      <w:r w:rsidR="00143AF4">
        <w:t>and the orientation of ali</w:t>
      </w:r>
      <w:r w:rsidR="00A6066D">
        <w:t>gned read pairs</w:t>
      </w:r>
      <w:r w:rsidR="00143AF4">
        <w:t xml:space="preserve"> to study CNV alleles in all three crosses.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lastRenderedPageBreak/>
        <w:t xml:space="preserve">Evidence for amplifications spanning </w:t>
      </w:r>
      <w:r w:rsidR="005A420C">
        <w:rPr>
          <w:i/>
        </w:rPr>
        <w:t>ghc1</w:t>
      </w:r>
      <w:r w:rsidR="005A420C">
        <w:t xml:space="preserve"> was also clear in all parental clones (Figure 4). The 3D7 reference genome has only a single copy of </w:t>
      </w:r>
      <w:r w:rsidR="005A420C" w:rsidRPr="005A420C">
        <w:rPr>
          <w:i/>
        </w:rPr>
        <w:t>gch1</w:t>
      </w:r>
      <w:r w:rsidR="005A420C">
        <w:t>, however all studies including ours have found t</w:t>
      </w:r>
      <w:r w:rsidR="005A420C" w:rsidRPr="005A420C">
        <w:t>he</w:t>
      </w:r>
      <w:r w:rsidR="005A420C">
        <w:t xml:space="preserve"> 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Alignment of re</w:t>
      </w:r>
      <w:r w:rsidR="00F57A57">
        <w:t xml:space="preserve">ad pairs indicated that </w:t>
      </w:r>
      <w:r w:rsidR="00DC4403">
        <w:t>the Dd2 amplification was arranged as a tandem inversion, whereas 3D7, HB3 and 7G8 carried tandem duplications,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 which is not unexpected given that amplifications can be lost in culture </w:t>
      </w:r>
      <w:r w:rsidR="00686F39">
        <w:t>in the absence of drug pressure</w:t>
      </w:r>
      <w:r w:rsidR="00EC5F6F">
        <w:t xml:space="preserve">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4925F5">
        <w:t>).</w:t>
      </w:r>
    </w:p>
    <w:p w:rsidR="00043C58" w:rsidRPr="00653393" w:rsidRDefault="00DF4B94" w:rsidP="00DF4B94">
      <w:pPr>
        <w:pStyle w:val="Heading4"/>
      </w:pPr>
      <w:r>
        <w:t xml:space="preserve">Recombination within amplified regions leads to pseudo-heterozygosity </w:t>
      </w:r>
    </w:p>
    <w:p w:rsidR="00685935" w:rsidRDefault="00581853" w:rsidP="00AE555C">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Within a region of pseudo-heterozygosity</w:t>
      </w:r>
      <w:r w:rsidR="003A7A20">
        <w:t>,</w:t>
      </w:r>
      <w:r w:rsidR="00C4455E">
        <w:t xml:space="preserve"> reads supporting each parental allele should appear in a roughly 1:1 ratio.</w:t>
      </w:r>
      <w:r w:rsidR="003A7A20">
        <w:t xml:space="preserve"> </w:t>
      </w:r>
    </w:p>
    <w:p w:rsidR="00901FE9" w:rsidRDefault="00DF4B94" w:rsidP="00AE555C">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w:t>
      </w:r>
      <w:r>
        <w:lastRenderedPageBreak/>
        <w:t>the region has been translocated to a different chromosome, however read orientation evidence 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EC5F6F">
      <w:pPr>
        <w:pStyle w:val="Heading2"/>
      </w:pPr>
      <w:r>
        <w:t>A web application to facilitate data exploration and re-use</w:t>
      </w:r>
    </w:p>
    <w:p w:rsidR="00F428AA" w:rsidRPr="00F428AA" w:rsidRDefault="00DC6B87" w:rsidP="00F428AA">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0" w:history="1">
        <w:r w:rsidR="00F428AA" w:rsidRPr="006F0B99">
          <w:rPr>
            <w:rStyle w:val="Hyperlink"/>
          </w:rPr>
          <w:t>http://www.malariagen.net/apps/pf-crosses</w:t>
        </w:r>
      </w:hyperlink>
      <w:r w:rsidR="00F428AA">
        <w:t xml:space="preserve">. The application includes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3"/>
      </w:r>
      <w:r w:rsidR="00F428AA">
        <w:t>.</w:t>
      </w:r>
    </w:p>
    <w:p w:rsidR="009E1600" w:rsidRDefault="009E1600" w:rsidP="003F4A84">
      <w:pPr>
        <w:pStyle w:val="Heading1"/>
      </w:pPr>
      <w:r>
        <w:lastRenderedPageBreak/>
        <w:t>Discussion</w:t>
      </w:r>
    </w:p>
    <w:p w:rsidR="00FD7AB6" w:rsidRDefault="00295C75" w:rsidP="009E1600">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FD7AB6">
        <w:t xml:space="preserve">, opening the possibility for many new crosses to be generated. </w:t>
      </w:r>
      <w:r w:rsidR="00BD2070">
        <w:t xml:space="preserve">It would 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easily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9E1600">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r w:rsidR="00CF7888">
        <w:t>paralogous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56071D">
        <w:t>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9E1600">
      <w:r>
        <w:t xml:space="preserve">The </w:t>
      </w:r>
      <w:r w:rsidR="0042585D">
        <w:t xml:space="preserve">SNP and INDEL variants </w:t>
      </w:r>
      <w:r w:rsidR="00A42392">
        <w:t xml:space="preserve">presented here could be used by other studies as a truth set to calibrate variant calling and filtering methods in </w:t>
      </w:r>
      <w:r w:rsidR="00295C75">
        <w:t xml:space="preserve">other studies,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FC41D8">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"http://www.mendeley.com/documents/?uuid=d5611798-eaa8-42d9-9833-1d69a9aeed51" ] } ], "mendeley" : { "formattedCitation" : "(Birren et al. 2006b)", "plainTextFormattedCitation" : "(Birren et al. 2006b)", "previouslyFormattedCitation" : "(Birren et al. 2006b)" }, "properties" : { "noteIndex" : 0 }, "schema" : "https://github.com/citation-style-language/schema/raw/master/csl-citation.json" }</w:instrText>
      </w:r>
      <w:r w:rsidR="005C3FF3">
        <w:fldChar w:fldCharType="separate"/>
      </w:r>
      <w:r w:rsidR="0056071D" w:rsidRPr="0056071D">
        <w:rPr>
          <w:noProof/>
        </w:rPr>
        <w:t>(Birren et al. 2006b)</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nearby SNP and INDEL alleles was highly concordant in all three crosses, and INDEL genotypes were almost perfectly reproducible across multiple </w:t>
      </w:r>
      <w:r w:rsidR="00FA1985">
        <w:t xml:space="preserve">progeny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w:t>
      </w:r>
      <w:r w:rsidR="00BF5E41">
        <w:lastRenderedPageBreak/>
        <w:t xml:space="preserve">This </w:t>
      </w:r>
      <w:r w:rsidR="00295C75">
        <w:t>could</w:t>
      </w:r>
      <w:r w:rsidR="00BF5E41">
        <w:t xml:space="preserve"> 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 HB3 draft assembly and published gene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assembled to the same quality as the current 3D7 reference, so that methods for calling all</w:t>
      </w:r>
      <w:r w:rsidR="00A80866">
        <w:t xml:space="preserve"> types</w:t>
      </w:r>
      <w:r w:rsidR="00DA6F10">
        <w:t xml:space="preserve"> of polymorphism can be accurately evaluated. </w:t>
      </w:r>
    </w:p>
    <w:p w:rsidR="00FA1985" w:rsidRPr="00757C5C" w:rsidRDefault="00FA1985" w:rsidP="009E1600">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Further experimental work is required to explore the impact of non-coding variation in </w:t>
      </w:r>
      <w:r w:rsidR="00E551B5" w:rsidRPr="00E551B5">
        <w:rPr>
          <w:i/>
        </w:rPr>
        <w:t>P. falciparum</w:t>
      </w:r>
      <w:r w:rsidR="00E551B5">
        <w:t>.</w:t>
      </w:r>
    </w:p>
    <w:p w:rsidR="00DE2B43" w:rsidRDefault="00E551B5" w:rsidP="009E1600">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9E1600">
      <w:r>
        <w:lastRenderedPageBreak/>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 xml:space="preserve">will be required to robustly evaluate the support for different hotspot </w:t>
      </w:r>
      <w:proofErr w:type="gramStart"/>
      <w:r w:rsidR="0084749C">
        <w:t>mode</w:t>
      </w:r>
      <w:r w:rsidR="00414247">
        <w:t>ls,</w:t>
      </w:r>
      <w:proofErr w:type="gramEnd"/>
      <w:r w:rsidR="00414247">
        <w:t xml:space="preserve"> </w:t>
      </w:r>
      <w:r w:rsidR="00ED4067">
        <w:t xml:space="preserve">however </w:t>
      </w:r>
      <w:r w:rsidR="00414247">
        <w:t>we observe</w:t>
      </w:r>
      <w:r w:rsidR="00ED4067">
        <w:t>d</w:t>
      </w:r>
      <w:r w:rsidR="00414247">
        <w:t xml:space="preserve"> recombination events</w:t>
      </w:r>
      <w:r w:rsidR="0084749C">
        <w:t xml:space="preserve"> frequently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51DCC">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effective 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xml:space="preserve">. The process of amplification followed by homologous recombination could provide a mechanism by which both mutant and wild type alleles are acquired, compensating for fitness costs associated with </w:t>
      </w:r>
      <w:r w:rsidR="00D329C7">
        <w:t xml:space="preserve">either </w:t>
      </w:r>
      <w:r w:rsidR="00DF4B94">
        <w:t xml:space="preserve">allele alone. </w:t>
      </w:r>
      <w:r w:rsidR="005B6E1D">
        <w:t xml:space="preserve">The acquisition of both alleles also gives parasites the 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DF4B94">
        <w:t xml:space="preserve">Secondly, </w:t>
      </w:r>
      <w:r w:rsidR="00090410">
        <w:t>gene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7A6D4F">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D51DCC" w:rsidRDefault="002F7A46" w:rsidP="002F7A46">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t>
      </w:r>
      <w:r w:rsidR="00D70420">
        <w:lastRenderedPageBreak/>
        <w:t xml:space="preserve">wide average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D70420">
        <w:t xml:space="preserve">populations. </w:t>
      </w:r>
      <w:r w:rsidR="003C72B7">
        <w:t xml:space="preserve">The core genome </w:t>
      </w:r>
      <w:r w:rsidR="0017234E">
        <w:t xml:space="preserve">of </w:t>
      </w:r>
      <w:r w:rsidR="0017234E" w:rsidRPr="0017234E">
        <w:rPr>
          <w:i/>
        </w:rPr>
        <w:t>P. falciparum</w:t>
      </w:r>
      <w:r w:rsidR="0017234E">
        <w:t xml:space="preserve"> </w:t>
      </w:r>
      <w:r w:rsidR="00D51DCC">
        <w:t xml:space="preserve">thus </w:t>
      </w:r>
      <w:r w:rsidR="003C72B7">
        <w:t xml:space="preserve">appears </w:t>
      </w:r>
      <w:r w:rsidR="00D51DCC">
        <w:t xml:space="preserve">stable yet poised to undergo </w:t>
      </w:r>
      <w:r w:rsidR="00E4440B">
        <w:t>rapid</w:t>
      </w:r>
      <w:r w:rsidR="00D51DCC">
        <w:t xml:space="preserve"> evolution within any region that may come under selection pressure. </w:t>
      </w:r>
    </w:p>
    <w:p w:rsidR="009E1600" w:rsidRDefault="009E1600" w:rsidP="000A1F02">
      <w:pPr>
        <w:pStyle w:val="Heading1"/>
      </w:pPr>
      <w:r>
        <w:t>Methods</w:t>
      </w:r>
    </w:p>
    <w:p w:rsidR="00AC67A5" w:rsidRDefault="00AC67A5" w:rsidP="000A1F02">
      <w:pPr>
        <w:pStyle w:val="Heading2"/>
      </w:pPr>
      <w:r>
        <w:t>Whole genome sequencing</w:t>
      </w:r>
    </w:p>
    <w:p w:rsidR="00AC67A5" w:rsidRDefault="00AC67A5" w:rsidP="00AC67A5">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0A1F02">
      <w:pPr>
        <w:pStyle w:val="Heading2"/>
      </w:pPr>
      <w:r>
        <w:t>Variant calling</w:t>
      </w:r>
    </w:p>
    <w:p w:rsidR="00536C74" w:rsidRDefault="000E06C9" w:rsidP="000E06C9">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indel realignment, duplicate removal, and performed SNP and INDEL discovery and genotyping across samples within each cross simultaneously,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rsidR="00077681">
        <w:rPr>
          <w:i/>
        </w:rPr>
        <w:t xml:space="preserve"> </w:t>
      </w:r>
      <w:r w:rsidR="00077681">
        <w:t>described in supplementary information</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Filtered variants from both calling methods were t</w:t>
      </w:r>
      <w:r w:rsidR="00CD5EC1">
        <w:t xml:space="preserve">hen combined into a single </w:t>
      </w:r>
      <w:r w:rsidR="00536C74">
        <w:t>set of segregating variation for each cross</w:t>
      </w:r>
      <w:r w:rsidR="000E4015">
        <w:t xml:space="preserve"> (Supplementary Information)</w:t>
      </w:r>
      <w:r w:rsidR="00536C74">
        <w:t>.</w:t>
      </w:r>
      <w:r w:rsidR="00EE5A51">
        <w:t xml:space="preserve"> </w:t>
      </w:r>
    </w:p>
    <w:p w:rsidR="0077582B" w:rsidRDefault="0077582B" w:rsidP="000A1F02">
      <w:pPr>
        <w:pStyle w:val="Heading2"/>
      </w:pPr>
      <w:r>
        <w:t>Inference of CO and NCO recombination events and conversion tracts</w:t>
      </w:r>
    </w:p>
    <w:p w:rsidR="0077582B" w:rsidRPr="0077582B" w:rsidRDefault="0077582B" w:rsidP="0077582B">
      <w:r>
        <w:t xml:space="preserve">The combined </w:t>
      </w:r>
      <w:r w:rsidR="00536C74">
        <w:t xml:space="preserve">variant </w:t>
      </w:r>
      <w:r>
        <w:t>call set</w:t>
      </w:r>
      <w:r w:rsidR="00536C74">
        <w:t>s</w:t>
      </w:r>
      <w:r>
        <w:t xml:space="preserve"> was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lastRenderedPageBreak/>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This algorithm is similar in motivation to that used by </w:t>
      </w:r>
      <w:r w:rsidR="005C3FF3">
        <w:fldChar w:fldCharType="begin" w:fldLock="1"/>
      </w:r>
      <w:r w:rsidR="00A50A39">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A50A39" w:rsidRPr="00A50A39">
        <w:rPr>
          <w:noProof/>
        </w:rPr>
        <w:t xml:space="preserve">Samarakoon, Regier, et al. </w:t>
      </w:r>
      <w:r w:rsidR="00A50A39">
        <w:rPr>
          <w:noProof/>
        </w:rPr>
        <w:t>(</w:t>
      </w:r>
      <w:r w:rsidR="00A50A39" w:rsidRPr="00A50A39">
        <w:rPr>
          <w:noProof/>
        </w:rPr>
        <w:t>2011)</w:t>
      </w:r>
      <w:r w:rsidR="005C3FF3">
        <w:fldChar w:fldCharType="end"/>
      </w:r>
      <w:r w:rsidR="00A50A39">
        <w:t xml:space="preserve"> but </w:t>
      </w:r>
      <w:r w:rsidR="00EB473F">
        <w:t>does not depend on a window</w:t>
      </w:r>
      <w:r w:rsidR="003A6313">
        <w:t>ed</w:t>
      </w:r>
      <w:r w:rsidR="00EB473F">
        <w:t xml:space="preserve"> </w:t>
      </w:r>
      <w:r w:rsidR="003A6313">
        <w:t xml:space="preserve">analysis </w:t>
      </w:r>
      <w:r w:rsidR="00EB473F">
        <w:t xml:space="preserve">and thus </w:t>
      </w:r>
      <w:r w:rsidR="00A50A39">
        <w:t>has greater flexibility for detecting tracts</w:t>
      </w:r>
      <w:r w:rsidR="003A6313">
        <w:t xml:space="preserve"> spanning windows</w:t>
      </w:r>
      <w:r w:rsidR="00A50A39">
        <w:t>.</w:t>
      </w:r>
      <w:r w:rsidR="003A6313">
        <w:t xml:space="preserve"> </w:t>
      </w:r>
    </w:p>
    <w:p w:rsidR="0077582B" w:rsidRDefault="005E5FE9" w:rsidP="000A1F02">
      <w:pPr>
        <w:pStyle w:val="Heading2"/>
      </w:pPr>
      <w:r>
        <w:t>Recombination analyses</w:t>
      </w:r>
    </w:p>
    <w:p w:rsidR="005E5FE9" w:rsidRDefault="005E5FE9" w:rsidP="005E5FE9">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 xml:space="preserve">high and thus we assume no crossovers were missed. </w:t>
      </w:r>
      <w:r w:rsidR="00F7616C">
        <w:t xml:space="preserve">To estimate the true conversion tract length distribution, conversion tracts were simulated at different values for the parameter </w:t>
      </w:r>
      <w:r w:rsidR="00F7616C" w:rsidRPr="00F7616C">
        <w:rPr>
          <w:i/>
        </w:rPr>
        <w:t>phi</w:t>
      </w:r>
      <w:r w:rsidR="00F7616C">
        <w:t xml:space="preserve">, and the distribution of tract lengths that would be observed given the available markers within each cross was computed. The parameter </w:t>
      </w:r>
      <w:r w:rsidR="00F7616C" w:rsidRPr="00F7616C">
        <w:rPr>
          <w:i/>
        </w:rPr>
        <w:t>phi</w:t>
      </w:r>
      <w:r w:rsidR="00F7616C">
        <w:t xml:space="preserve"> was fitted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0A1F02">
      <w:pPr>
        <w:pStyle w:val="Heading2"/>
      </w:pPr>
      <w:r>
        <w:t>C</w:t>
      </w:r>
      <w:r w:rsidR="00F7616C">
        <w:t>opy number variation</w:t>
      </w:r>
    </w:p>
    <w:p w:rsidR="00F7616C" w:rsidRPr="00F7616C" w:rsidRDefault="00F7616C" w:rsidP="00F7616C">
      <w:r>
        <w:t>The genome was divided into 300bp non-overlapping bins and the number of reads whose alignment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4"/>
      </w:r>
      <w:r w:rsidR="00D7475C">
        <w:t xml:space="preserve">. Copy number state was predicted in all samples by fitting a Gaussian hidden Markov model to </w:t>
      </w:r>
      <w:r w:rsidR="00BE0BCD">
        <w:t>the normalised coverage data.</w:t>
      </w:r>
    </w:p>
    <w:p w:rsidR="001F6267" w:rsidRDefault="001F6267" w:rsidP="000A1F02">
      <w:pPr>
        <w:pStyle w:val="Heading1"/>
      </w:pPr>
      <w:r>
        <w:t>Acknowledgments</w:t>
      </w:r>
    </w:p>
    <w:p w:rsidR="001F6267" w:rsidRDefault="001F6267" w:rsidP="001F6267">
      <w:r>
        <w:t>@@TODO</w:t>
      </w:r>
    </w:p>
    <w:p w:rsidR="001F6267" w:rsidRPr="001F6267" w:rsidRDefault="001F6267" w:rsidP="001F6267">
      <w:r w:rsidRPr="001F6267">
        <w:t>Research in LRC’s laboratory was supported by the Wellcome Trust (grant reference number 091791).</w:t>
      </w:r>
    </w:p>
    <w:p w:rsidR="005F76A4" w:rsidRDefault="005F76A4" w:rsidP="000A1F02">
      <w:pPr>
        <w:pStyle w:val="Heading1"/>
      </w:pPr>
      <w:r>
        <w:lastRenderedPageBreak/>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tbl>
      <w:tblPr>
        <w:tblStyle w:val="MediumList2-Accent1"/>
        <w:tblW w:w="5000" w:type="pct"/>
        <w:tblLook w:val="04A0" w:firstRow="1" w:lastRow="0" w:firstColumn="1" w:lastColumn="0" w:noHBand="0" w:noVBand="1"/>
      </w:tblPr>
      <w:tblGrid>
        <w:gridCol w:w="2774"/>
        <w:gridCol w:w="2448"/>
        <w:gridCol w:w="2009"/>
        <w:gridCol w:w="2011"/>
      </w:tblGrid>
      <w:tr w:rsidR="005F76A4" w:rsidRPr="009D0DED" w:rsidTr="000C616F">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5F76A4" w:rsidRPr="009D0DED" w:rsidRDefault="005F76A4" w:rsidP="000C616F">
            <w:pPr>
              <w:rPr>
                <w:rFonts w:asciiTheme="minorHAnsi" w:eastAsiaTheme="minorEastAsia" w:hAnsiTheme="minorHAnsi" w:cs="Arial"/>
                <w:color w:val="auto"/>
                <w:sz w:val="22"/>
                <w:szCs w:val="22"/>
              </w:rPr>
            </w:pPr>
          </w:p>
        </w:tc>
        <w:tc>
          <w:tcPr>
            <w:tcW w:w="1340" w:type="pct"/>
          </w:tcPr>
          <w:p w:rsidR="005F76A4" w:rsidRPr="009D0DED" w:rsidRDefault="005F76A4" w:rsidP="000C6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0C6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0C6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0C6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0C6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0C6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0C6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0C6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5F76A4" w:rsidRPr="009D0DED" w:rsidTr="000C616F">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0C6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0C6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0C6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0C6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0C6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0C616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0C6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0C6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0C6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5F76A4" w:rsidRPr="009D0DED" w:rsidTr="000C6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0C6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0C6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0C6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0C6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5F76A4" w:rsidRPr="009D0DED" w:rsidTr="000C6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0C6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9"/>
            </w:r>
          </w:p>
        </w:tc>
        <w:tc>
          <w:tcPr>
            <w:tcW w:w="1340" w:type="pct"/>
          </w:tcPr>
          <w:p w:rsidR="005F76A4" w:rsidRPr="009D0DED" w:rsidRDefault="005F76A4" w:rsidP="000C6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0C6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0C6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0C6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0C616F">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0C6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0C6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0C6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0C6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0C616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1"/>
            </w:r>
          </w:p>
        </w:tc>
        <w:tc>
          <w:tcPr>
            <w:tcW w:w="1340" w:type="pct"/>
          </w:tcPr>
          <w:p w:rsidR="005F76A4" w:rsidRPr="009D0DED" w:rsidRDefault="005F76A4" w:rsidP="000C6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0C6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0C6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Pr>
        <w:pStyle w:val="Heading1"/>
      </w:pPr>
      <w:r>
        <w:lastRenderedPageBreak/>
        <w:t>Figures</w:t>
      </w:r>
    </w:p>
    <w:p w:rsidR="005F76A4" w:rsidRDefault="005F76A4" w:rsidP="005F76A4">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amino acids inserted and deleted (relative to the 3D7 reference genome). </w:t>
      </w:r>
      <w:proofErr w:type="gramStart"/>
      <w:r>
        <w:rPr>
          <w:b/>
        </w:rPr>
        <w:t>C</w:t>
      </w:r>
      <w:r>
        <w:t>, INDEL diversity in intergenic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5F76A4">
      <w:r w:rsidRPr="005F76A4">
        <w:rPr>
          <w:noProof/>
          <w:lang w:eastAsia="en-GB"/>
        </w:rPr>
        <w:drawing>
          <wp:inline distT="0" distB="0" distL="0" distR="0">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roofErr w:type="gramStart"/>
      <w:r>
        <w:rPr>
          <w:b/>
        </w:rPr>
        <w:lastRenderedPageBreak/>
        <w:t>Figure 2.</w:t>
      </w:r>
      <w:proofErr w:type="gramEnd"/>
      <w:r>
        <w:t xml:space="preserve"> </w:t>
      </w:r>
      <w:proofErr w:type="gramStart"/>
      <w:r>
        <w:t>Nucleotide diversity and sites of complex variation in the core genome.</w:t>
      </w:r>
      <w:proofErr w:type="gramEnd"/>
      <w:r>
        <w:t xml:space="preserve"> Nucleotide diversity is shown for each cross in 500bp half-overlapping windows across the core genome (which excludes hypervariable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discovered by either variant calling method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5F76A4">
      <w:r w:rsidRPr="005F76A4">
        <w:rPr>
          <w:noProof/>
          <w:lang w:eastAsia="en-GB"/>
        </w:rPr>
        <w:drawing>
          <wp:inline distT="0" distB="0" distL="0" distR="0">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CO recombination rate by cross.</w:t>
      </w:r>
      <w:proofErr w:type="gramEnd"/>
      <w:r>
        <w:t xml:space="preserve"> </w:t>
      </w:r>
      <w:proofErr w:type="gramStart"/>
      <w:r>
        <w:rPr>
          <w:b/>
        </w:rPr>
        <w:t xml:space="preserve">B, </w:t>
      </w:r>
      <w:r>
        <w:t>CO recombination rate by chromosome.</w:t>
      </w:r>
      <w:proofErr w:type="gramEnd"/>
      <w:r>
        <w:t xml:space="preserve"> </w:t>
      </w:r>
      <w:proofErr w:type="gramStart"/>
      <w:r>
        <w:rPr>
          <w:b/>
        </w:rPr>
        <w:t>C,</w:t>
      </w:r>
      <w:r>
        <w:t xml:space="preserve"> CO recombination rate relative to centromere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NCO recombination rate by chromosome, adjusted for incomplete discovery of NCO events.</w:t>
      </w:r>
    </w:p>
    <w:p w:rsidR="005F76A4" w:rsidRDefault="005F76A4" w:rsidP="005F76A4">
      <w:r w:rsidRPr="005F76A4">
        <w:rPr>
          <w:noProof/>
          <w:lang w:eastAsia="en-GB"/>
        </w:rPr>
        <w:drawing>
          <wp:inline distT="0" distB="0" distL="0" distR="0">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HB3(2) and Dd2 parental clones; </w:t>
      </w:r>
      <w:r w:rsidRPr="0037590A">
        <w:rPr>
          <w:rFonts w:ascii="Times New Roman" w:hAnsi="Times New Roman" w:cs="Times New Roman"/>
          <w:i/>
        </w:rPr>
        <w:t>γ</w:t>
      </w:r>
      <w:r>
        <w:t xml:space="preserve"> labels the segment amplified in Dd2. </w:t>
      </w:r>
      <w:r>
        <w:rPr>
          <w:b/>
        </w:rPr>
        <w:t>E</w:t>
      </w:r>
      <w:r>
        <w:t xml:space="preserve">, CNV and recombination in clone CH3_61, progeny of HB3xDd2. </w:t>
      </w:r>
      <w:r>
        <w:rPr>
          <w:b/>
        </w:rPr>
        <w:t>F</w:t>
      </w:r>
      <w:r>
        <w:t>, CNVs in the 7G8 and GB4 parental clones. CN = copy number, black circular markers show the actual depth of coverage within 300bp non-overlapping windows, excluding windows where GC content was below 20%, and normalised by dividing by the average depth over the core genome regions of chromosome 14;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0-40X).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5F76A4">
      <w:r w:rsidRPr="005F76A4">
        <w:rPr>
          <w:noProof/>
          <w:lang w:eastAsia="en-GB"/>
        </w:rPr>
        <w:lastRenderedPageBreak/>
        <w:drawing>
          <wp:inline distT="0" distB="0" distL="0" distR="0">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stretch>
                      <a:fillRect/>
                    </a:stretch>
                  </pic:blipFill>
                  <pic:spPr>
                    <a:xfrm>
                      <a:off x="0" y="0"/>
                      <a:ext cx="5731510" cy="8107045"/>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5.</w:t>
      </w:r>
      <w:proofErr w:type="gramEnd"/>
      <w:r>
        <w:t xml:space="preserve"> Screenshots from the web application at </w:t>
      </w:r>
      <w:hyperlink r:id="rId15"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t>, introduction page, providing navigation to different tools for data exploration.</w:t>
      </w:r>
      <w:proofErr w:type="gramEnd"/>
      <w:r>
        <w:t xml:space="preserve"> </w:t>
      </w:r>
      <w:r w:rsidRPr="0088396D">
        <w:rPr>
          <w:b/>
        </w:rPr>
        <w:t>B</w:t>
      </w:r>
      <w:r>
        <w:t xml:space="preserve">, browse and query data on variants (SNPs and INDELs) discovered in the crosses by different calling methods. </w:t>
      </w:r>
      <w:r w:rsidRPr="0088396D">
        <w:rPr>
          <w:b/>
        </w:rPr>
        <w:t>C</w:t>
      </w:r>
      <w:r>
        <w:t xml:space="preserve">, browse genotype calls in parents and progeny and visualise patterns of allelic inheritance and recombination. </w:t>
      </w:r>
      <w:proofErr w:type="gramStart"/>
      <w:r>
        <w:rPr>
          <w:b/>
        </w:rPr>
        <w:t>D</w:t>
      </w:r>
      <w:r>
        <w:t>, genome browser, providing multi-resolution views of various data tracks including coverage and mapping quality.</w:t>
      </w:r>
      <w:proofErr w:type="gramEnd"/>
      <w:r>
        <w:t xml:space="preserve"> </w:t>
      </w:r>
      <w:proofErr w:type="gramStart"/>
      <w:r>
        <w:rPr>
          <w:b/>
        </w:rPr>
        <w:t>E</w:t>
      </w:r>
      <w:r>
        <w:t>, sequence alignment browser (</w:t>
      </w:r>
      <w:proofErr w:type="spellStart"/>
      <w:r>
        <w:t>LookSeq</w:t>
      </w:r>
      <w:proofErr w:type="spellEnd"/>
      <w:r>
        <w:t>).</w:t>
      </w:r>
      <w:proofErr w:type="gramEnd"/>
    </w:p>
    <w:p w:rsidR="005F76A4" w:rsidRDefault="005F76A4" w:rsidP="005F76A4">
      <w:r w:rsidRPr="005F76A4">
        <w:rPr>
          <w:noProof/>
          <w:lang w:eastAsia="en-GB"/>
        </w:rPr>
        <w:drawing>
          <wp:inline distT="0" distB="0" distL="0" distR="0">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6"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7A6D4F" w:rsidRPr="007A6D4F" w:rsidRDefault="005C3FF3">
      <w:pPr>
        <w:pStyle w:val="NormalWeb"/>
        <w:ind w:left="480" w:hanging="480"/>
        <w:divId w:val="1812097558"/>
        <w:rPr>
          <w:rFonts w:ascii="Calibri" w:hAnsi="Calibri"/>
          <w:noProof/>
          <w:sz w:val="22"/>
        </w:rPr>
      </w:pPr>
      <w:r>
        <w:fldChar w:fldCharType="begin" w:fldLock="1"/>
      </w:r>
      <w:r w:rsidR="00CB6C32">
        <w:instrText xml:space="preserve">ADDIN Mendeley Bibliography CSL_BIBLIOGRAPHY </w:instrText>
      </w:r>
      <w:r>
        <w:fldChar w:fldCharType="separate"/>
      </w:r>
      <w:r w:rsidR="007A6D4F" w:rsidRPr="007A6D4F">
        <w:rPr>
          <w:rFonts w:ascii="Calibri" w:hAnsi="Calibri"/>
          <w:noProof/>
          <w:sz w:val="22"/>
        </w:rPr>
        <w:t xml:space="preserve">Anderson, T.J.C., Patel, J. &amp; Ferdig, M.T., 2009. Gene copy number and malaria biology. </w:t>
      </w:r>
      <w:r w:rsidR="007A6D4F" w:rsidRPr="007A6D4F">
        <w:rPr>
          <w:rFonts w:ascii="Calibri" w:hAnsi="Calibri"/>
          <w:i/>
          <w:iCs/>
          <w:noProof/>
          <w:sz w:val="22"/>
        </w:rPr>
        <w:t>Trends in parasitology</w:t>
      </w:r>
      <w:r w:rsidR="007A6D4F" w:rsidRPr="007A6D4F">
        <w:rPr>
          <w:rFonts w:ascii="Calibri" w:hAnsi="Calibri"/>
          <w:noProof/>
          <w:sz w:val="22"/>
        </w:rPr>
        <w:t>, 25(7), pp.336–43. Available at: http://www.pubmedcentral.nih.gov/articlerender.fcgi?artid=2839409&amp;tool=pmcentrez&amp;rendertype=abstract [Accessed November 17,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Ariey, F. et al., 2014. A molecular marker of artemisinin-resistant Plasmodium falciparum malaria. </w:t>
      </w:r>
      <w:r w:rsidRPr="007A6D4F">
        <w:rPr>
          <w:rFonts w:ascii="Calibri" w:hAnsi="Calibri"/>
          <w:i/>
          <w:iCs/>
          <w:noProof/>
          <w:sz w:val="22"/>
        </w:rPr>
        <w:t>Nature</w:t>
      </w:r>
      <w:r w:rsidRPr="007A6D4F">
        <w:rPr>
          <w:rFonts w:ascii="Calibri" w:hAnsi="Calibri"/>
          <w:noProof/>
          <w:sz w:val="22"/>
        </w:rPr>
        <w:t>, 505(7481), pp.50–5. Available at: http://www.ncbi.nlm.nih.gov/pubmed/24352242 [Accessed July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Ashley, E.A. et al., 2014. Spread of Artemisinin Resistance in Plasmodium falciparum Malaria. </w:t>
      </w:r>
      <w:r w:rsidRPr="007A6D4F">
        <w:rPr>
          <w:rFonts w:ascii="Calibri" w:hAnsi="Calibri"/>
          <w:i/>
          <w:iCs/>
          <w:noProof/>
          <w:sz w:val="22"/>
        </w:rPr>
        <w:t>New England Journal of Medicine</w:t>
      </w:r>
      <w:r w:rsidRPr="007A6D4F">
        <w:rPr>
          <w:rFonts w:ascii="Calibri" w:hAnsi="Calibri"/>
          <w:noProof/>
          <w:sz w:val="22"/>
        </w:rPr>
        <w:t>, 371(5), pp.411–423. Available at: http://www.ncbi.nlm.nih.gov/pubmed/25075834 [Accessed July 31,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Van der Auwera, G.A. et al., 2013. </w:t>
      </w:r>
      <w:r w:rsidRPr="007A6D4F">
        <w:rPr>
          <w:rFonts w:ascii="Calibri" w:hAnsi="Calibri"/>
          <w:i/>
          <w:iCs/>
          <w:noProof/>
          <w:sz w:val="22"/>
        </w:rPr>
        <w:t>Current Protocols in Bioinformatics</w:t>
      </w:r>
      <w:r w:rsidRPr="007A6D4F">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Baudat, F. &amp; de Massy, B., 2007. Regulating double-stranded DNA break repair towards crossover or non-crossover during mammalian meiosis. </w:t>
      </w:r>
      <w:r w:rsidRPr="007A6D4F">
        <w:rPr>
          <w:rFonts w:ascii="Calibri" w:hAnsi="Calibri"/>
          <w:i/>
          <w:iCs/>
          <w:noProof/>
          <w:sz w:val="22"/>
        </w:rPr>
        <w:t>Chromosome research : an international journal on the molecular, supramolecular and evolutionary aspects of chromosome biology</w:t>
      </w:r>
      <w:r w:rsidRPr="007A6D4F">
        <w:rPr>
          <w:rFonts w:ascii="Calibri" w:hAnsi="Calibri"/>
          <w:noProof/>
          <w:sz w:val="22"/>
        </w:rPr>
        <w:t>, 15(5), pp.565–77. Available at: http://www.ncbi.nlm.nih.gov/pubmed/17674146 [Accessed December 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Birren, B. et al., 2006a. Plasmodium falciparum HB3, whole genome shotgun sequencing project. Available at: http://www.ncbi.nlm.nih.gov/nuccore/AANS00000000.</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Birren, B. et al., 2006b. Plasmodium falciparum HB3, whole genome shotgun sequencing project.</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Bopp, S.E.R. et al., 2013. Mitotic evolution of Plasmodium falciparum shows a stable core genome but recombination in antigen families. N. Maizels, ed. </w:t>
      </w:r>
      <w:r w:rsidRPr="007A6D4F">
        <w:rPr>
          <w:rFonts w:ascii="Calibri" w:hAnsi="Calibri"/>
          <w:i/>
          <w:iCs/>
          <w:noProof/>
          <w:sz w:val="22"/>
        </w:rPr>
        <w:t>PLoS genetics</w:t>
      </w:r>
      <w:r w:rsidRPr="007A6D4F">
        <w:rPr>
          <w:rFonts w:ascii="Calibri" w:hAnsi="Calibri"/>
          <w:noProof/>
          <w:sz w:val="22"/>
        </w:rPr>
        <w:t>, 9(2), p.e1003293. Available at: http://dx.plos.org/10.1371/journal.pgen.1003293 [Accessed December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Brick, K., Watanabe, J. &amp; Pizzi, E., 2008. Core promoters are predicted by their distinct physicochemical properties in the genome of Plasmodium falciparum. </w:t>
      </w:r>
      <w:r w:rsidRPr="007A6D4F">
        <w:rPr>
          <w:rFonts w:ascii="Calibri" w:hAnsi="Calibri"/>
          <w:i/>
          <w:iCs/>
          <w:noProof/>
          <w:sz w:val="22"/>
        </w:rPr>
        <w:t>Genome biology</w:t>
      </w:r>
      <w:r w:rsidRPr="007A6D4F">
        <w:rPr>
          <w:rFonts w:ascii="Calibri" w:hAnsi="Calibri"/>
          <w:noProof/>
          <w:sz w:val="22"/>
        </w:rPr>
        <w:t>, 9(12), p.R178. Available at: http://genomebiology.com/2008/9/12/R178 [Accessed December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Chen, J.-Q. et al., 2009. Variation in the ratio of nucleotide substitution and indel rates across genomes in mammals and bacteria. </w:t>
      </w:r>
      <w:r w:rsidRPr="007A6D4F">
        <w:rPr>
          <w:rFonts w:ascii="Calibri" w:hAnsi="Calibri"/>
          <w:i/>
          <w:iCs/>
          <w:noProof/>
          <w:sz w:val="22"/>
        </w:rPr>
        <w:t>Molecular biology and evolution</w:t>
      </w:r>
      <w:r w:rsidRPr="007A6D4F">
        <w:rPr>
          <w:rFonts w:ascii="Calibri" w:hAnsi="Calibri"/>
          <w:noProof/>
          <w:sz w:val="22"/>
        </w:rPr>
        <w:t>, 26(7), pp.1523–31. Available at: http://www.ncbi.nlm.nih.gov/pubmed/19329651 [Accessed April 22, 2015].</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Claessens, A. et al., 2014. Generation of antigenic diversity in Plasmodium falciparum by structured rearrangement of var genes during mitosis K. Deitsch, ed. </w:t>
      </w:r>
      <w:r w:rsidRPr="007A6D4F">
        <w:rPr>
          <w:rFonts w:ascii="Calibri" w:hAnsi="Calibri"/>
          <w:i/>
          <w:iCs/>
          <w:noProof/>
          <w:sz w:val="22"/>
        </w:rPr>
        <w:t>PLoS genetics</w:t>
      </w:r>
      <w:r w:rsidRPr="007A6D4F">
        <w:rPr>
          <w:rFonts w:ascii="Calibri" w:hAnsi="Calibri"/>
          <w:noProof/>
          <w:sz w:val="22"/>
        </w:rPr>
        <w:t>, 10(12), p.e1004812. Available at: http://journals.plos.org/plosgenetics/article?id=10.1371/journal.pgen.1004812 [Accessed December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lastRenderedPageBreak/>
        <w:t xml:space="preserve">Cowman, A.F., Galatis, D. &amp; Thompson, J.K., 1994. Selection for mefloquine resistance in Plasmodium falciparum is linked to amplification of the pfmdr1 gene and cross-resistance to halofantrine and quinine. </w:t>
      </w:r>
      <w:r w:rsidRPr="007A6D4F">
        <w:rPr>
          <w:rFonts w:ascii="Calibri" w:hAnsi="Calibri"/>
          <w:i/>
          <w:iCs/>
          <w:noProof/>
          <w:sz w:val="22"/>
        </w:rPr>
        <w:t>Proceedings of the National Academy of Sciences of the United States of America</w:t>
      </w:r>
      <w:r w:rsidRPr="007A6D4F">
        <w:rPr>
          <w:rFonts w:ascii="Calibri" w:hAnsi="Calibri"/>
          <w:noProof/>
          <w:sz w:val="22"/>
        </w:rPr>
        <w:t>, 91(3), pp.1143–7. Available at: http://www.pubmedcentral.nih.gov/articlerender.fcgi?artid=521470&amp;tool=pmcentrez&amp;rendertype=abstract [Accessed November 12,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DePristo, M.A. et al., 2011. A framework for variation discovery and genotyping using next-generation DNA sequencing data. </w:t>
      </w:r>
      <w:r w:rsidRPr="007A6D4F">
        <w:rPr>
          <w:rFonts w:ascii="Calibri" w:hAnsi="Calibri"/>
          <w:i/>
          <w:iCs/>
          <w:noProof/>
          <w:sz w:val="22"/>
        </w:rPr>
        <w:t>Nature genetics</w:t>
      </w:r>
      <w:r w:rsidRPr="007A6D4F">
        <w:rPr>
          <w:rFonts w:ascii="Calibri" w:hAnsi="Calibri"/>
          <w:noProof/>
          <w:sz w:val="22"/>
        </w:rPr>
        <w:t>, 43(5), pp.491–8. Available at: http://www.pubmedcentral.nih.gov/articlerender.fcgi?artid=3083463&amp;tool=pmcentrez&amp;rendertype=abstract [Accessed July 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DePristo, M.A., Zilversmit, M.M. &amp; Hartl, D.L., 2006. On the abundance, amino acid composition, and evolutionary dynamics of low-complexity regions in proteins. </w:t>
      </w:r>
      <w:r w:rsidRPr="007A6D4F">
        <w:rPr>
          <w:rFonts w:ascii="Calibri" w:hAnsi="Calibri"/>
          <w:i/>
          <w:iCs/>
          <w:noProof/>
          <w:sz w:val="22"/>
        </w:rPr>
        <w:t>Gene</w:t>
      </w:r>
      <w:r w:rsidRPr="007A6D4F">
        <w:rPr>
          <w:rFonts w:ascii="Calibri" w:hAnsi="Calibri"/>
          <w:noProof/>
          <w:sz w:val="22"/>
        </w:rPr>
        <w:t>, 378, pp.19–30. Available at: http://www.ncbi.nlm.nih.gov/pubmed/16806741 [Accessed November 3,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Fang, H. et al., 2014. Reducing INDEL calling errors in whole genome and exome sequencing data. </w:t>
      </w:r>
      <w:r w:rsidRPr="007A6D4F">
        <w:rPr>
          <w:rFonts w:ascii="Calibri" w:hAnsi="Calibri"/>
          <w:i/>
          <w:iCs/>
          <w:noProof/>
          <w:sz w:val="22"/>
        </w:rPr>
        <w:t>Genome medicine</w:t>
      </w:r>
      <w:r w:rsidRPr="007A6D4F">
        <w:rPr>
          <w:rFonts w:ascii="Calibri" w:hAnsi="Calibri"/>
          <w:noProof/>
          <w:sz w:val="22"/>
        </w:rPr>
        <w:t>, 6(10), p.89. Available at: http://www.pubmedcentral.nih.gov/articlerender.fcgi?artid=4240813&amp;tool=pmcentrez&amp;rendertype=abstract [Accessed January 15, 2015].</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Ferreira, M.U. et al., 2003. Sequence diversity and evolution of the malaria vaccine candidate merozoite surface protein-1 (MSP-1) of Plasmodium falciparum. </w:t>
      </w:r>
      <w:r w:rsidRPr="007A6D4F">
        <w:rPr>
          <w:rFonts w:ascii="Calibri" w:hAnsi="Calibri"/>
          <w:i/>
          <w:iCs/>
          <w:noProof/>
          <w:sz w:val="22"/>
        </w:rPr>
        <w:t>Gene</w:t>
      </w:r>
      <w:r w:rsidRPr="007A6D4F">
        <w:rPr>
          <w:rFonts w:ascii="Calibri" w:hAnsi="Calibri"/>
          <w:noProof/>
          <w:sz w:val="22"/>
        </w:rPr>
        <w:t>, 304, pp.65–75. Available at: http://www.ncbi.nlm.nih.gov/pubmed/12568716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Flueck, C. et al., 2009. Plasmodium falciparum heterochromatin protein 1 marks genomic loci linked to phenotypic variation of exported virulence factors. </w:t>
      </w:r>
      <w:r w:rsidRPr="007A6D4F">
        <w:rPr>
          <w:rFonts w:ascii="Calibri" w:hAnsi="Calibri"/>
          <w:i/>
          <w:iCs/>
          <w:noProof/>
          <w:sz w:val="22"/>
        </w:rPr>
        <w:t>PLoS pathogens</w:t>
      </w:r>
      <w:r w:rsidRPr="007A6D4F">
        <w:rPr>
          <w:rFonts w:ascii="Calibri" w:hAnsi="Calibri"/>
          <w:noProof/>
          <w:sz w:val="22"/>
        </w:rPr>
        <w:t>, 5(9), p.e1000569. Available at: http://www.pubmedcentral.nih.gov/articlerender.fcgi?artid=2731224&amp;tool=pmcentrez&amp;rendertype=abstract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Freitas-Junior, L.H. et al., 2000. Frequent ectopic recombination of virulence factor genes in telomeric chromosome clusters of P. falciparum. </w:t>
      </w:r>
      <w:r w:rsidRPr="007A6D4F">
        <w:rPr>
          <w:rFonts w:ascii="Calibri" w:hAnsi="Calibri"/>
          <w:i/>
          <w:iCs/>
          <w:noProof/>
          <w:sz w:val="22"/>
        </w:rPr>
        <w:t>Nature</w:t>
      </w:r>
      <w:r w:rsidRPr="007A6D4F">
        <w:rPr>
          <w:rFonts w:ascii="Calibri" w:hAnsi="Calibri"/>
          <w:noProof/>
          <w:sz w:val="22"/>
        </w:rPr>
        <w:t>, 407(6807), pp.1018–22. Available at: http://www.ncbi.nlm.nih.gov/pubmed/11069183 [Accessed December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Gardner, M.J. et al., 2002. Genome sequence of the human malaria parasite Plasmodium falciparum. </w:t>
      </w:r>
      <w:r w:rsidRPr="007A6D4F">
        <w:rPr>
          <w:rFonts w:ascii="Calibri" w:hAnsi="Calibri"/>
          <w:i/>
          <w:iCs/>
          <w:noProof/>
          <w:sz w:val="22"/>
        </w:rPr>
        <w:t>Nature</w:t>
      </w:r>
      <w:r w:rsidRPr="007A6D4F">
        <w:rPr>
          <w:rFonts w:ascii="Calibri" w:hAnsi="Calibri"/>
          <w:noProof/>
          <w:sz w:val="22"/>
        </w:rPr>
        <w:t>, 419(6906), pp.498–511. Available at: http://www.pubmedcentral.nih.gov/articlerender.fcgi?artid=3836256&amp;tool=pmcentrez&amp;rendertype=abstract [Accessed October 22,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Gonzales, J.M. et al., 2008. Regulatory hotspots in the malaria parasite genome dictate transcriptional variation. </w:t>
      </w:r>
      <w:r w:rsidRPr="007A6D4F">
        <w:rPr>
          <w:rFonts w:ascii="Calibri" w:hAnsi="Calibri"/>
          <w:i/>
          <w:iCs/>
          <w:noProof/>
          <w:sz w:val="22"/>
        </w:rPr>
        <w:t>PLoS biology</w:t>
      </w:r>
      <w:r w:rsidRPr="007A6D4F">
        <w:rPr>
          <w:rFonts w:ascii="Calibri" w:hAnsi="Calibri"/>
          <w:noProof/>
          <w:sz w:val="22"/>
        </w:rPr>
        <w:t>, 6(9), p.e238. Available at: http://www.pubmedcentral.nih.gov/articlerender.fcgi?artid=2553844&amp;tool=pmcentrez&amp;rendertype=abstract [Accessed November 17,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Haerty, W. &amp; Golding, G.B., 2011. Increased polymorphism near low-complexity sequences across the genomes of Plasmodium falciparum isolates. </w:t>
      </w:r>
      <w:r w:rsidRPr="007A6D4F">
        <w:rPr>
          <w:rFonts w:ascii="Calibri" w:hAnsi="Calibri"/>
          <w:i/>
          <w:iCs/>
          <w:noProof/>
          <w:sz w:val="22"/>
        </w:rPr>
        <w:t>Genome biology and evolution</w:t>
      </w:r>
      <w:r w:rsidRPr="007A6D4F">
        <w:rPr>
          <w:rFonts w:ascii="Calibri" w:hAnsi="Calibri"/>
          <w:noProof/>
          <w:sz w:val="22"/>
        </w:rPr>
        <w:t>, 3, pp.539–50. Available at: http://www.pubmedcentral.nih.gov/articlerender.fcgi?artid=3140889&amp;tool=pmcentrez&amp;rendertype=abstract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lastRenderedPageBreak/>
        <w:t xml:space="preserve">Hastings, P.J., 1992. Mechanism and control of recombination in fungi. </w:t>
      </w:r>
      <w:r w:rsidRPr="007A6D4F">
        <w:rPr>
          <w:rFonts w:ascii="Calibri" w:hAnsi="Calibri"/>
          <w:i/>
          <w:iCs/>
          <w:noProof/>
          <w:sz w:val="22"/>
        </w:rPr>
        <w:t>Mutation research</w:t>
      </w:r>
      <w:r w:rsidRPr="007A6D4F">
        <w:rPr>
          <w:rFonts w:ascii="Calibri" w:hAnsi="Calibri"/>
          <w:noProof/>
          <w:sz w:val="22"/>
        </w:rPr>
        <w:t>, 284(1), pp.97–110. Available at: http://www.ncbi.nlm.nih.gov/pubmed/1279396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Hayton, K. et al., 2008. Erythrocyte binding protein PfRH5 polymorphisms determine species-specific pathways of Plasmodium falciparum invasion. </w:t>
      </w:r>
      <w:r w:rsidRPr="007A6D4F">
        <w:rPr>
          <w:rFonts w:ascii="Calibri" w:hAnsi="Calibri"/>
          <w:i/>
          <w:iCs/>
          <w:noProof/>
          <w:sz w:val="22"/>
        </w:rPr>
        <w:t>Cell host &amp; microbe</w:t>
      </w:r>
      <w:r w:rsidRPr="007A6D4F">
        <w:rPr>
          <w:rFonts w:ascii="Calibri" w:hAnsi="Calibri"/>
          <w:noProof/>
          <w:sz w:val="22"/>
        </w:rPr>
        <w:t>, 4(1), pp.40–51. Available at: http://www.pubmedcentral.nih.gov/articlerender.fcgi?artid=2677973&amp;tool=pmcentrez&amp;rendertype=abstract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Heinberg, A. et al., 2013. Direct evidence for the adaptive role of copy number variation on antifolate susceptibility in Plasmodium falciparum. </w:t>
      </w:r>
      <w:r w:rsidRPr="007A6D4F">
        <w:rPr>
          <w:rFonts w:ascii="Calibri" w:hAnsi="Calibri"/>
          <w:i/>
          <w:iCs/>
          <w:noProof/>
          <w:sz w:val="22"/>
        </w:rPr>
        <w:t>Molecular microbiology</w:t>
      </w:r>
      <w:r w:rsidRPr="007A6D4F">
        <w:rPr>
          <w:rFonts w:ascii="Calibri" w:hAnsi="Calibri"/>
          <w:noProof/>
          <w:sz w:val="22"/>
        </w:rPr>
        <w:t>, 88(4), pp.702–12. Available at: http://www.pubmedcentral.nih.gov/articlerender.fcgi?artid=3654098&amp;tool=pmcentrez&amp;rendertype=abstract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Hilliker, A.J. et al., 1994. Meiotic gene conversion tract length distribution within the rosy locus of Drosophila melanogaster. </w:t>
      </w:r>
      <w:r w:rsidRPr="007A6D4F">
        <w:rPr>
          <w:rFonts w:ascii="Calibri" w:hAnsi="Calibri"/>
          <w:i/>
          <w:iCs/>
          <w:noProof/>
          <w:sz w:val="22"/>
        </w:rPr>
        <w:t>Genetics</w:t>
      </w:r>
      <w:r w:rsidRPr="007A6D4F">
        <w:rPr>
          <w:rFonts w:ascii="Calibri" w:hAnsi="Calibri"/>
          <w:noProof/>
          <w:sz w:val="22"/>
        </w:rPr>
        <w:t>, 137(4), pp.1019–26. Available at: http://www.pubmedcentral.nih.gov/articlerender.fcgi?artid=1206049&amp;tool=pmcentrez&amp;rendertype=abstract [Accessed December 16,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Iqbal, Z. et al., 2012. De novo assembly and genotyping of variants using colored de Bruijn graphs. </w:t>
      </w:r>
      <w:r w:rsidRPr="007A6D4F">
        <w:rPr>
          <w:rFonts w:ascii="Calibri" w:hAnsi="Calibri"/>
          <w:i/>
          <w:iCs/>
          <w:noProof/>
          <w:sz w:val="22"/>
        </w:rPr>
        <w:t>Nature genetics</w:t>
      </w:r>
      <w:r w:rsidRPr="007A6D4F">
        <w:rPr>
          <w:rFonts w:ascii="Calibri" w:hAnsi="Calibri"/>
          <w:noProof/>
          <w:sz w:val="22"/>
        </w:rPr>
        <w:t>, 44(2), pp.226–32. Available at: http://dx.doi.org/10.1038/ng.1028 [Accessed July 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Jeffares, D.C. et al., 2007. Genome variation and evolution of the malaria parasite Plasmodium falciparum. </w:t>
      </w:r>
      <w:r w:rsidRPr="007A6D4F">
        <w:rPr>
          <w:rFonts w:ascii="Calibri" w:hAnsi="Calibri"/>
          <w:i/>
          <w:iCs/>
          <w:noProof/>
          <w:sz w:val="22"/>
        </w:rPr>
        <w:t>Nature genetics</w:t>
      </w:r>
      <w:r w:rsidRPr="007A6D4F">
        <w:rPr>
          <w:rFonts w:ascii="Calibri" w:hAnsi="Calibri"/>
          <w:noProof/>
          <w:sz w:val="22"/>
        </w:rPr>
        <w:t>, 39(1), pp.120–5. Available at: http://www.pubmedcentral.nih.gov/articlerender.fcgi?artid=2663918&amp;tool=pmcentrez&amp;rendertype=abstract [Accessed November 13,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Jeffreys, A.J. &amp; May, C.A., 2004. Intense and highly localized gene conversion activity in human meiotic crossover hot spots. </w:t>
      </w:r>
      <w:r w:rsidRPr="007A6D4F">
        <w:rPr>
          <w:rFonts w:ascii="Calibri" w:hAnsi="Calibri"/>
          <w:i/>
          <w:iCs/>
          <w:noProof/>
          <w:sz w:val="22"/>
        </w:rPr>
        <w:t>Nature genetics</w:t>
      </w:r>
      <w:r w:rsidRPr="007A6D4F">
        <w:rPr>
          <w:rFonts w:ascii="Calibri" w:hAnsi="Calibri"/>
          <w:noProof/>
          <w:sz w:val="22"/>
        </w:rPr>
        <w:t>, 36(2), pp.151–6. Available at: http://www.ncbi.nlm.nih.gov/pubmed/14704667 [Accessed December 17,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Jiang, H. et al., 2011. High recombination rates and hotspots in a Plasmodium falciparum genetic cross. </w:t>
      </w:r>
      <w:r w:rsidRPr="007A6D4F">
        <w:rPr>
          <w:rFonts w:ascii="Calibri" w:hAnsi="Calibri"/>
          <w:i/>
          <w:iCs/>
          <w:noProof/>
          <w:sz w:val="22"/>
        </w:rPr>
        <w:t>Genome biology</w:t>
      </w:r>
      <w:r w:rsidRPr="007A6D4F">
        <w:rPr>
          <w:rFonts w:ascii="Calibri" w:hAnsi="Calibri"/>
          <w:noProof/>
          <w:sz w:val="22"/>
        </w:rPr>
        <w:t>, 12(4), p.R33. Available at: http://genomebiology.com/2011/12/4/R33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Kerr, P.J., Ranford-Cartwright, L.C. &amp; Walliker, D., 1994. Proof of intragenic recombination in Plasmodium falciparum. </w:t>
      </w:r>
      <w:r w:rsidRPr="007A6D4F">
        <w:rPr>
          <w:rFonts w:ascii="Calibri" w:hAnsi="Calibri"/>
          <w:i/>
          <w:iCs/>
          <w:noProof/>
          <w:sz w:val="22"/>
        </w:rPr>
        <w:t>Molecular and biochemical parasitology</w:t>
      </w:r>
      <w:r w:rsidRPr="007A6D4F">
        <w:rPr>
          <w:rFonts w:ascii="Calibri" w:hAnsi="Calibri"/>
          <w:noProof/>
          <w:sz w:val="22"/>
        </w:rPr>
        <w:t>, 66(2), pp.241–8. Available at: http://www.ncbi.nlm.nih.gov/pubmed/7808474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Kidgell, C. et al., 2006. A systematic map of genetic variation in Plasmodium falciparum. </w:t>
      </w:r>
      <w:r w:rsidRPr="007A6D4F">
        <w:rPr>
          <w:rFonts w:ascii="Calibri" w:hAnsi="Calibri"/>
          <w:i/>
          <w:iCs/>
          <w:noProof/>
          <w:sz w:val="22"/>
        </w:rPr>
        <w:t>PLoS pathogens</w:t>
      </w:r>
      <w:r w:rsidRPr="007A6D4F">
        <w:rPr>
          <w:rFonts w:ascii="Calibri" w:hAnsi="Calibri"/>
          <w:noProof/>
          <w:sz w:val="22"/>
        </w:rPr>
        <w:t>, 2(6), p.e57. Available at: http://www.pubmedcentral.nih.gov/articlerender.fcgi?artid=1480597&amp;tool=pmcentrez&amp;rendertype=abstract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Kondrashov, F.A., 2012. Gene duplication as a mechanism of genomic adaptation to a changing environment. </w:t>
      </w:r>
      <w:r w:rsidRPr="007A6D4F">
        <w:rPr>
          <w:rFonts w:ascii="Calibri" w:hAnsi="Calibri"/>
          <w:i/>
          <w:iCs/>
          <w:noProof/>
          <w:sz w:val="22"/>
        </w:rPr>
        <w:t>Proceedings. Biological sciences / The Royal Society</w:t>
      </w:r>
      <w:r w:rsidRPr="007A6D4F">
        <w:rPr>
          <w:rFonts w:ascii="Calibri" w:hAnsi="Calibri"/>
          <w:noProof/>
          <w:sz w:val="22"/>
        </w:rPr>
        <w:t>, 279(1749), pp.5048–57. Available at: http://www.pubmedcentral.nih.gov/articlerender.fcgi?artid=3497230&amp;tool=pmcentrez&amp;rendertype=abstract [Accessed November 12,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lastRenderedPageBreak/>
        <w:t xml:space="preserve">Kozarewa, I. et al., 2009. Amplification-free Illumina sequencing-library preparation facilitates improved mapping and assembly of (G+C)-biased genomes. </w:t>
      </w:r>
      <w:r w:rsidRPr="007A6D4F">
        <w:rPr>
          <w:rFonts w:ascii="Calibri" w:hAnsi="Calibri"/>
          <w:i/>
          <w:iCs/>
          <w:noProof/>
          <w:sz w:val="22"/>
        </w:rPr>
        <w:t>Nature methods</w:t>
      </w:r>
      <w:r w:rsidRPr="007A6D4F">
        <w:rPr>
          <w:rFonts w:ascii="Calibri" w:hAnsi="Calibri"/>
          <w:noProof/>
          <w:sz w:val="22"/>
        </w:rPr>
        <w:t>, 6(4), pp.291–5. Available at: http://dx.doi.org/10.1038/nmeth.1311 [Accessed October 31,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Lasonder, E. et al., 2008. Proteomic profiling of Plasmodium sporozoite maturation identifies new proteins essential for parasite development and infectivity. D. E. Goldberg, ed. </w:t>
      </w:r>
      <w:r w:rsidRPr="007A6D4F">
        <w:rPr>
          <w:rFonts w:ascii="Calibri" w:hAnsi="Calibri"/>
          <w:i/>
          <w:iCs/>
          <w:noProof/>
          <w:sz w:val="22"/>
        </w:rPr>
        <w:t>PLoS pathogens</w:t>
      </w:r>
      <w:r w:rsidRPr="007A6D4F">
        <w:rPr>
          <w:rFonts w:ascii="Calibri" w:hAnsi="Calibri"/>
          <w:noProof/>
          <w:sz w:val="22"/>
        </w:rPr>
        <w:t>, 4(10), p.e1000195. Available at: http://dx.plos.org/10.1371/journal.ppat.1000195 [Accessed December 16,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Li, H. &amp; Durbin, R., 2009. Fast and accurate short read alignment with Burrows-Wheeler transform. </w:t>
      </w:r>
      <w:r w:rsidRPr="007A6D4F">
        <w:rPr>
          <w:rFonts w:ascii="Calibri" w:hAnsi="Calibri"/>
          <w:i/>
          <w:iCs/>
          <w:noProof/>
          <w:sz w:val="22"/>
        </w:rPr>
        <w:t>Bioinformatics (Oxford, England)</w:t>
      </w:r>
      <w:r w:rsidRPr="007A6D4F">
        <w:rPr>
          <w:rFonts w:ascii="Calibri" w:hAnsi="Calibri"/>
          <w:noProof/>
          <w:sz w:val="22"/>
        </w:rPr>
        <w:t>, 25(14), pp.1754–60. Available at: http://www.pubmedcentral.nih.gov/articlerender.fcgi?artid=2705234&amp;tool=pmcentrez&amp;rendertype=abstract [Accessed July 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Li, Y.-C. et al., 2002. Microsatellites: genomic distribution, putative functions and mutational mechanisms: a review. </w:t>
      </w:r>
      <w:r w:rsidRPr="007A6D4F">
        <w:rPr>
          <w:rFonts w:ascii="Calibri" w:hAnsi="Calibri"/>
          <w:i/>
          <w:iCs/>
          <w:noProof/>
          <w:sz w:val="22"/>
        </w:rPr>
        <w:t>Molecular ecology</w:t>
      </w:r>
      <w:r w:rsidRPr="007A6D4F">
        <w:rPr>
          <w:rFonts w:ascii="Calibri" w:hAnsi="Calibri"/>
          <w:noProof/>
          <w:sz w:val="22"/>
        </w:rPr>
        <w:t>, 11(12), pp.2453–65. Available at: http://www.ncbi.nlm.nih.gov/pubmed/12453231 [Accessed November 18,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Lovett, S.T., 2004. Encoded errors: mutations and rearrangements mediated by misalignment at repetitive DNA sequences. </w:t>
      </w:r>
      <w:r w:rsidRPr="007A6D4F">
        <w:rPr>
          <w:rFonts w:ascii="Calibri" w:hAnsi="Calibri"/>
          <w:i/>
          <w:iCs/>
          <w:noProof/>
          <w:sz w:val="22"/>
        </w:rPr>
        <w:t>Molecular microbiology</w:t>
      </w:r>
      <w:r w:rsidRPr="007A6D4F">
        <w:rPr>
          <w:rFonts w:ascii="Calibri" w:hAnsi="Calibri"/>
          <w:noProof/>
          <w:sz w:val="22"/>
        </w:rPr>
        <w:t>, 52(5), pp.1243–53. Available at: http://www.ncbi.nlm.nih.gov/pubmed/15165229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Mancera, E. et al., 2008. High-resolution mapping of meiotic crossovers and non-crossovers in yeast. </w:t>
      </w:r>
      <w:r w:rsidRPr="007A6D4F">
        <w:rPr>
          <w:rFonts w:ascii="Calibri" w:hAnsi="Calibri"/>
          <w:i/>
          <w:iCs/>
          <w:noProof/>
          <w:sz w:val="22"/>
        </w:rPr>
        <w:t>Nature</w:t>
      </w:r>
      <w:r w:rsidRPr="007A6D4F">
        <w:rPr>
          <w:rFonts w:ascii="Calibri" w:hAnsi="Calibri"/>
          <w:noProof/>
          <w:sz w:val="22"/>
        </w:rPr>
        <w:t>, 454(7203), pp.479–85. Available at: http://www.pubmedcentral.nih.gov/articlerender.fcgi?artid=2780006&amp;tool=pmcentrez&amp;rendertype=abstract [Accessed November 18,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Manske, H.M. &amp; Kwiatkowski, D.P., 2009. LookSeq: a browser-based viewer for deep sequencing data. </w:t>
      </w:r>
      <w:r w:rsidRPr="007A6D4F">
        <w:rPr>
          <w:rFonts w:ascii="Calibri" w:hAnsi="Calibri"/>
          <w:i/>
          <w:iCs/>
          <w:noProof/>
          <w:sz w:val="22"/>
        </w:rPr>
        <w:t>Genome research</w:t>
      </w:r>
      <w:r w:rsidRPr="007A6D4F">
        <w:rPr>
          <w:rFonts w:ascii="Calibri" w:hAnsi="Calibri"/>
          <w:noProof/>
          <w:sz w:val="22"/>
        </w:rPr>
        <w:t>, 19(11), pp.2125–32. Available at: http://www.pubmedcentral.nih.gov/articlerender.fcgi?artid=2775587&amp;tool=pmcentrez&amp;rendertype=abstract [Accessed December 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Manske, M. et al., 2012. Analysis of Plasmodium falciparum diversity in natural infections by deep sequencing. </w:t>
      </w:r>
      <w:r w:rsidRPr="007A6D4F">
        <w:rPr>
          <w:rFonts w:ascii="Calibri" w:hAnsi="Calibri"/>
          <w:i/>
          <w:iCs/>
          <w:noProof/>
          <w:sz w:val="22"/>
        </w:rPr>
        <w:t>Nature</w:t>
      </w:r>
      <w:r w:rsidRPr="007A6D4F">
        <w:rPr>
          <w:rFonts w:ascii="Calibri" w:hAnsi="Calibri"/>
          <w:noProof/>
          <w:sz w:val="22"/>
        </w:rPr>
        <w:t>, 487(7407), pp.375–9. Available at: http://www.pubmedcentral.nih.gov/articlerender.fcgi?artid=3738909&amp;tool=pmcentrez&amp;rendertype=abstract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Martinez-Perez, E. &amp; Colaiácovo, M.P., 2009. Distribution of meiotic recombination events: talking to your neighbors. </w:t>
      </w:r>
      <w:r w:rsidRPr="007A6D4F">
        <w:rPr>
          <w:rFonts w:ascii="Calibri" w:hAnsi="Calibri"/>
          <w:i/>
          <w:iCs/>
          <w:noProof/>
          <w:sz w:val="22"/>
        </w:rPr>
        <w:t>Current opinion in genetics &amp; development</w:t>
      </w:r>
      <w:r w:rsidRPr="007A6D4F">
        <w:rPr>
          <w:rFonts w:ascii="Calibri" w:hAnsi="Calibri"/>
          <w:noProof/>
          <w:sz w:val="22"/>
        </w:rPr>
        <w:t>, 19(2), pp.105–12. Available at: http://www.pubmedcentral.nih.gov/articlerender.fcgi?artid=2729281&amp;tool=pmcentrez&amp;rendertype=abstract [Accessed December 16,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McKenna, A. et al., 2010. The Genome Analysis Toolkit: a MapReduce framework for analyzing next-generation DNA sequencing data. </w:t>
      </w:r>
      <w:r w:rsidRPr="007A6D4F">
        <w:rPr>
          <w:rFonts w:ascii="Calibri" w:hAnsi="Calibri"/>
          <w:i/>
          <w:iCs/>
          <w:noProof/>
          <w:sz w:val="22"/>
        </w:rPr>
        <w:t>Genome research</w:t>
      </w:r>
      <w:r w:rsidRPr="007A6D4F">
        <w:rPr>
          <w:rFonts w:ascii="Calibri" w:hAnsi="Calibri"/>
          <w:noProof/>
          <w:sz w:val="22"/>
        </w:rPr>
        <w:t>, 20(9), pp.1297–303. Available at: http://www.pubmedcentral.nih.gov/articlerender.fcgi?artid=2928508&amp;tool=pmcentrez&amp;rendertype=abstract [Accessed July 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Miotto, O. et al., 2013. Multiple populations of artemisinin-resistant Plasmodium falciparum in Cambodia. </w:t>
      </w:r>
      <w:r w:rsidRPr="007A6D4F">
        <w:rPr>
          <w:rFonts w:ascii="Calibri" w:hAnsi="Calibri"/>
          <w:i/>
          <w:iCs/>
          <w:noProof/>
          <w:sz w:val="22"/>
        </w:rPr>
        <w:t>Nature genetics</w:t>
      </w:r>
      <w:r w:rsidRPr="007A6D4F">
        <w:rPr>
          <w:rFonts w:ascii="Calibri" w:hAnsi="Calibri"/>
          <w:noProof/>
          <w:sz w:val="22"/>
        </w:rPr>
        <w:t>, 45(6), pp.648–55. Available at: http://www.pubmedcentral.nih.gov/articlerender.fcgi?artid=3807790&amp;tool=pmcentrez&amp;rendertype=abstract [Accessed September 30,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lastRenderedPageBreak/>
        <w:t xml:space="preserve">Mira-Martínez, S. et al., 2013. Epigenetic switches in clag3 genes mediate blasticidin S resistance in malaria parasites. </w:t>
      </w:r>
      <w:r w:rsidRPr="007A6D4F">
        <w:rPr>
          <w:rFonts w:ascii="Calibri" w:hAnsi="Calibri"/>
          <w:i/>
          <w:iCs/>
          <w:noProof/>
          <w:sz w:val="22"/>
        </w:rPr>
        <w:t>Cellular microbiology</w:t>
      </w:r>
      <w:r w:rsidRPr="007A6D4F">
        <w:rPr>
          <w:rFonts w:ascii="Calibri" w:hAnsi="Calibri"/>
          <w:noProof/>
          <w:sz w:val="22"/>
        </w:rPr>
        <w:t>, 15(11), pp.1913–23. Available at: http://www.ncbi.nlm.nih.gov/pubmed/23819786 [Accessed December 10,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Mok, S. et al., 2014. Structural polymorphism in the promoter of pfmrp2 confers Plasmodium falciparum tolerance to quinoline drugs. </w:t>
      </w:r>
      <w:r w:rsidRPr="007A6D4F">
        <w:rPr>
          <w:rFonts w:ascii="Calibri" w:hAnsi="Calibri"/>
          <w:i/>
          <w:iCs/>
          <w:noProof/>
          <w:sz w:val="22"/>
        </w:rPr>
        <w:t>Molecular microbiology</w:t>
      </w:r>
      <w:r w:rsidRPr="007A6D4F">
        <w:rPr>
          <w:rFonts w:ascii="Calibri" w:hAnsi="Calibri"/>
          <w:noProof/>
          <w:sz w:val="22"/>
        </w:rPr>
        <w:t>, 91(5), pp.918–34. Available at: http://www.ncbi.nlm.nih.gov/pubmed/24372851 [Accessed November 13,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Montgomery, S.B. et al., 2013. The origin, evolution, and functional impact of short insertion-deletion variants identified in 179 human genomes. </w:t>
      </w:r>
      <w:r w:rsidRPr="007A6D4F">
        <w:rPr>
          <w:rFonts w:ascii="Calibri" w:hAnsi="Calibri"/>
          <w:i/>
          <w:iCs/>
          <w:noProof/>
          <w:sz w:val="22"/>
        </w:rPr>
        <w:t>Genome research</w:t>
      </w:r>
      <w:r w:rsidRPr="007A6D4F">
        <w:rPr>
          <w:rFonts w:ascii="Calibri" w:hAnsi="Calibri"/>
          <w:noProof/>
          <w:sz w:val="22"/>
        </w:rPr>
        <w:t>, 23(5), pp.749–61. Available at: http://www.pubmedcentral.nih.gov/articlerender.fcgi?artid=3638132&amp;tool=pmcentrez&amp;rendertype=abstract [Accessed August 21,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Muralidharan, V. &amp; Goldberg, D.E., 2013. Asparagine repeats in Plasmodium falciparum proteins: good for nothing? L. J. Knoll, ed. </w:t>
      </w:r>
      <w:r w:rsidRPr="007A6D4F">
        <w:rPr>
          <w:rFonts w:ascii="Calibri" w:hAnsi="Calibri"/>
          <w:i/>
          <w:iCs/>
          <w:noProof/>
          <w:sz w:val="22"/>
        </w:rPr>
        <w:t>PLoS pathogens</w:t>
      </w:r>
      <w:r w:rsidRPr="007A6D4F">
        <w:rPr>
          <w:rFonts w:ascii="Calibri" w:hAnsi="Calibri"/>
          <w:noProof/>
          <w:sz w:val="22"/>
        </w:rPr>
        <w:t>, 9(8), p.e1003488. Available at: http://dx.plos.org/10.1371/journal.ppat.1003488 [Accessed December 8,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Muzzey, D. et al., 2013. Assembly of a phased diploid Candida albicans genome facilitates allele-specific measurements and provides a simple model for repeat and indel structure. </w:t>
      </w:r>
      <w:r w:rsidRPr="007A6D4F">
        <w:rPr>
          <w:rFonts w:ascii="Calibri" w:hAnsi="Calibri"/>
          <w:i/>
          <w:iCs/>
          <w:noProof/>
          <w:sz w:val="22"/>
        </w:rPr>
        <w:t>Genome biology</w:t>
      </w:r>
      <w:r w:rsidRPr="007A6D4F">
        <w:rPr>
          <w:rFonts w:ascii="Calibri" w:hAnsi="Calibri"/>
          <w:noProof/>
          <w:sz w:val="22"/>
        </w:rPr>
        <w:t>, 14(9), p.R97. Available at: http://genomebiology.com/2013/14/9/R97 [Accessed April 22, 2015].</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Myers, S. et al., 2005. A fine-scale map of recombination rates and hotspots across the human genome. </w:t>
      </w:r>
      <w:r w:rsidRPr="007A6D4F">
        <w:rPr>
          <w:rFonts w:ascii="Calibri" w:hAnsi="Calibri"/>
          <w:i/>
          <w:iCs/>
          <w:noProof/>
          <w:sz w:val="22"/>
        </w:rPr>
        <w:t>Science (New York, N.Y.)</w:t>
      </w:r>
      <w:r w:rsidRPr="007A6D4F">
        <w:rPr>
          <w:rFonts w:ascii="Calibri" w:hAnsi="Calibri"/>
          <w:noProof/>
          <w:sz w:val="22"/>
        </w:rPr>
        <w:t>, 310(5746), pp.321–4. Available at: http://www.sciencemag.org/content/310/5746/321 [Accessed July 23,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Nair, S. et al., 2008. Adaptive copy number evolution in malaria parasites. </w:t>
      </w:r>
      <w:r w:rsidRPr="007A6D4F">
        <w:rPr>
          <w:rFonts w:ascii="Calibri" w:hAnsi="Calibri"/>
          <w:i/>
          <w:iCs/>
          <w:noProof/>
          <w:sz w:val="22"/>
        </w:rPr>
        <w:t>PLoS genetics</w:t>
      </w:r>
      <w:r w:rsidRPr="007A6D4F">
        <w:rPr>
          <w:rFonts w:ascii="Calibri" w:hAnsi="Calibri"/>
          <w:noProof/>
          <w:sz w:val="22"/>
        </w:rPr>
        <w:t>, 4(10), p.e1000243. Available at: http://www.pubmedcentral.nih.gov/articlerender.fcgi?artid=2570623&amp;tool=pmcentrez&amp;rendertype=abstract [Accessed November 17,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Nair, S. et al., 2007. Recurrent gene amplification and soft selective sweeps during evolution of multidrug resistance in malaria parasites. </w:t>
      </w:r>
      <w:r w:rsidRPr="007A6D4F">
        <w:rPr>
          <w:rFonts w:ascii="Calibri" w:hAnsi="Calibri"/>
          <w:i/>
          <w:iCs/>
          <w:noProof/>
          <w:sz w:val="22"/>
        </w:rPr>
        <w:t>Molecular biology and evolution</w:t>
      </w:r>
      <w:r w:rsidRPr="007A6D4F">
        <w:rPr>
          <w:rFonts w:ascii="Calibri" w:hAnsi="Calibri"/>
          <w:noProof/>
          <w:sz w:val="22"/>
        </w:rPr>
        <w:t>, 24(2), pp.562–73. Available at: http://www.ncbi.nlm.nih.gov/pubmed/17124182 [Accessed November 12,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Ranford-Cartwright, L.C. &amp; Mwangi, J.M., 2012. Analysis of malaria parasite phenotypes using experimental genetic crosses of Plasmodium falciparum. </w:t>
      </w:r>
      <w:r w:rsidRPr="007A6D4F">
        <w:rPr>
          <w:rFonts w:ascii="Calibri" w:hAnsi="Calibri"/>
          <w:i/>
          <w:iCs/>
          <w:noProof/>
          <w:sz w:val="22"/>
        </w:rPr>
        <w:t>International journal for parasitology</w:t>
      </w:r>
      <w:r w:rsidRPr="007A6D4F">
        <w:rPr>
          <w:rFonts w:ascii="Calibri" w:hAnsi="Calibri"/>
          <w:noProof/>
          <w:sz w:val="22"/>
        </w:rPr>
        <w:t>, 42(6), pp.529–34. Available at: http://www.pubmedcentral.nih.gov/articlerender.fcgi?artid=4039998&amp;tool=pmcentrez&amp;rendertype=abstract [Accessed November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Robasky, K., Lewis, N.E. &amp; Church, G.M., 2014. The role of replicates for error mitigation in next-generation sequencing. </w:t>
      </w:r>
      <w:r w:rsidRPr="007A6D4F">
        <w:rPr>
          <w:rFonts w:ascii="Calibri" w:hAnsi="Calibri"/>
          <w:i/>
          <w:iCs/>
          <w:noProof/>
          <w:sz w:val="22"/>
        </w:rPr>
        <w:t>Nature reviews. Genetics</w:t>
      </w:r>
      <w:r w:rsidRPr="007A6D4F">
        <w:rPr>
          <w:rFonts w:ascii="Calibri" w:hAnsi="Calibri"/>
          <w:noProof/>
          <w:sz w:val="22"/>
        </w:rPr>
        <w:t>, 15(1), pp.56–62. Available at: http://dx.doi.org/10.1038/nrg3655 [Accessed July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Rosenthal, P.J., 2013. The interplay between drug resistance and fitness in malaria parasites. </w:t>
      </w:r>
      <w:r w:rsidRPr="007A6D4F">
        <w:rPr>
          <w:rFonts w:ascii="Calibri" w:hAnsi="Calibri"/>
          <w:i/>
          <w:iCs/>
          <w:noProof/>
          <w:sz w:val="22"/>
        </w:rPr>
        <w:t>Molecular microbiology</w:t>
      </w:r>
      <w:r w:rsidRPr="007A6D4F">
        <w:rPr>
          <w:rFonts w:ascii="Calibri" w:hAnsi="Calibri"/>
          <w:noProof/>
          <w:sz w:val="22"/>
        </w:rPr>
        <w:t>, 89(6), pp.1025–38. Available at: http://www.pubmedcentral.nih.gov/articlerender.fcgi?artid=3792794&amp;tool=pmcentrez&amp;rendertype=abstract [Accessed April 22, 2015].</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lastRenderedPageBreak/>
        <w:t xml:space="preserve">Roy, S.W., Ferreira, M.U. &amp; Hartl, D.L., 2008. Evolution of allelic dimorphism in malarial surface antigens. </w:t>
      </w:r>
      <w:r w:rsidRPr="007A6D4F">
        <w:rPr>
          <w:rFonts w:ascii="Calibri" w:hAnsi="Calibri"/>
          <w:i/>
          <w:iCs/>
          <w:noProof/>
          <w:sz w:val="22"/>
        </w:rPr>
        <w:t>Heredity</w:t>
      </w:r>
      <w:r w:rsidRPr="007A6D4F">
        <w:rPr>
          <w:rFonts w:ascii="Calibri" w:hAnsi="Calibri"/>
          <w:noProof/>
          <w:sz w:val="22"/>
        </w:rPr>
        <w:t>, 100(2), pp.103–10. Available at: http://www.ncbi.nlm.nih.gov/pubmed/17021615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Samarakoon, U., Regier, A., et al., 2011. High-throughput 454 resequencing for allele discovery and recombination mapping in Plasmodium falciparum. </w:t>
      </w:r>
      <w:r w:rsidRPr="007A6D4F">
        <w:rPr>
          <w:rFonts w:ascii="Calibri" w:hAnsi="Calibri"/>
          <w:i/>
          <w:iCs/>
          <w:noProof/>
          <w:sz w:val="22"/>
        </w:rPr>
        <w:t>BMC genomics</w:t>
      </w:r>
      <w:r w:rsidRPr="007A6D4F">
        <w:rPr>
          <w:rFonts w:ascii="Calibri" w:hAnsi="Calibri"/>
          <w:noProof/>
          <w:sz w:val="22"/>
        </w:rPr>
        <w:t>, 12, p.116. Available at: http://www.pubmedcentral.nih.gov/articlerender.fcgi?artid=3055840&amp;tool=pmcentrez&amp;rendertype=abstract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Samarakoon, U., Gonzales, J.M., et al., 2011. The landscape of inherited and de novo copy number variants in a Plasmodium falciparum genetic cross. </w:t>
      </w:r>
      <w:r w:rsidRPr="007A6D4F">
        <w:rPr>
          <w:rFonts w:ascii="Calibri" w:hAnsi="Calibri"/>
          <w:i/>
          <w:iCs/>
          <w:noProof/>
          <w:sz w:val="22"/>
        </w:rPr>
        <w:t>BMC genomics</w:t>
      </w:r>
      <w:r w:rsidRPr="007A6D4F">
        <w:rPr>
          <w:rFonts w:ascii="Calibri" w:hAnsi="Calibri"/>
          <w:noProof/>
          <w:sz w:val="22"/>
        </w:rPr>
        <w:t>, 12, p.457. Available at: http://www.pubmedcentral.nih.gov/articlerender.fcgi?artid=3191341&amp;tool=pmcentrez&amp;rendertype=abstract [Accessed October 18,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Saunders, I.W., Brohede, J. &amp; Hannan, G.N., 2007. Estimating genotyping error rates from Mendelian errors in SNP array genotypes and their impact on inference. </w:t>
      </w:r>
      <w:r w:rsidRPr="007A6D4F">
        <w:rPr>
          <w:rFonts w:ascii="Calibri" w:hAnsi="Calibri"/>
          <w:i/>
          <w:iCs/>
          <w:noProof/>
          <w:sz w:val="22"/>
        </w:rPr>
        <w:t>Genomics</w:t>
      </w:r>
      <w:r w:rsidRPr="007A6D4F">
        <w:rPr>
          <w:rFonts w:ascii="Calibri" w:hAnsi="Calibri"/>
          <w:noProof/>
          <w:sz w:val="22"/>
        </w:rPr>
        <w:t>, 90(3), pp.291–6. Available at: http://www.sciencedirect.com/science/article/pii/S088875430700136X [Accessed December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Sepúlveda, N. et al., 2013. A Poisson hierarchical modelling approach to detecting copy number variation in sequence coverage data. </w:t>
      </w:r>
      <w:r w:rsidRPr="007A6D4F">
        <w:rPr>
          <w:rFonts w:ascii="Calibri" w:hAnsi="Calibri"/>
          <w:i/>
          <w:iCs/>
          <w:noProof/>
          <w:sz w:val="22"/>
        </w:rPr>
        <w:t>BMC genomics</w:t>
      </w:r>
      <w:r w:rsidRPr="007A6D4F">
        <w:rPr>
          <w:rFonts w:ascii="Calibri" w:hAnsi="Calibri"/>
          <w:noProof/>
          <w:sz w:val="22"/>
        </w:rPr>
        <w:t>, 14, p.128. Available at: http://www.pubmedcentral.nih.gov/articlerender.fcgi?artid=3679970&amp;tool=pmcentrez&amp;rendertype=abstract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Su, X. et al., 1999. A genetic map and recombination parameters of the human malaria parasite Plasmodium falciparum. </w:t>
      </w:r>
      <w:r w:rsidRPr="007A6D4F">
        <w:rPr>
          <w:rFonts w:ascii="Calibri" w:hAnsi="Calibri"/>
          <w:i/>
          <w:iCs/>
          <w:noProof/>
          <w:sz w:val="22"/>
        </w:rPr>
        <w:t>Science (New York, N.Y.)</w:t>
      </w:r>
      <w:r w:rsidRPr="007A6D4F">
        <w:rPr>
          <w:rFonts w:ascii="Calibri" w:hAnsi="Calibri"/>
          <w:noProof/>
          <w:sz w:val="22"/>
        </w:rPr>
        <w:t>, 286(5443), pp.1351–3. Available at: http://www.ncbi.nlm.nih.gov/pubmed/10558988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Tan, J.C. et al., 2010. Variable numbers of tandem repeats in Plasmodium falciparum genes. </w:t>
      </w:r>
      <w:r w:rsidRPr="007A6D4F">
        <w:rPr>
          <w:rFonts w:ascii="Calibri" w:hAnsi="Calibri"/>
          <w:i/>
          <w:iCs/>
          <w:noProof/>
          <w:sz w:val="22"/>
        </w:rPr>
        <w:t>Journal of molecular evolution</w:t>
      </w:r>
      <w:r w:rsidRPr="007A6D4F">
        <w:rPr>
          <w:rFonts w:ascii="Calibri" w:hAnsi="Calibri"/>
          <w:noProof/>
          <w:sz w:val="22"/>
        </w:rPr>
        <w:t>, 71(4), pp.268–78. Available at: http://www.pubmedcentral.nih.gov/articlerender.fcgi?artid=3205454&amp;tool=pmcentrez&amp;rendertype=abstract [Accessed November 21,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Valli, A., López-Moya, J.J. &amp; García, J.A., 2007. Recombination and gene duplication in the evolutionary diversification of P1 proteins in the family Potyviridae. </w:t>
      </w:r>
      <w:r w:rsidRPr="007A6D4F">
        <w:rPr>
          <w:rFonts w:ascii="Calibri" w:hAnsi="Calibri"/>
          <w:i/>
          <w:iCs/>
          <w:noProof/>
          <w:sz w:val="22"/>
        </w:rPr>
        <w:t>The Journal of general virology</w:t>
      </w:r>
      <w:r w:rsidRPr="007A6D4F">
        <w:rPr>
          <w:rFonts w:ascii="Calibri" w:hAnsi="Calibri"/>
          <w:noProof/>
          <w:sz w:val="22"/>
        </w:rPr>
        <w:t>, 88(Pt 3), pp.1016–28. Available at: http://www.ncbi.nlm.nih.gov/pubmed/17325376 [Accessed May 12, 2015].</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Völker, M. et al., 2010. Copy number variation, chromosome rearrangement, and their association with recombination during avian evolution. </w:t>
      </w:r>
      <w:r w:rsidRPr="007A6D4F">
        <w:rPr>
          <w:rFonts w:ascii="Calibri" w:hAnsi="Calibri"/>
          <w:i/>
          <w:iCs/>
          <w:noProof/>
          <w:sz w:val="22"/>
        </w:rPr>
        <w:t>Genome research</w:t>
      </w:r>
      <w:r w:rsidRPr="007A6D4F">
        <w:rPr>
          <w:rFonts w:ascii="Calibri" w:hAnsi="Calibri"/>
          <w:noProof/>
          <w:sz w:val="22"/>
        </w:rPr>
        <w:t>, 20(4), pp.503–11. Available at: http://genome.cshlp.org/content/20/4/503.full [Accessed December 15,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Walker-Jonah, A. et al., 1992. An RFLP map of the Plasmodium falciparum genome, recombination rates and favored linkage groups in a genetic cross. </w:t>
      </w:r>
      <w:r w:rsidRPr="007A6D4F">
        <w:rPr>
          <w:rFonts w:ascii="Calibri" w:hAnsi="Calibri"/>
          <w:i/>
          <w:iCs/>
          <w:noProof/>
          <w:sz w:val="22"/>
        </w:rPr>
        <w:t>Molecular and biochemical parasitology</w:t>
      </w:r>
      <w:r w:rsidRPr="007A6D4F">
        <w:rPr>
          <w:rFonts w:ascii="Calibri" w:hAnsi="Calibri"/>
          <w:noProof/>
          <w:sz w:val="22"/>
        </w:rPr>
        <w:t>, 51(2), pp.313–20. Available at: http://www.ncbi.nlm.nih.gov/pubmed/1349423 [Accessed November 19,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Walliker, D. et al., 1987. Genetic analysis of the human malaria parasite Plasmodium falciparum. </w:t>
      </w:r>
      <w:r w:rsidRPr="007A6D4F">
        <w:rPr>
          <w:rFonts w:ascii="Calibri" w:hAnsi="Calibri"/>
          <w:i/>
          <w:iCs/>
          <w:noProof/>
          <w:sz w:val="22"/>
        </w:rPr>
        <w:t>Science (New York, N.Y.)</w:t>
      </w:r>
      <w:r w:rsidRPr="007A6D4F">
        <w:rPr>
          <w:rFonts w:ascii="Calibri" w:hAnsi="Calibri"/>
          <w:noProof/>
          <w:sz w:val="22"/>
        </w:rPr>
        <w:t>, 236(4809), pp.1661–6. Available at: http://www.ncbi.nlm.nih.gov/pubmed/3299700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lastRenderedPageBreak/>
        <w:t xml:space="preserve">Wellems, T.E. et al., 1990. Chloroquine resistance not linked to mdr-like genes in a Plasmodium falciparum cross. </w:t>
      </w:r>
      <w:r w:rsidRPr="007A6D4F">
        <w:rPr>
          <w:rFonts w:ascii="Calibri" w:hAnsi="Calibri"/>
          <w:i/>
          <w:iCs/>
          <w:noProof/>
          <w:sz w:val="22"/>
        </w:rPr>
        <w:t>Nature</w:t>
      </w:r>
      <w:r w:rsidRPr="007A6D4F">
        <w:rPr>
          <w:rFonts w:ascii="Calibri" w:hAnsi="Calibri"/>
          <w:noProof/>
          <w:sz w:val="22"/>
        </w:rPr>
        <w:t>, 345(6272), pp.253–5. Available at: http://www.ncbi.nlm.nih.gov/pubmed/1970614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Wellems, T.E., Walker-Jonah, A. &amp; Panton, L.J., 1991. Genetic mapping of the chloroquine-resistance locus on Plasmodium falciparum chromosome 7. </w:t>
      </w:r>
      <w:r w:rsidRPr="007A6D4F">
        <w:rPr>
          <w:rFonts w:ascii="Calibri" w:hAnsi="Calibri"/>
          <w:i/>
          <w:iCs/>
          <w:noProof/>
          <w:sz w:val="22"/>
        </w:rPr>
        <w:t>Proceedings of the National Academy of Sciences of the United States of America</w:t>
      </w:r>
      <w:r w:rsidRPr="007A6D4F">
        <w:rPr>
          <w:rFonts w:ascii="Calibri" w:hAnsi="Calibri"/>
          <w:noProof/>
          <w:sz w:val="22"/>
        </w:rPr>
        <w:t>, 88(8), pp.3382–6. Available at: http://www.pubmedcentral.nih.gov/articlerender.fcgi?artid=51451&amp;tool=pmcentrez&amp;rendertype=abstract [Accessed November 11,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Youds, J.L. &amp; Boulton, S.J., 2011. The choice in meiosis - defining the factors that influence crossover or non-crossover formation. </w:t>
      </w:r>
      <w:r w:rsidRPr="007A6D4F">
        <w:rPr>
          <w:rFonts w:ascii="Calibri" w:hAnsi="Calibri"/>
          <w:i/>
          <w:iCs/>
          <w:noProof/>
          <w:sz w:val="22"/>
        </w:rPr>
        <w:t>Journal of cell science</w:t>
      </w:r>
      <w:r w:rsidRPr="007A6D4F">
        <w:rPr>
          <w:rFonts w:ascii="Calibri" w:hAnsi="Calibri"/>
          <w:noProof/>
          <w:sz w:val="22"/>
        </w:rPr>
        <w:t>, 124(Pt 4), pp.501–13. Available at: http://www.ncbi.nlm.nih.gov/pubmed/21282472 [Accessed December 12, 2014].</w:t>
      </w:r>
    </w:p>
    <w:p w:rsidR="007A6D4F" w:rsidRPr="007A6D4F" w:rsidRDefault="007A6D4F">
      <w:pPr>
        <w:pStyle w:val="NormalWeb"/>
        <w:ind w:left="480" w:hanging="480"/>
        <w:divId w:val="1812097558"/>
        <w:rPr>
          <w:rFonts w:ascii="Calibri" w:hAnsi="Calibri"/>
          <w:noProof/>
          <w:sz w:val="22"/>
        </w:rPr>
      </w:pPr>
      <w:r w:rsidRPr="007A6D4F">
        <w:rPr>
          <w:rFonts w:ascii="Calibri" w:hAnsi="Calibri"/>
          <w:noProof/>
          <w:sz w:val="22"/>
        </w:rPr>
        <w:t xml:space="preserve">Zilversmit, M.M. et al., 2010. Low-complexity regions in Plasmodium falciparum: missing links in the evolution of an extreme genome. </w:t>
      </w:r>
      <w:r w:rsidRPr="007A6D4F">
        <w:rPr>
          <w:rFonts w:ascii="Calibri" w:hAnsi="Calibri"/>
          <w:i/>
          <w:iCs/>
          <w:noProof/>
          <w:sz w:val="22"/>
        </w:rPr>
        <w:t>Molecular biology and evolution</w:t>
      </w:r>
      <w:r w:rsidRPr="007A6D4F">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7A6D4F">
      <w:pPr>
        <w:pStyle w:val="NormalWeb"/>
        <w:ind w:left="480" w:hanging="480"/>
        <w:divId w:val="1967739879"/>
      </w:pPr>
      <w:r>
        <w:fldChar w:fldCharType="end"/>
      </w:r>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15D" w:rsidRDefault="00EA015D" w:rsidP="008B66D9">
      <w:pPr>
        <w:spacing w:after="0" w:line="240" w:lineRule="auto"/>
      </w:pPr>
      <w:r>
        <w:separator/>
      </w:r>
    </w:p>
  </w:endnote>
  <w:endnote w:type="continuationSeparator" w:id="0">
    <w:p w:rsidR="00EA015D" w:rsidRDefault="00EA015D"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15D" w:rsidRDefault="00EA015D" w:rsidP="008B66D9">
      <w:pPr>
        <w:spacing w:after="0" w:line="240" w:lineRule="auto"/>
      </w:pPr>
      <w:r>
        <w:separator/>
      </w:r>
    </w:p>
  </w:footnote>
  <w:footnote w:type="continuationSeparator" w:id="0">
    <w:p w:rsidR="00EA015D" w:rsidRDefault="00EA015D" w:rsidP="008B66D9">
      <w:pPr>
        <w:spacing w:after="0" w:line="240" w:lineRule="auto"/>
      </w:pPr>
      <w:r>
        <w:continuationSeparator/>
      </w:r>
    </w:p>
  </w:footnote>
  <w:footnote w:id="1">
    <w:p w:rsidR="006F1FCC" w:rsidRDefault="006F1FCC">
      <w:pPr>
        <w:pStyle w:val="FootnoteText"/>
      </w:pPr>
      <w:r>
        <w:rPr>
          <w:rStyle w:val="FootnoteReference"/>
        </w:rPr>
        <w:footnoteRef/>
      </w:r>
      <w:r>
        <w:t xml:space="preserve"> MRC Centre for Genomics and Global Health, University of Oxford, Oxford, UK</w:t>
      </w:r>
    </w:p>
  </w:footnote>
  <w:footnote w:id="2">
    <w:p w:rsidR="006F1FCC" w:rsidRDefault="006F1FCC">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6F1FCC" w:rsidRDefault="006F1FCC">
      <w:pPr>
        <w:pStyle w:val="FootnoteText"/>
      </w:pPr>
      <w:r>
        <w:rPr>
          <w:rStyle w:val="FootnoteReference"/>
        </w:rPr>
        <w:footnoteRef/>
      </w:r>
      <w:r>
        <w:t xml:space="preserve"> Wellcome Trust Centre for Human Genetics, University of Oxford, Oxford, UK</w:t>
      </w:r>
    </w:p>
  </w:footnote>
  <w:footnote w:id="4">
    <w:p w:rsidR="006F1FCC" w:rsidRDefault="006F1FCC">
      <w:pPr>
        <w:pStyle w:val="FootnoteText"/>
      </w:pPr>
      <w:r>
        <w:rPr>
          <w:rStyle w:val="FootnoteReference"/>
        </w:rPr>
        <w:footnoteRef/>
      </w:r>
      <w:r>
        <w:t xml:space="preserve"> Bowdoin College, Brunswick, Maine, USA</w:t>
      </w:r>
    </w:p>
  </w:footnote>
  <w:footnote w:id="5">
    <w:p w:rsidR="006F1FCC" w:rsidRDefault="006F1FCC">
      <w:pPr>
        <w:pStyle w:val="FootnoteText"/>
      </w:pPr>
      <w:r>
        <w:rPr>
          <w:rStyle w:val="FootnoteReference"/>
        </w:rPr>
        <w:footnoteRef/>
      </w:r>
      <w:r>
        <w:t xml:space="preserve"> Broad Institute of Harvard and MIT, Cambridge, Massachusetts, USA</w:t>
      </w:r>
    </w:p>
  </w:footnote>
  <w:footnote w:id="6">
    <w:p w:rsidR="006F1FCC" w:rsidRDefault="006F1FCC">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6F1FCC" w:rsidRDefault="006F1FCC">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6F1FCC" w:rsidRDefault="006F1FCC">
      <w:pPr>
        <w:pStyle w:val="FootnoteText"/>
      </w:pPr>
      <w:r>
        <w:rPr>
          <w:rStyle w:val="FootnoteReference"/>
        </w:rPr>
        <w:footnoteRef/>
      </w:r>
      <w:r>
        <w:t xml:space="preserve"> Eck Institute for Global Health, Department of Biological Sciences, University of Notre Dame, Notre Dame, Indiana, USA</w:t>
      </w:r>
    </w:p>
  </w:footnote>
  <w:footnote w:id="9">
    <w:p w:rsidR="006F1FCC" w:rsidRDefault="006F1FCC">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6F1FCC" w:rsidRDefault="006F1FCC">
      <w:pPr>
        <w:pStyle w:val="FootnoteText"/>
      </w:pPr>
      <w:r>
        <w:rPr>
          <w:rStyle w:val="FootnoteReference"/>
        </w:rPr>
        <w:footnoteRef/>
      </w:r>
      <w:r>
        <w:t xml:space="preserve"> Department of Statistics, University of Oxford, Oxford, UK</w:t>
      </w:r>
    </w:p>
  </w:footnote>
  <w:footnote w:id="11">
    <w:p w:rsidR="006F1FCC" w:rsidRDefault="006F1FCC">
      <w:pPr>
        <w:pStyle w:val="FootnoteText"/>
      </w:pPr>
      <w:r>
        <w:rPr>
          <w:rStyle w:val="FootnoteReference"/>
        </w:rPr>
        <w:footnoteRef/>
      </w:r>
      <w:r>
        <w:t xml:space="preserve"> ftp://ngs.sanger.ac.uk/production/pf-crosses/1.0/</w:t>
      </w:r>
    </w:p>
  </w:footnote>
  <w:footnote w:id="12">
    <w:p w:rsidR="006F1FCC" w:rsidRDefault="006F1FCC">
      <w:pPr>
        <w:pStyle w:val="FootnoteText"/>
      </w:pPr>
      <w:r>
        <w:rPr>
          <w:rStyle w:val="FootnoteReference"/>
        </w:rPr>
        <w:footnoteRef/>
      </w:r>
      <w:r>
        <w:t xml:space="preserve"> ftp://ngs.sanger.ac.uk/production/pf-crosses/1.0/</w:t>
      </w:r>
    </w:p>
  </w:footnote>
  <w:footnote w:id="13">
    <w:p w:rsidR="006F1FCC" w:rsidRDefault="006F1FCC">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4">
    <w:p w:rsidR="006F1FCC" w:rsidRDefault="006F1FCC">
      <w:pPr>
        <w:pStyle w:val="FootnoteText"/>
      </w:pPr>
      <w:r>
        <w:rPr>
          <w:rStyle w:val="FootnoteReference"/>
        </w:rPr>
        <w:footnoteRef/>
      </w:r>
      <w:r>
        <w:t xml:space="preserve"> https://github.com/alimanfoo/pysamstats</w:t>
      </w:r>
    </w:p>
  </w:footnote>
  <w:footnote w:id="15">
    <w:p w:rsidR="005F76A4" w:rsidRDefault="005F76A4" w:rsidP="005F76A4">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16">
    <w:p w:rsidR="005F76A4" w:rsidRDefault="005F76A4"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7">
    <w:p w:rsidR="005F76A4" w:rsidRDefault="005F76A4"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8">
    <w:p w:rsidR="005F76A4" w:rsidRDefault="005F76A4" w:rsidP="005F76A4">
      <w:pPr>
        <w:pStyle w:val="FootnoteText"/>
      </w:pPr>
      <w:r>
        <w:rPr>
          <w:rStyle w:val="FootnoteReference"/>
        </w:rPr>
        <w:footnoteRef/>
      </w:r>
      <w:r>
        <w:t xml:space="preserve"> Total number of segregating indels combined from both alignment and assembly calling methods that passed all quality filters.</w:t>
      </w:r>
    </w:p>
  </w:footnote>
  <w:footnote w:id="19">
    <w:p w:rsidR="005F76A4" w:rsidRDefault="005F76A4"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20">
    <w:p w:rsidR="005F76A4" w:rsidRDefault="005F76A4" w:rsidP="005F76A4">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21">
    <w:p w:rsidR="005F76A4" w:rsidRDefault="005F76A4" w:rsidP="005F76A4">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3797"/>
    <w:rsid w:val="00015727"/>
    <w:rsid w:val="00016DA9"/>
    <w:rsid w:val="00022BF0"/>
    <w:rsid w:val="0004180F"/>
    <w:rsid w:val="00043C58"/>
    <w:rsid w:val="0005220C"/>
    <w:rsid w:val="000645D6"/>
    <w:rsid w:val="00065004"/>
    <w:rsid w:val="00071215"/>
    <w:rsid w:val="00077681"/>
    <w:rsid w:val="000840C7"/>
    <w:rsid w:val="000900EE"/>
    <w:rsid w:val="00090410"/>
    <w:rsid w:val="00092516"/>
    <w:rsid w:val="00093124"/>
    <w:rsid w:val="00093131"/>
    <w:rsid w:val="00094913"/>
    <w:rsid w:val="00094D11"/>
    <w:rsid w:val="00097BD4"/>
    <w:rsid w:val="000A1F02"/>
    <w:rsid w:val="000A47CF"/>
    <w:rsid w:val="000C02A8"/>
    <w:rsid w:val="000C3978"/>
    <w:rsid w:val="000C7198"/>
    <w:rsid w:val="000C7B24"/>
    <w:rsid w:val="000D1E36"/>
    <w:rsid w:val="000D3450"/>
    <w:rsid w:val="000E06C9"/>
    <w:rsid w:val="000E272C"/>
    <w:rsid w:val="000E4015"/>
    <w:rsid w:val="0010383D"/>
    <w:rsid w:val="00105191"/>
    <w:rsid w:val="00107FF0"/>
    <w:rsid w:val="001149B3"/>
    <w:rsid w:val="00114AB5"/>
    <w:rsid w:val="001238A3"/>
    <w:rsid w:val="00123EBE"/>
    <w:rsid w:val="001301E2"/>
    <w:rsid w:val="001321AD"/>
    <w:rsid w:val="00141CF3"/>
    <w:rsid w:val="00142C02"/>
    <w:rsid w:val="00143AF4"/>
    <w:rsid w:val="00153CF8"/>
    <w:rsid w:val="00161CD0"/>
    <w:rsid w:val="0016550F"/>
    <w:rsid w:val="00170A38"/>
    <w:rsid w:val="0017234E"/>
    <w:rsid w:val="00184795"/>
    <w:rsid w:val="001865B1"/>
    <w:rsid w:val="00190747"/>
    <w:rsid w:val="00194EE4"/>
    <w:rsid w:val="001B18CC"/>
    <w:rsid w:val="001C088D"/>
    <w:rsid w:val="001C1697"/>
    <w:rsid w:val="001C4C7D"/>
    <w:rsid w:val="001C4E6F"/>
    <w:rsid w:val="001C68E4"/>
    <w:rsid w:val="001C6FE6"/>
    <w:rsid w:val="001D71FE"/>
    <w:rsid w:val="001E1229"/>
    <w:rsid w:val="001F6267"/>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5CBF"/>
    <w:rsid w:val="002C092B"/>
    <w:rsid w:val="002C3E4D"/>
    <w:rsid w:val="002D236F"/>
    <w:rsid w:val="002F7A46"/>
    <w:rsid w:val="0031069D"/>
    <w:rsid w:val="00316BAD"/>
    <w:rsid w:val="00320409"/>
    <w:rsid w:val="00320E71"/>
    <w:rsid w:val="003224B9"/>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55CB"/>
    <w:rsid w:val="003C6843"/>
    <w:rsid w:val="003C72B7"/>
    <w:rsid w:val="003D0F25"/>
    <w:rsid w:val="003D1E9D"/>
    <w:rsid w:val="003D3144"/>
    <w:rsid w:val="003D5E66"/>
    <w:rsid w:val="003E3A10"/>
    <w:rsid w:val="003E405C"/>
    <w:rsid w:val="003E5237"/>
    <w:rsid w:val="003E6777"/>
    <w:rsid w:val="003F0D40"/>
    <w:rsid w:val="003F1EB5"/>
    <w:rsid w:val="003F4A84"/>
    <w:rsid w:val="0040749C"/>
    <w:rsid w:val="00411E8E"/>
    <w:rsid w:val="00414247"/>
    <w:rsid w:val="004169E9"/>
    <w:rsid w:val="004177B6"/>
    <w:rsid w:val="0042585D"/>
    <w:rsid w:val="004261C2"/>
    <w:rsid w:val="0043059A"/>
    <w:rsid w:val="004332D4"/>
    <w:rsid w:val="00434D88"/>
    <w:rsid w:val="004357C6"/>
    <w:rsid w:val="00436C33"/>
    <w:rsid w:val="004403DA"/>
    <w:rsid w:val="004412FA"/>
    <w:rsid w:val="00442FA6"/>
    <w:rsid w:val="00446F45"/>
    <w:rsid w:val="00450E72"/>
    <w:rsid w:val="004531F4"/>
    <w:rsid w:val="004535B2"/>
    <w:rsid w:val="004568E5"/>
    <w:rsid w:val="00457090"/>
    <w:rsid w:val="00457F08"/>
    <w:rsid w:val="00463DB8"/>
    <w:rsid w:val="00467EE6"/>
    <w:rsid w:val="00486677"/>
    <w:rsid w:val="004925F5"/>
    <w:rsid w:val="00494F68"/>
    <w:rsid w:val="004A22CD"/>
    <w:rsid w:val="004A3C93"/>
    <w:rsid w:val="004B64BC"/>
    <w:rsid w:val="004B714B"/>
    <w:rsid w:val="004C01D4"/>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50AD8"/>
    <w:rsid w:val="00557F5B"/>
    <w:rsid w:val="0056071D"/>
    <w:rsid w:val="00572EC2"/>
    <w:rsid w:val="00581853"/>
    <w:rsid w:val="005833BA"/>
    <w:rsid w:val="005A3815"/>
    <w:rsid w:val="005A420C"/>
    <w:rsid w:val="005A5B5E"/>
    <w:rsid w:val="005B37DB"/>
    <w:rsid w:val="005B671D"/>
    <w:rsid w:val="005B6E1D"/>
    <w:rsid w:val="005C3FF3"/>
    <w:rsid w:val="005D178D"/>
    <w:rsid w:val="005D6D67"/>
    <w:rsid w:val="005D73F0"/>
    <w:rsid w:val="005E4F41"/>
    <w:rsid w:val="005E4F4C"/>
    <w:rsid w:val="005E5FE9"/>
    <w:rsid w:val="005F76A4"/>
    <w:rsid w:val="005F7D85"/>
    <w:rsid w:val="005F7DD3"/>
    <w:rsid w:val="00601883"/>
    <w:rsid w:val="006018E2"/>
    <w:rsid w:val="00605B08"/>
    <w:rsid w:val="006065AE"/>
    <w:rsid w:val="00607AA0"/>
    <w:rsid w:val="0062071D"/>
    <w:rsid w:val="00622DB4"/>
    <w:rsid w:val="00622F1D"/>
    <w:rsid w:val="00624AF9"/>
    <w:rsid w:val="00630078"/>
    <w:rsid w:val="00635AD4"/>
    <w:rsid w:val="0063600E"/>
    <w:rsid w:val="006469F3"/>
    <w:rsid w:val="0065235B"/>
    <w:rsid w:val="00653393"/>
    <w:rsid w:val="0066222C"/>
    <w:rsid w:val="0066428C"/>
    <w:rsid w:val="00666208"/>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6A25"/>
    <w:rsid w:val="006D6FCD"/>
    <w:rsid w:val="006E6764"/>
    <w:rsid w:val="006E7EA9"/>
    <w:rsid w:val="006F1FCC"/>
    <w:rsid w:val="0072106A"/>
    <w:rsid w:val="007220F1"/>
    <w:rsid w:val="00725338"/>
    <w:rsid w:val="00732DD8"/>
    <w:rsid w:val="00734AC2"/>
    <w:rsid w:val="00734EF6"/>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1C7"/>
    <w:rsid w:val="007D24A7"/>
    <w:rsid w:val="007D71A9"/>
    <w:rsid w:val="007E1951"/>
    <w:rsid w:val="007F6606"/>
    <w:rsid w:val="0080091F"/>
    <w:rsid w:val="008046A2"/>
    <w:rsid w:val="008066B3"/>
    <w:rsid w:val="00811543"/>
    <w:rsid w:val="00812BF4"/>
    <w:rsid w:val="00822F7D"/>
    <w:rsid w:val="008303C4"/>
    <w:rsid w:val="00831572"/>
    <w:rsid w:val="008336DB"/>
    <w:rsid w:val="008337E7"/>
    <w:rsid w:val="00840C8B"/>
    <w:rsid w:val="00843650"/>
    <w:rsid w:val="0084749C"/>
    <w:rsid w:val="008509AB"/>
    <w:rsid w:val="008529A0"/>
    <w:rsid w:val="008579AE"/>
    <w:rsid w:val="00870F27"/>
    <w:rsid w:val="00873A32"/>
    <w:rsid w:val="00873E89"/>
    <w:rsid w:val="00877689"/>
    <w:rsid w:val="0088090E"/>
    <w:rsid w:val="00884746"/>
    <w:rsid w:val="008901F1"/>
    <w:rsid w:val="00890734"/>
    <w:rsid w:val="00893C7A"/>
    <w:rsid w:val="008A5CF4"/>
    <w:rsid w:val="008B2CF9"/>
    <w:rsid w:val="008B66D9"/>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727C"/>
    <w:rsid w:val="009919C9"/>
    <w:rsid w:val="00993D4F"/>
    <w:rsid w:val="00995125"/>
    <w:rsid w:val="009A1874"/>
    <w:rsid w:val="009A32D6"/>
    <w:rsid w:val="009C2480"/>
    <w:rsid w:val="009D296D"/>
    <w:rsid w:val="009E0D59"/>
    <w:rsid w:val="009E1600"/>
    <w:rsid w:val="009E51A2"/>
    <w:rsid w:val="009E5648"/>
    <w:rsid w:val="009E5C7B"/>
    <w:rsid w:val="009F1864"/>
    <w:rsid w:val="009F3202"/>
    <w:rsid w:val="009F34F8"/>
    <w:rsid w:val="009F3C0F"/>
    <w:rsid w:val="00A00035"/>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50A39"/>
    <w:rsid w:val="00A55587"/>
    <w:rsid w:val="00A6066D"/>
    <w:rsid w:val="00A72CFF"/>
    <w:rsid w:val="00A74395"/>
    <w:rsid w:val="00A75769"/>
    <w:rsid w:val="00A80866"/>
    <w:rsid w:val="00A87178"/>
    <w:rsid w:val="00AA140E"/>
    <w:rsid w:val="00AA71C7"/>
    <w:rsid w:val="00AC053E"/>
    <w:rsid w:val="00AC1676"/>
    <w:rsid w:val="00AC67A5"/>
    <w:rsid w:val="00AD0B6C"/>
    <w:rsid w:val="00AD21E4"/>
    <w:rsid w:val="00AD509E"/>
    <w:rsid w:val="00AE2F47"/>
    <w:rsid w:val="00AE555C"/>
    <w:rsid w:val="00AF5355"/>
    <w:rsid w:val="00B037B8"/>
    <w:rsid w:val="00B05A9F"/>
    <w:rsid w:val="00B11DF3"/>
    <w:rsid w:val="00B1349E"/>
    <w:rsid w:val="00B139F3"/>
    <w:rsid w:val="00B1727B"/>
    <w:rsid w:val="00B241EF"/>
    <w:rsid w:val="00B32D1F"/>
    <w:rsid w:val="00B37C66"/>
    <w:rsid w:val="00B50155"/>
    <w:rsid w:val="00B513E5"/>
    <w:rsid w:val="00B537A3"/>
    <w:rsid w:val="00B53E0D"/>
    <w:rsid w:val="00B65E4B"/>
    <w:rsid w:val="00B6677C"/>
    <w:rsid w:val="00BA0FA8"/>
    <w:rsid w:val="00BA2ECE"/>
    <w:rsid w:val="00BA4DCF"/>
    <w:rsid w:val="00BB0C47"/>
    <w:rsid w:val="00BB10EC"/>
    <w:rsid w:val="00BB14AF"/>
    <w:rsid w:val="00BC5A53"/>
    <w:rsid w:val="00BD2070"/>
    <w:rsid w:val="00BD7C23"/>
    <w:rsid w:val="00BE0BCD"/>
    <w:rsid w:val="00BE1CB2"/>
    <w:rsid w:val="00BE5D41"/>
    <w:rsid w:val="00BF4505"/>
    <w:rsid w:val="00BF518B"/>
    <w:rsid w:val="00BF5714"/>
    <w:rsid w:val="00BF5E41"/>
    <w:rsid w:val="00BF5E5E"/>
    <w:rsid w:val="00C03BD9"/>
    <w:rsid w:val="00C130CA"/>
    <w:rsid w:val="00C15FC0"/>
    <w:rsid w:val="00C208FD"/>
    <w:rsid w:val="00C21A3B"/>
    <w:rsid w:val="00C24654"/>
    <w:rsid w:val="00C24746"/>
    <w:rsid w:val="00C32810"/>
    <w:rsid w:val="00C37853"/>
    <w:rsid w:val="00C42374"/>
    <w:rsid w:val="00C4455E"/>
    <w:rsid w:val="00C44746"/>
    <w:rsid w:val="00C47636"/>
    <w:rsid w:val="00C51B90"/>
    <w:rsid w:val="00C53090"/>
    <w:rsid w:val="00C63023"/>
    <w:rsid w:val="00C67381"/>
    <w:rsid w:val="00C73348"/>
    <w:rsid w:val="00C7335B"/>
    <w:rsid w:val="00C8137E"/>
    <w:rsid w:val="00C81D5D"/>
    <w:rsid w:val="00C82549"/>
    <w:rsid w:val="00C95BB5"/>
    <w:rsid w:val="00C97C07"/>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4426"/>
    <w:rsid w:val="00D16D18"/>
    <w:rsid w:val="00D246DE"/>
    <w:rsid w:val="00D24B5A"/>
    <w:rsid w:val="00D329C7"/>
    <w:rsid w:val="00D3337B"/>
    <w:rsid w:val="00D3722C"/>
    <w:rsid w:val="00D433F8"/>
    <w:rsid w:val="00D5126B"/>
    <w:rsid w:val="00D51DCC"/>
    <w:rsid w:val="00D52B09"/>
    <w:rsid w:val="00D57147"/>
    <w:rsid w:val="00D5776C"/>
    <w:rsid w:val="00D6625D"/>
    <w:rsid w:val="00D70420"/>
    <w:rsid w:val="00D7475C"/>
    <w:rsid w:val="00D83277"/>
    <w:rsid w:val="00D9168B"/>
    <w:rsid w:val="00D96060"/>
    <w:rsid w:val="00DA1B2C"/>
    <w:rsid w:val="00DA3665"/>
    <w:rsid w:val="00DA6F10"/>
    <w:rsid w:val="00DB2FDB"/>
    <w:rsid w:val="00DC21CA"/>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1296E"/>
    <w:rsid w:val="00E13949"/>
    <w:rsid w:val="00E1484F"/>
    <w:rsid w:val="00E174F7"/>
    <w:rsid w:val="00E224EF"/>
    <w:rsid w:val="00E23718"/>
    <w:rsid w:val="00E25470"/>
    <w:rsid w:val="00E32851"/>
    <w:rsid w:val="00E3669F"/>
    <w:rsid w:val="00E36A4E"/>
    <w:rsid w:val="00E4440B"/>
    <w:rsid w:val="00E52F83"/>
    <w:rsid w:val="00E551B5"/>
    <w:rsid w:val="00E65A8F"/>
    <w:rsid w:val="00E73835"/>
    <w:rsid w:val="00E81244"/>
    <w:rsid w:val="00E843DF"/>
    <w:rsid w:val="00E852B4"/>
    <w:rsid w:val="00E90EAE"/>
    <w:rsid w:val="00E91A85"/>
    <w:rsid w:val="00EA015D"/>
    <w:rsid w:val="00EA1963"/>
    <w:rsid w:val="00EA3CED"/>
    <w:rsid w:val="00EB143B"/>
    <w:rsid w:val="00EB473F"/>
    <w:rsid w:val="00EC0BBF"/>
    <w:rsid w:val="00EC2A4A"/>
    <w:rsid w:val="00EC326F"/>
    <w:rsid w:val="00EC3D5E"/>
    <w:rsid w:val="00EC5F6F"/>
    <w:rsid w:val="00ED0992"/>
    <w:rsid w:val="00ED25D2"/>
    <w:rsid w:val="00ED4067"/>
    <w:rsid w:val="00EE0300"/>
    <w:rsid w:val="00EE1931"/>
    <w:rsid w:val="00EE4AC6"/>
    <w:rsid w:val="00EE5A51"/>
    <w:rsid w:val="00EF2C90"/>
    <w:rsid w:val="00EF6779"/>
    <w:rsid w:val="00F04EAF"/>
    <w:rsid w:val="00F12BE6"/>
    <w:rsid w:val="00F1438E"/>
    <w:rsid w:val="00F230BE"/>
    <w:rsid w:val="00F23B0D"/>
    <w:rsid w:val="00F428AA"/>
    <w:rsid w:val="00F551F4"/>
    <w:rsid w:val="00F57A57"/>
    <w:rsid w:val="00F67755"/>
    <w:rsid w:val="00F70B94"/>
    <w:rsid w:val="00F7616C"/>
    <w:rsid w:val="00F77C67"/>
    <w:rsid w:val="00F803F5"/>
    <w:rsid w:val="00F81315"/>
    <w:rsid w:val="00F831E6"/>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lariagen.net/apps/pf-crosses" TargetMode="External"/><Relationship Id="rId13" Type="http://schemas.openxmlformats.org/officeDocument/2006/relationships/image" Target="media/image3.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3B7EA4-1FED-4CE3-ABB6-42B502D46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6507</TotalTime>
  <Pages>1</Pages>
  <Words>78838</Words>
  <Characters>449377</Characters>
  <Application>Microsoft Office Word</Application>
  <DocSecurity>0</DocSecurity>
  <Lines>3744</Lines>
  <Paragraphs>1054</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527161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304</cp:revision>
  <cp:lastPrinted>2015-05-13T10:25:00Z</cp:lastPrinted>
  <dcterms:created xsi:type="dcterms:W3CDTF">2014-11-21T18:07:00Z</dcterms:created>
  <dcterms:modified xsi:type="dcterms:W3CDTF">2015-05-13T10:25:00Z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