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Iqbal</w:t>
      </w:r>
      <w:r w:rsidR="003C55CB">
        <w:rPr>
          <w:rStyle w:val="FootnoteReference"/>
        </w:rPr>
        <w:footnoteReference w:id="3"/>
      </w:r>
      <w:r w:rsidRPr="00A24306">
        <w:t>, Paul Vauterin</w:t>
      </w:r>
      <w:r w:rsidR="00993D4F">
        <w:fldChar w:fldCharType="begin"/>
      </w:r>
      <w:r w:rsidR="00993D4F">
        <w:instrText xml:space="preserve"> NOTEREF _Ref407025212 \h  \* MERGEFORMAT </w:instrText>
      </w:r>
      <w:r w:rsidR="00993D4F">
        <w:fldChar w:fldCharType="separate"/>
      </w:r>
      <w:r w:rsidR="00CE7736" w:rsidRPr="00CE7736">
        <w:t>1</w:t>
      </w:r>
      <w:r w:rsidR="00993D4F">
        <w:fldChar w:fldCharType="end"/>
      </w:r>
      <w:r w:rsidR="00CE7736">
        <w:t>,</w:t>
      </w:r>
      <w:r w:rsidRPr="00A24306">
        <w:t xml:space="preserve"> Richard Pearson</w:t>
      </w:r>
      <w:r w:rsidR="00884746">
        <w:rPr>
          <w:vertAlign w:val="superscript"/>
        </w:rPr>
        <w:fldChar w:fldCharType="begin"/>
      </w:r>
      <w:r w:rsidR="00CE7736">
        <w:instrText xml:space="preserve"> NOTEREF _Ref407025212 \f \h </w:instrText>
      </w:r>
      <w:r w:rsidR="00884746">
        <w:rPr>
          <w:vertAlign w:val="superscript"/>
        </w:rPr>
      </w:r>
      <w:r w:rsidR="00884746">
        <w:rPr>
          <w:vertAlign w:val="superscript"/>
        </w:rPr>
        <w:fldChar w:fldCharType="separate"/>
      </w:r>
      <w:r w:rsidR="00CE7736" w:rsidRPr="00CE7736">
        <w:rPr>
          <w:rStyle w:val="FootnoteReference"/>
        </w:rPr>
        <w:t>1</w:t>
      </w:r>
      <w:r w:rsidR="00884746">
        <w:rPr>
          <w:vertAlign w:val="superscript"/>
        </w:rPr>
        <w:fldChar w:fldCharType="end"/>
      </w:r>
      <w:r w:rsidR="00CE7736">
        <w:rPr>
          <w:vertAlign w:val="superscript"/>
        </w:rPr>
        <w:t>,</w:t>
      </w:r>
      <w:r w:rsidR="00884746">
        <w:rPr>
          <w:vertAlign w:val="superscript"/>
        </w:rPr>
        <w:fldChar w:fldCharType="begin"/>
      </w:r>
      <w:r w:rsidR="00CE7736">
        <w:rPr>
          <w:vertAlign w:val="superscript"/>
        </w:rPr>
        <w:instrText xml:space="preserve"> NOTEREF _Ref407025258 \f \h </w:instrText>
      </w:r>
      <w:r w:rsidR="00884746">
        <w:rPr>
          <w:vertAlign w:val="superscript"/>
        </w:rPr>
      </w:r>
      <w:r w:rsidR="00884746">
        <w:rPr>
          <w:vertAlign w:val="superscript"/>
        </w:rPr>
        <w:fldChar w:fldCharType="separate"/>
      </w:r>
      <w:r w:rsidR="00CE7736" w:rsidRPr="00CE7736">
        <w:rPr>
          <w:rStyle w:val="FootnoteReference"/>
        </w:rPr>
        <w:t>2</w:t>
      </w:r>
      <w:r w:rsidR="00884746">
        <w:rPr>
          <w:vertAlign w:val="superscript"/>
        </w:rPr>
        <w:fldChar w:fldCharType="end"/>
      </w:r>
      <w:r w:rsidRPr="00A24306">
        <w:t>, Susana Campino</w:t>
      </w:r>
      <w:r w:rsidR="00884746">
        <w:fldChar w:fldCharType="begin"/>
      </w:r>
      <w:r w:rsidR="00CE7736">
        <w:instrText xml:space="preserve"> NOTEREF _Ref407025258 \f \h </w:instrText>
      </w:r>
      <w:r w:rsidR="00884746">
        <w:fldChar w:fldCharType="separate"/>
      </w:r>
      <w:r w:rsidR="00CE7736" w:rsidRPr="00CE7736">
        <w:rPr>
          <w:rStyle w:val="FootnoteReference"/>
        </w:rPr>
        <w:t>2</w:t>
      </w:r>
      <w:r w:rsidR="00884746">
        <w:fldChar w:fldCharType="end"/>
      </w:r>
      <w:r w:rsidRPr="00A24306">
        <w:t xml:space="preserve">, </w:t>
      </w:r>
      <w:r w:rsidR="0004180F">
        <w:t>Michel Theron</w:t>
      </w:r>
      <w:r w:rsidR="00884746">
        <w:fldChar w:fldCharType="begin"/>
      </w:r>
      <w:r w:rsidR="00CE7736">
        <w:instrText xml:space="preserve"> NOTEREF _Ref407025258 \f \h </w:instrText>
      </w:r>
      <w:r w:rsidR="00884746">
        <w:fldChar w:fldCharType="separate"/>
      </w:r>
      <w:r w:rsidR="00CE7736" w:rsidRPr="00CE7736">
        <w:rPr>
          <w:rStyle w:val="FootnoteReference"/>
        </w:rPr>
        <w:t>2</w:t>
      </w:r>
      <w:r w:rsidR="00884746">
        <w:fldChar w:fldCharType="end"/>
      </w:r>
      <w:r w:rsidR="0004180F">
        <w:t>, Kelda Gould</w:t>
      </w:r>
      <w:r w:rsidR="00884746">
        <w:rPr>
          <w:vertAlign w:val="superscript"/>
        </w:rPr>
        <w:fldChar w:fldCharType="begin"/>
      </w:r>
      <w:r w:rsidR="00CE7736">
        <w:instrText xml:space="preserve"> NOTEREF _Ref407025258 \f \h </w:instrText>
      </w:r>
      <w:r w:rsidR="00884746">
        <w:rPr>
          <w:vertAlign w:val="superscript"/>
        </w:rPr>
      </w:r>
      <w:r w:rsidR="00884746">
        <w:rPr>
          <w:vertAlign w:val="superscript"/>
        </w:rPr>
        <w:fldChar w:fldCharType="separate"/>
      </w:r>
      <w:r w:rsidR="00CE7736" w:rsidRPr="00CE7736">
        <w:rPr>
          <w:rStyle w:val="FootnoteReference"/>
        </w:rPr>
        <w:t>2</w:t>
      </w:r>
      <w:r w:rsidR="00884746">
        <w:rPr>
          <w:vertAlign w:val="superscript"/>
        </w:rPr>
        <w:fldChar w:fldCharType="end"/>
      </w:r>
      <w:r w:rsidR="0004180F">
        <w:t xml:space="preserve">, </w:t>
      </w:r>
      <w:r w:rsidRPr="00A24306">
        <w:t>Daniel Mead</w:t>
      </w:r>
      <w:r w:rsidR="00884746">
        <w:rPr>
          <w:vertAlign w:val="superscript"/>
        </w:rPr>
        <w:fldChar w:fldCharType="begin"/>
      </w:r>
      <w:r w:rsidR="00CE7736">
        <w:instrText xml:space="preserve"> NOTEREF _Ref407025258 \f \h </w:instrText>
      </w:r>
      <w:r w:rsidR="00884746">
        <w:rPr>
          <w:vertAlign w:val="superscript"/>
        </w:rPr>
      </w:r>
      <w:r w:rsidR="00884746">
        <w:rPr>
          <w:vertAlign w:val="superscript"/>
        </w:rPr>
        <w:fldChar w:fldCharType="separate"/>
      </w:r>
      <w:r w:rsidR="00CE7736" w:rsidRPr="00CE7736">
        <w:rPr>
          <w:rStyle w:val="FootnoteReference"/>
        </w:rPr>
        <w:t>2</w:t>
      </w:r>
      <w:r w:rsidR="00884746">
        <w:rPr>
          <w:vertAlign w:val="superscript"/>
        </w:rPr>
        <w:fldChar w:fldCharType="end"/>
      </w:r>
      <w:r w:rsidRPr="00A24306">
        <w:t>, Eleanor Drury</w:t>
      </w:r>
      <w:r w:rsidR="00884746">
        <w:rPr>
          <w:vertAlign w:val="superscript"/>
        </w:rPr>
        <w:fldChar w:fldCharType="begin"/>
      </w:r>
      <w:r w:rsidR="00CE7736">
        <w:instrText xml:space="preserve"> NOTEREF _Ref407025258 \f \h </w:instrText>
      </w:r>
      <w:r w:rsidR="00884746">
        <w:rPr>
          <w:vertAlign w:val="superscript"/>
        </w:rPr>
      </w:r>
      <w:r w:rsidR="00884746">
        <w:rPr>
          <w:vertAlign w:val="superscript"/>
        </w:rPr>
        <w:fldChar w:fldCharType="separate"/>
      </w:r>
      <w:r w:rsidR="00CE7736" w:rsidRPr="00CE7736">
        <w:rPr>
          <w:rStyle w:val="FootnoteReference"/>
        </w:rPr>
        <w:t>2</w:t>
      </w:r>
      <w:r w:rsidR="00884746">
        <w:rPr>
          <w:vertAlign w:val="superscript"/>
        </w:rPr>
        <w:fldChar w:fldCharType="end"/>
      </w:r>
      <w:r w:rsidRPr="00A24306">
        <w:t xml:space="preserve">, </w:t>
      </w:r>
      <w:r w:rsidR="00395FA2">
        <w:t>John O’Brien</w:t>
      </w:r>
      <w:r w:rsidR="00E13949">
        <w:rPr>
          <w:rStyle w:val="FootnoteReference"/>
        </w:rPr>
        <w:footnoteReference w:id="4"/>
      </w:r>
      <w:r w:rsidR="00395FA2">
        <w:t xml:space="preserve">, Valentin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884746">
        <w:rPr>
          <w:vertAlign w:val="superscript"/>
        </w:rPr>
        <w:fldChar w:fldCharType="begin"/>
      </w:r>
      <w:r w:rsidR="00630078">
        <w:instrText xml:space="preserve"> NOTEREF _Ref407025337 \f \h </w:instrText>
      </w:r>
      <w:r w:rsidR="00884746">
        <w:rPr>
          <w:vertAlign w:val="superscript"/>
        </w:rPr>
      </w:r>
      <w:r w:rsidR="00884746">
        <w:rPr>
          <w:vertAlign w:val="superscript"/>
        </w:rPr>
        <w:fldChar w:fldCharType="separate"/>
      </w:r>
      <w:r w:rsidR="00630078" w:rsidRPr="00630078">
        <w:rPr>
          <w:rStyle w:val="FootnoteReference"/>
        </w:rPr>
        <w:t>5</w:t>
      </w:r>
      <w:r w:rsidR="00884746">
        <w:rPr>
          <w:vertAlign w:val="superscript"/>
        </w:rPr>
        <w:fldChar w:fldCharType="end"/>
      </w:r>
      <w:r w:rsidRPr="00A24306">
        <w:t>, Lisa Ranford-Cartwright</w:t>
      </w:r>
      <w:r w:rsidR="00E13949">
        <w:rPr>
          <w:rStyle w:val="FootnoteReference"/>
        </w:rPr>
        <w:footnoteReference w:id="6"/>
      </w:r>
      <w:r w:rsidRPr="00A24306">
        <w:t xml:space="preserve">, Michael </w:t>
      </w:r>
      <w:proofErr w:type="spellStart"/>
      <w:r w:rsidRPr="00A24306">
        <w:t>Ferdig</w:t>
      </w:r>
      <w:proofErr w:type="spellEnd"/>
      <w:r w:rsidR="00E13949">
        <w:rPr>
          <w:rStyle w:val="FootnoteReference"/>
        </w:rPr>
        <w:footnoteReference w:id="7"/>
      </w:r>
      <w:r w:rsidRPr="00A24306">
        <w:t xml:space="preserve">, </w:t>
      </w:r>
      <w:r w:rsidR="00CE7736">
        <w:t>Karen Hayton</w:t>
      </w:r>
      <w:r w:rsidR="00884746">
        <w:fldChar w:fldCharType="begin"/>
      </w:r>
      <w:r w:rsidR="00630078">
        <w:instrText xml:space="preserve"> NOTEREF _Ref407025357 \f \h </w:instrText>
      </w:r>
      <w:r w:rsidR="00884746">
        <w:fldChar w:fldCharType="separate"/>
      </w:r>
      <w:r w:rsidR="00630078" w:rsidRPr="00630078">
        <w:rPr>
          <w:rStyle w:val="FootnoteReference"/>
        </w:rPr>
        <w:t>8</w:t>
      </w:r>
      <w:r w:rsidR="00884746">
        <w:fldChar w:fldCharType="end"/>
      </w:r>
      <w:r w:rsidR="00CE7736">
        <w:t xml:space="preserve">, </w:t>
      </w:r>
      <w:proofErr w:type="spellStart"/>
      <w:r w:rsidRPr="00A24306">
        <w:t>Xinzhuan</w:t>
      </w:r>
      <w:proofErr w:type="spellEnd"/>
      <w:r w:rsidRPr="00A24306">
        <w:t xml:space="preserve"> Su</w:t>
      </w:r>
      <w:bookmarkStart w:id="3" w:name="_Ref407025357"/>
      <w:r w:rsidR="00CE7736">
        <w:rPr>
          <w:rStyle w:val="FootnoteReference"/>
        </w:rPr>
        <w:footnoteReference w:id="8"/>
      </w:r>
      <w:bookmarkEnd w:id="3"/>
      <w:r w:rsidRPr="00A24306">
        <w:t>, Thomas Wellems</w:t>
      </w:r>
      <w:r w:rsidR="00884746">
        <w:rPr>
          <w:vertAlign w:val="superscript"/>
        </w:rPr>
        <w:fldChar w:fldCharType="begin"/>
      </w:r>
      <w:r w:rsidR="00630078">
        <w:instrText xml:space="preserve"> NOTEREF _Ref407025357 \f \h </w:instrText>
      </w:r>
      <w:r w:rsidR="00884746">
        <w:rPr>
          <w:vertAlign w:val="superscript"/>
        </w:rPr>
      </w:r>
      <w:r w:rsidR="00884746">
        <w:rPr>
          <w:vertAlign w:val="superscript"/>
        </w:rPr>
        <w:fldChar w:fldCharType="separate"/>
      </w:r>
      <w:r w:rsidR="00630078" w:rsidRPr="00630078">
        <w:rPr>
          <w:rStyle w:val="FootnoteReference"/>
        </w:rPr>
        <w:t>8</w:t>
      </w:r>
      <w:r w:rsidR="00884746">
        <w:rPr>
          <w:vertAlign w:val="superscript"/>
        </w:rPr>
        <w:fldChar w:fldCharType="end"/>
      </w:r>
      <w:r w:rsidRPr="00A24306">
        <w:t>, Julian Rayner</w:t>
      </w:r>
      <w:r w:rsidR="00884746">
        <w:rPr>
          <w:vertAlign w:val="superscript"/>
        </w:rPr>
        <w:fldChar w:fldCharType="begin"/>
      </w:r>
      <w:r w:rsidR="00630078">
        <w:instrText xml:space="preserve"> NOTEREF _Ref407025258 \f \h </w:instrText>
      </w:r>
      <w:r w:rsidR="00884746">
        <w:rPr>
          <w:vertAlign w:val="superscript"/>
        </w:rPr>
      </w:r>
      <w:r w:rsidR="00884746">
        <w:rPr>
          <w:vertAlign w:val="superscript"/>
        </w:rPr>
        <w:fldChar w:fldCharType="separate"/>
      </w:r>
      <w:r w:rsidR="00630078" w:rsidRPr="00630078">
        <w:rPr>
          <w:rStyle w:val="FootnoteReference"/>
        </w:rPr>
        <w:t>2</w:t>
      </w:r>
      <w:r w:rsidR="00884746">
        <w:rPr>
          <w:vertAlign w:val="superscript"/>
        </w:rPr>
        <w:fldChar w:fldCharType="end"/>
      </w:r>
      <w:r w:rsidRPr="00A24306">
        <w:t>, Gil McVean</w:t>
      </w:r>
      <w:r w:rsidR="00CE7736" w:rsidRPr="00CE7736">
        <w:rPr>
          <w:vertAlign w:val="superscript"/>
        </w:rPr>
        <w:t>3,</w:t>
      </w:r>
      <w:r w:rsidR="00CE7736">
        <w:rPr>
          <w:rStyle w:val="FootnoteReference"/>
        </w:rPr>
        <w:footnoteReference w:id="9"/>
      </w:r>
      <w:r w:rsidRPr="00A24306">
        <w:t xml:space="preserve"> and Dominic Kwiatkowski</w:t>
      </w:r>
      <w:r w:rsidR="00884746">
        <w:rPr>
          <w:vertAlign w:val="superscript"/>
        </w:rPr>
        <w:fldChar w:fldCharType="begin"/>
      </w:r>
      <w:r w:rsidR="00630078">
        <w:instrText xml:space="preserve"> NOTEREF _Ref407025258 \f \h </w:instrText>
      </w:r>
      <w:r w:rsidR="00884746">
        <w:rPr>
          <w:vertAlign w:val="superscript"/>
        </w:rPr>
      </w:r>
      <w:r w:rsidR="00884746">
        <w:rPr>
          <w:vertAlign w:val="superscript"/>
        </w:rPr>
        <w:fldChar w:fldCharType="separate"/>
      </w:r>
      <w:r w:rsidR="00630078" w:rsidRPr="00630078">
        <w:rPr>
          <w:rStyle w:val="FootnoteReference"/>
        </w:rPr>
        <w:t>2</w:t>
      </w:r>
      <w:r w:rsidR="00884746">
        <w:rPr>
          <w:vertAlign w:val="superscript"/>
        </w:rPr>
        <w:fldChar w:fldCharType="end"/>
      </w:r>
      <w:r w:rsidR="00630078">
        <w:rPr>
          <w:vertAlign w:val="superscript"/>
        </w:rPr>
        <w:t>,</w:t>
      </w:r>
      <w:r w:rsidR="00884746">
        <w:rPr>
          <w:vertAlign w:val="superscript"/>
        </w:rPr>
        <w:fldChar w:fldCharType="begin"/>
      </w:r>
      <w:r w:rsidR="00630078">
        <w:rPr>
          <w:vertAlign w:val="superscript"/>
        </w:rPr>
        <w:instrText xml:space="preserve"> NOTEREF _Ref407025212 \f \h </w:instrText>
      </w:r>
      <w:r w:rsidR="00884746">
        <w:rPr>
          <w:vertAlign w:val="superscript"/>
        </w:rPr>
      </w:r>
      <w:r w:rsidR="00884746">
        <w:rPr>
          <w:vertAlign w:val="superscript"/>
        </w:rPr>
        <w:fldChar w:fldCharType="separate"/>
      </w:r>
      <w:r w:rsidR="00630078" w:rsidRPr="00630078">
        <w:rPr>
          <w:rStyle w:val="FootnoteReference"/>
        </w:rPr>
        <w:t>1</w:t>
      </w:r>
      <w:r w:rsidR="00884746">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w:t>
      </w:r>
      <w:proofErr w:type="gramStart"/>
      <w:r w:rsidR="008D7DCE">
        <w:t>cross</w:t>
      </w:r>
      <w:proofErr w:type="gramEnd"/>
      <w:r w:rsidR="008D7DCE">
        <w:t xml:space="preserve">,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xml:space="preserve">, and discuss the </w:t>
      </w:r>
      <w:r w:rsidR="000645D6">
        <w:lastRenderedPageBreak/>
        <w:t>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884746">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884746">
        <w:fldChar w:fldCharType="separate"/>
      </w:r>
      <w:r w:rsidR="00194EE4" w:rsidRPr="00194EE4">
        <w:rPr>
          <w:noProof/>
        </w:rPr>
        <w:t>(Ashley et al. 2014)</w:t>
      </w:r>
      <w:r w:rsidR="00884746">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884746">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884746">
        <w:fldChar w:fldCharType="separate"/>
      </w:r>
      <w:r w:rsidR="00CB6C32" w:rsidRPr="00CB6C32">
        <w:rPr>
          <w:noProof/>
        </w:rPr>
        <w:t>(Manske</w:t>
      </w:r>
      <w:r w:rsidR="00DB2FDB">
        <w:rPr>
          <w:noProof/>
        </w:rPr>
        <w:t>, Miotto</w:t>
      </w:r>
      <w:r w:rsidR="00CB6C32" w:rsidRPr="00CB6C32">
        <w:rPr>
          <w:noProof/>
        </w:rPr>
        <w:t xml:space="preserve"> et al., 2012; Miotto et al., 2013)</w:t>
      </w:r>
      <w:r w:rsidR="00884746">
        <w:fldChar w:fldCharType="end"/>
      </w:r>
      <w:r w:rsidR="0066222C">
        <w:t xml:space="preserve">, </w:t>
      </w:r>
      <w:r w:rsidR="00DB2FDB">
        <w:t xml:space="preserve">the generation of antigenic diversity </w:t>
      </w:r>
      <w:r w:rsidR="00884746">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884746">
        <w:fldChar w:fldCharType="separate"/>
      </w:r>
      <w:r w:rsidR="00DB2FDB" w:rsidRPr="00DB2FDB">
        <w:rPr>
          <w:noProof/>
        </w:rPr>
        <w:t>(Claessens, Hamilton</w:t>
      </w:r>
      <w:r w:rsidR="00DB2FDB">
        <w:rPr>
          <w:noProof/>
        </w:rPr>
        <w:t xml:space="preserve"> et al.</w:t>
      </w:r>
      <w:r w:rsidR="00DB2FDB" w:rsidRPr="00DB2FDB">
        <w:rPr>
          <w:noProof/>
        </w:rPr>
        <w:t>, 2014)</w:t>
      </w:r>
      <w:r w:rsidR="00884746">
        <w:fldChar w:fldCharType="end"/>
      </w:r>
      <w:r w:rsidR="00DB2FDB">
        <w:t xml:space="preserve"> and </w:t>
      </w:r>
      <w:r w:rsidR="0066222C">
        <w:t xml:space="preserve">the genetic basis for artemisinin resistance </w:t>
      </w:r>
      <w:r w:rsidR="00884746">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884746">
        <w:fldChar w:fldCharType="separate"/>
      </w:r>
      <w:r w:rsidR="00194EE4" w:rsidRPr="00194EE4">
        <w:rPr>
          <w:noProof/>
        </w:rPr>
        <w:t>(Ariey et al. 2014)</w:t>
      </w:r>
      <w:r w:rsidR="00884746">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88474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884746">
        <w:fldChar w:fldCharType="separate"/>
      </w:r>
      <w:r w:rsidR="00194EE4" w:rsidRPr="00194EE4">
        <w:rPr>
          <w:noProof/>
        </w:rPr>
        <w:t>(Gardner et al. 2002)</w:t>
      </w:r>
      <w:r w:rsidR="00884746">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88474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884746">
        <w:fldChar w:fldCharType="separate"/>
      </w:r>
      <w:r w:rsidR="00194EE4" w:rsidRPr="00194EE4">
        <w:rPr>
          <w:noProof/>
        </w:rPr>
        <w:t>(Gardner et al. 2002; Zilversmit et al. 2010; Muralidharan &amp; Goldberg 2013; DePristo et al. 2006)</w:t>
      </w:r>
      <w:r w:rsidR="0088474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884746">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884746">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884746">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be highly diverged from the reference sequence</w:t>
      </w:r>
      <w:r w:rsidR="001C1697">
        <w:t xml:space="preserve"> </w:t>
      </w:r>
      <w:r w:rsidR="00884746">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884746">
        <w:fldChar w:fldCharType="separate"/>
      </w:r>
      <w:r w:rsidR="00194EE4" w:rsidRPr="00194EE4">
        <w:rPr>
          <w:noProof/>
        </w:rPr>
        <w:t>(Roy et al. 2008)</w:t>
      </w:r>
      <w:r w:rsidR="00884746">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884746">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884746">
        <w:fldChar w:fldCharType="separate"/>
      </w:r>
      <w:r w:rsidR="00194EE4" w:rsidRPr="00194EE4">
        <w:rPr>
          <w:noProof/>
        </w:rPr>
        <w:t>(Jeffares et al. 2007; Haerty &amp; Golding 2011; Tan et al. 2010)</w:t>
      </w:r>
      <w:r w:rsidR="00884746">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884746">
        <w:fldChar w:fldCharType="begin" w:fldLock="1"/>
      </w:r>
      <w:r w:rsidR="008F4EA1">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884746">
        <w:fldChar w:fldCharType="separate"/>
      </w:r>
      <w:r w:rsidR="008F4EA1" w:rsidRPr="008F4EA1">
        <w:rPr>
          <w:noProof/>
        </w:rPr>
        <w:t>(Mok et al. 2014)</w:t>
      </w:r>
      <w:r w:rsidR="00884746">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884746">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884746">
        <w:fldChar w:fldCharType="separate"/>
      </w:r>
      <w:r w:rsidR="00194EE4" w:rsidRPr="00194EE4">
        <w:rPr>
          <w:noProof/>
        </w:rPr>
        <w:t>(Robasky et al. 2014)</w:t>
      </w:r>
      <w:r w:rsidR="00884746">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84746">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84746">
        <w:fldChar w:fldCharType="separate"/>
      </w:r>
      <w:r w:rsidR="00194EE4" w:rsidRPr="00194EE4">
        <w:rPr>
          <w:noProof/>
        </w:rPr>
        <w:t>(Saunders et al. 2007)</w:t>
      </w:r>
      <w:r w:rsidR="00884746">
        <w:fldChar w:fldCharType="end"/>
      </w:r>
      <w:r w:rsidR="001C088D">
        <w:t xml:space="preserve">. </w:t>
      </w:r>
      <w:r w:rsidR="00DE11E6">
        <w:t xml:space="preserve">Unfortunately, </w:t>
      </w:r>
      <w:r w:rsidR="00DE11E6">
        <w:lastRenderedPageBreak/>
        <w:t xml:space="preserve">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884746">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884746">
        <w:fldChar w:fldCharType="separate"/>
      </w:r>
      <w:r w:rsidR="00194EE4" w:rsidRPr="00194EE4">
        <w:rPr>
          <w:noProof/>
        </w:rPr>
        <w:t>(Walliker et al. 1987)</w:t>
      </w:r>
      <w:r w:rsidR="00884746">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884746">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884746">
        <w:fldChar w:fldCharType="separate"/>
      </w:r>
      <w:r w:rsidR="00194EE4" w:rsidRPr="00194EE4">
        <w:rPr>
          <w:noProof/>
        </w:rPr>
        <w:t>(Wellems et al. 1991)</w:t>
      </w:r>
      <w:r w:rsidR="00884746">
        <w:fldChar w:fldCharType="end"/>
      </w:r>
      <w:r w:rsidR="00A72CFF">
        <w:t xml:space="preserve"> and host specificity </w:t>
      </w:r>
      <w:r w:rsidR="00884746">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884746">
        <w:fldChar w:fldCharType="separate"/>
      </w:r>
      <w:r w:rsidR="00194EE4" w:rsidRPr="00194EE4">
        <w:rPr>
          <w:noProof/>
        </w:rPr>
        <w:t>(Hayton et al. 2008)</w:t>
      </w:r>
      <w:r w:rsidR="00884746">
        <w:fldChar w:fldCharType="end"/>
      </w:r>
      <w:r w:rsidR="00A72CFF">
        <w:t xml:space="preserve">. However, although only three crosses have been performed, </w:t>
      </w:r>
      <w:r w:rsidR="004C331A">
        <w:t xml:space="preserve">typically more than 20 genetically distinct </w:t>
      </w:r>
      <w:r w:rsidR="00A72CFF">
        <w:t>progeny clones</w:t>
      </w:r>
      <w:r w:rsidR="004C331A">
        <w:t xml:space="preserve"> can be obtained from a single cross.</w:t>
      </w:r>
      <w:r w:rsidR="00EA3CED">
        <w:t xml:space="preserve"> </w:t>
      </w:r>
      <w:r w:rsidR="004C331A">
        <w:t>E</w:t>
      </w:r>
      <w:r w:rsidR="00EA3CED">
        <w:t xml:space="preserve">ach </w:t>
      </w:r>
      <w:r w:rsidR="00924F7E">
        <w:t xml:space="preserve">of </w:t>
      </w:r>
      <w:r w:rsidR="004C331A">
        <w:t xml:space="preserve">these progeny clones </w:t>
      </w:r>
      <w:r w:rsidR="00924F7E">
        <w:t xml:space="preserve">is </w:t>
      </w:r>
      <w:r w:rsidR="00EA3CED">
        <w:t>the result of an independent meiosis</w:t>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 xml:space="preserve">biological replicates can be readily obtained,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884746">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884746">
        <w:fldChar w:fldCharType="separate"/>
      </w:r>
      <w:r w:rsidR="008F4EA1" w:rsidRPr="008F4EA1">
        <w:rPr>
          <w:noProof/>
        </w:rPr>
        <w:t>(DePristo et al. 2011; Li &amp; Durbin 2009; McKenna et al. 2010)</w:t>
      </w:r>
      <w:r w:rsidR="00884746">
        <w:fldChar w:fldCharType="end"/>
      </w:r>
      <w:r w:rsidR="00194EE4">
        <w:t xml:space="preserve"> </w:t>
      </w:r>
      <w:r>
        <w:t>and reference-fre</w:t>
      </w:r>
      <w:r w:rsidR="00194EE4">
        <w:t xml:space="preserve">e sequence assembly </w:t>
      </w:r>
      <w:r w:rsidR="0088474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884746">
        <w:fldChar w:fldCharType="separate"/>
      </w:r>
      <w:r w:rsidR="00194EE4" w:rsidRPr="00194EE4">
        <w:rPr>
          <w:noProof/>
        </w:rPr>
        <w:t>(Iqbal et al. 2012)</w:t>
      </w:r>
      <w:r w:rsidR="00884746">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10383D">
        <w:t>could serve as a</w:t>
      </w:r>
      <w:r w:rsidR="001C4E6F">
        <w:t xml:space="preserve"> reference resource for both research and education, we describe a novel web application providing a means for exploring and interacting with these data in an intuitive way.</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884746">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884746">
        <w:fldChar w:fldCharType="separate"/>
      </w:r>
      <w:r w:rsidR="00EE1931" w:rsidRPr="00EE1931">
        <w:rPr>
          <w:noProof/>
        </w:rPr>
        <w:t>(Su et al. 1999; Jiang et al. 2011; Walker-Jonah et al. 1992)</w:t>
      </w:r>
      <w:r w:rsidR="00884746">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884746">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884746">
        <w:fldChar w:fldCharType="separate"/>
      </w:r>
      <w:r w:rsidR="009D296D" w:rsidRPr="009D296D">
        <w:rPr>
          <w:noProof/>
        </w:rPr>
        <w:t>(Su et al. 1999)</w:t>
      </w:r>
      <w:r w:rsidR="00884746">
        <w:fldChar w:fldCharType="end"/>
      </w:r>
      <w:r w:rsidR="009D296D">
        <w:t xml:space="preserve">. One study </w:t>
      </w:r>
      <w:r w:rsidR="006D6FCD">
        <w:t>used high-</w:t>
      </w:r>
      <w:r w:rsidR="009D296D">
        <w:t xml:space="preserve">throughput sequencing </w:t>
      </w:r>
      <w:r w:rsidR="006D6FCD">
        <w:t xml:space="preserve">to resolve </w:t>
      </w:r>
      <w:r w:rsidR="006D6FCD">
        <w:lastRenderedPageBreak/>
        <w:t>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884746">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884746">
        <w:fldChar w:fldCharType="separate"/>
      </w:r>
      <w:r w:rsidR="006D6FCD" w:rsidRPr="006D6FCD">
        <w:rPr>
          <w:noProof/>
        </w:rPr>
        <w:t>(Samarakoon, Regier, et al. 2011)</w:t>
      </w:r>
      <w:r w:rsidR="00884746">
        <w:fldChar w:fldCharType="end"/>
      </w:r>
      <w:r w:rsidR="009D296D">
        <w:t>. Previous studies have also</w:t>
      </w:r>
      <w:r w:rsidR="006E7EA9">
        <w:t xml:space="preserve"> demonstrated that at least some recombination events occur within coding regions </w:t>
      </w:r>
      <w:r w:rsidR="00884746">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884746">
        <w:fldChar w:fldCharType="separate"/>
      </w:r>
      <w:r w:rsidR="00EE1931" w:rsidRPr="00EE1931">
        <w:rPr>
          <w:noProof/>
        </w:rPr>
        <w:t>(Kerr et al. 1994)</w:t>
      </w:r>
      <w:r w:rsidR="00884746">
        <w:fldChar w:fldCharType="end"/>
      </w:r>
      <w:r w:rsidR="00065004">
        <w:t xml:space="preserve"> and suggested that recombination events are not uniformly distributed </w:t>
      </w:r>
      <w:r w:rsidR="006E7EA9">
        <w:t xml:space="preserve">over the genome </w:t>
      </w:r>
      <w:r w:rsidR="00884746">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84746">
        <w:fldChar w:fldCharType="separate"/>
      </w:r>
      <w:r w:rsidR="00EE1931" w:rsidRPr="00EE1931">
        <w:rPr>
          <w:noProof/>
        </w:rPr>
        <w:t>(Jiang et al. 2011)</w:t>
      </w:r>
      <w:r w:rsidR="00884746">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88474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884746">
        <w:fldChar w:fldCharType="separate"/>
      </w:r>
      <w:r w:rsidR="00EE1931" w:rsidRPr="00EE1931">
        <w:rPr>
          <w:noProof/>
        </w:rPr>
        <w:t>(Wellems et al. 1990; Samarakoon, Gonzales, et al. 2011)</w:t>
      </w:r>
      <w:r w:rsidR="00884746">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884746">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884746">
        <w:fldChar w:fldCharType="separate"/>
      </w:r>
      <w:r w:rsidR="007A475F" w:rsidRPr="007A475F">
        <w:rPr>
          <w:noProof/>
        </w:rPr>
        <w:t>(Walliker et al. 1987)</w:t>
      </w:r>
      <w:r w:rsidR="00884746">
        <w:fldChar w:fldCharType="end"/>
      </w:r>
      <w:r w:rsidR="007A475F">
        <w:t xml:space="preserve">, HB3×Dd2 </w:t>
      </w:r>
      <w:r w:rsidR="0088474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884746">
        <w:fldChar w:fldCharType="separate"/>
      </w:r>
      <w:r w:rsidR="007A475F" w:rsidRPr="007A475F">
        <w:rPr>
          <w:noProof/>
        </w:rPr>
        <w:t>(Wellems et al. 1990; Wellems et al. 1991)</w:t>
      </w:r>
      <w:r w:rsidR="00884746">
        <w:fldChar w:fldCharType="end"/>
      </w:r>
      <w:r w:rsidR="007A475F">
        <w:t xml:space="preserve"> and 7G8×GB4 </w:t>
      </w:r>
      <w:r w:rsidR="00884746">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884746">
        <w:fldChar w:fldCharType="separate"/>
      </w:r>
      <w:r w:rsidR="007A475F" w:rsidRPr="007A475F">
        <w:rPr>
          <w:noProof/>
        </w:rPr>
        <w:t>(Hayton et al. 2008)</w:t>
      </w:r>
      <w:r w:rsidR="00884746">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88474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884746">
        <w:fldChar w:fldCharType="separate"/>
      </w:r>
      <w:r w:rsidR="00334433" w:rsidRPr="00334433">
        <w:rPr>
          <w:noProof/>
        </w:rPr>
        <w:t>(Kozarewa et al. 2009)</w:t>
      </w:r>
      <w:r w:rsidR="00884746">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884746">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884746">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884746">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884746">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884746">
        <w:fldChar w:fldCharType="separate"/>
      </w:r>
      <w:r w:rsidR="001C68E4" w:rsidRPr="001C68E4">
        <w:rPr>
          <w:noProof/>
        </w:rPr>
        <w:t>(Flueck et al. 2009)</w:t>
      </w:r>
      <w:r w:rsidR="00884746">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884746">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884746">
        <w:fldChar w:fldCharType="separate"/>
      </w:r>
      <w:r w:rsidR="008509AB" w:rsidRPr="008509AB">
        <w:rPr>
          <w:noProof/>
        </w:rPr>
        <w:t>(DePristo et al. 2011; Li &amp; Durbin 2009)</w:t>
      </w:r>
      <w:r w:rsidR="00884746">
        <w:fldChar w:fldCharType="end"/>
      </w:r>
      <w:r>
        <w:t xml:space="preserve">, the other based on partial assembly of sequence reads and comparison of assembled contigs </w:t>
      </w:r>
      <w:r w:rsidR="0088474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884746">
        <w:fldChar w:fldCharType="separate"/>
      </w:r>
      <w:r w:rsidR="0077147F" w:rsidRPr="0077147F">
        <w:rPr>
          <w:noProof/>
        </w:rPr>
        <w:t>(Iqbal et al. 2012)</w:t>
      </w:r>
      <w:r w:rsidR="00884746">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w:t>
      </w:r>
      <w:r w:rsidR="004177B6">
        <w:lastRenderedPageBreak/>
        <w:t xml:space="preserve">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0"/>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the highly plausible patterns of recombination (see below), suggests that all discovered variants mark some genuine haplotypic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884746">
        <w:fldChar w:fldCharType="begin" w:fldLock="1"/>
      </w:r>
      <w:r w:rsidR="009D296D">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884746">
        <w:fldChar w:fldCharType="separate"/>
      </w:r>
      <w:r w:rsidR="00843650" w:rsidRPr="00E23718">
        <w:rPr>
          <w:noProof/>
        </w:rPr>
        <w:t>(Birren et al. 2006)</w:t>
      </w:r>
      <w:r w:rsidR="00884746">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w:t>
      </w:r>
      <w:proofErr w:type="spellStart"/>
      <w:r w:rsidR="00843650">
        <w:t>contig</w:t>
      </w:r>
      <w:proofErr w:type="spellEnd"/>
      <w:r w:rsidR="00843650">
        <w:t xml:space="preserve">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proofErr w:type="gramStart"/>
      <w:r w:rsidR="00840C8B">
        <w:t>HB3(</w:t>
      </w:r>
      <w:proofErr w:type="gramEnd"/>
      <w:r w:rsidR="00840C8B">
        <w:t>2)</w:t>
      </w:r>
      <w:r w:rsidR="00013797">
        <w:t xml:space="preserve"> replicate</w:t>
      </w:r>
      <w:r w:rsidR="00840C8B">
        <w:t xml:space="preserve"> (supplementary figure @@N).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w:t>
      </w:r>
      <w:proofErr w:type="gramStart"/>
      <w:r w:rsidR="003B428E">
        <w:t>HB3(</w:t>
      </w:r>
      <w:proofErr w:type="gramEnd"/>
      <w:r w:rsidR="003B428E">
        <w:t xml:space="preserve">2) because it was genotyped as part of the HB3xDd2 cross where many </w:t>
      </w:r>
      <w:r w:rsidR="00013797">
        <w:t>INDELs</w:t>
      </w:r>
      <w:r w:rsidR="003B428E">
        <w:t xml:space="preserve"> </w:t>
      </w:r>
      <w:r w:rsidR="00013797">
        <w:t>we</w:t>
      </w:r>
      <w:r w:rsidR="003B428E">
        <w:t xml:space="preserve">re </w:t>
      </w:r>
      <w:proofErr w:type="spellStart"/>
      <w:r w:rsidR="003B428E">
        <w:t>multiallelic</w:t>
      </w:r>
      <w:proofErr w:type="spellEnd"/>
      <w:r w:rsidR="003B428E">
        <w:t xml:space="preserve"> (parents have different non-reference alleles) but </w:t>
      </w:r>
      <w:r w:rsidR="00013797">
        <w:t xml:space="preserve">only the alignment </w:t>
      </w:r>
      <w:r w:rsidR="003B428E">
        <w:t xml:space="preserve">method was </w:t>
      </w:r>
      <w:r w:rsidR="00013797">
        <w:t xml:space="preserve">capable of </w:t>
      </w:r>
      <w:r w:rsidR="00B139F3">
        <w:t xml:space="preserve">genotyping </w:t>
      </w:r>
      <w:proofErr w:type="spellStart"/>
      <w:r w:rsidR="003B428E">
        <w:t>multiallelic</w:t>
      </w:r>
      <w:proofErr w:type="spellEnd"/>
      <w:r w:rsidR="003B428E">
        <w:t xml:space="preserve"> variants. This </w:t>
      </w:r>
      <w:r w:rsidR="00013797">
        <w:t>technical limitation of the assembly method</w:t>
      </w:r>
      <w:r w:rsidR="0001017A">
        <w:t xml:space="preserve"> accounts </w:t>
      </w:r>
      <w:r w:rsidR="003B428E">
        <w:t xml:space="preserve">for the lower number of segregating INDELs discovered in the HB3xDd2 and 7G8xGB4 crosses compared with 3D7xHB3 (table 1). </w:t>
      </w:r>
      <w:r w:rsidR="00893C7A">
        <w:t>Additional details are given in supplementary table @@N and supplementary figure @@S, and interpretation of these results is discussed below.</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884746">
        <w:fldChar w:fldCharType="begin" w:fldLock="1"/>
      </w:r>
      <w:r w:rsidR="00E23718">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"title" : "An integrated map of genetic variation from 1,092 human genomes.", "title-short" : "Nature", "type" : "article-journal", "volume" : "491" }, "uris" : [ "http://www.mendeley.com/documents/?uuid=232a487e-0d93-4330-a930-7781da23367b" ] } ], "mendeley" : { "formattedCitation" : "(Abecasis et al. 2012)", "plainTextFormattedCitation" : "(Abecasis et al. 2012)", "previouslyFormattedCitation" : "(Abecasis et al. 2012)" }, "properties" : { "noteIndex" : 0 }, "schema" : "https://github.com/citation-style-language/schema/raw/master/csl-citation.json" }</w:instrText>
      </w:r>
      <w:r w:rsidR="00884746">
        <w:fldChar w:fldCharType="separate"/>
      </w:r>
      <w:r w:rsidR="0016550F" w:rsidRPr="0016550F">
        <w:rPr>
          <w:noProof/>
        </w:rPr>
        <w:t>(Abecasis et al. 2012)</w:t>
      </w:r>
      <w:r w:rsidR="00884746">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884746">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884746">
        <w:fldChar w:fldCharType="separate"/>
      </w:r>
      <w:r w:rsidR="00E3669F" w:rsidRPr="00E3669F">
        <w:rPr>
          <w:noProof/>
        </w:rPr>
        <w:t>(Li et al. 2002; Lovett 2004)</w:t>
      </w:r>
      <w:r w:rsidR="00884746">
        <w:fldChar w:fldCharType="end"/>
      </w:r>
      <w:r w:rsidR="00FE0FEE">
        <w:t xml:space="preserve"> and are known to be associated with high rates of </w:t>
      </w:r>
      <w:r w:rsidR="00F230BE">
        <w:t>INDEL</w:t>
      </w:r>
      <w:r w:rsidR="00FE0FEE">
        <w:t xml:space="preserve"> mutat</w:t>
      </w:r>
      <w:r w:rsidR="00F230BE">
        <w:t xml:space="preserve">ion </w:t>
      </w:r>
      <w:r w:rsidR="00884746">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884746">
        <w:fldChar w:fldCharType="separate"/>
      </w:r>
      <w:r w:rsidR="00F230BE" w:rsidRPr="00F230BE">
        <w:rPr>
          <w:noProof/>
        </w:rPr>
        <w:t>(Montgomery et al. 2013)</w:t>
      </w:r>
      <w:r w:rsidR="00884746">
        <w:fldChar w:fldCharType="end"/>
      </w:r>
      <w:r w:rsidR="00FE0FEE">
        <w:t xml:space="preserve">. Poly(AT) repeats are very common in the non-coding regions of the </w:t>
      </w:r>
      <w:r w:rsidR="00FE0FEE" w:rsidRPr="00720774">
        <w:rPr>
          <w:i/>
        </w:rPr>
        <w:t>P. falciparum</w:t>
      </w:r>
      <w:r w:rsidR="00F230BE">
        <w:t xml:space="preserve"> genome </w:t>
      </w:r>
      <w:r w:rsidR="00884746">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884746">
        <w:fldChar w:fldCharType="separate"/>
      </w:r>
      <w:r w:rsidR="00F230BE" w:rsidRPr="00F230BE">
        <w:rPr>
          <w:noProof/>
        </w:rPr>
        <w:t>(Gardner et al. 2002)</w:t>
      </w:r>
      <w:r w:rsidR="00884746">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884746">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884746">
        <w:fldChar w:fldCharType="separate"/>
      </w:r>
      <w:r w:rsidR="00F230BE" w:rsidRPr="00F230BE">
        <w:rPr>
          <w:noProof/>
        </w:rPr>
        <w:t>(Muralidharan &amp; Goldberg 2013)</w:t>
      </w:r>
      <w:r w:rsidR="00884746">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884746">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884746">
        <w:fldChar w:fldCharType="separate"/>
      </w:r>
      <w:r w:rsidR="001C4C7D" w:rsidRPr="001C4C7D">
        <w:rPr>
          <w:noProof/>
        </w:rPr>
        <w:t xml:space="preserve">Brick et al. </w:t>
      </w:r>
      <w:r w:rsidR="0016550F">
        <w:rPr>
          <w:noProof/>
        </w:rPr>
        <w:t>(</w:t>
      </w:r>
      <w:r w:rsidR="001C4C7D" w:rsidRPr="001C4C7D">
        <w:rPr>
          <w:noProof/>
        </w:rPr>
        <w:t>2008)</w:t>
      </w:r>
      <w:r w:rsidR="00884746">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w:t>
      </w:r>
      <w:r w:rsidR="004403DA">
        <w:t>19</w:t>
      </w:r>
      <w:r>
        <w:t xml:space="preserve"> loci with highly diverged alleles, where local diversity over a region up to 2kb was </w:t>
      </w:r>
      <w:r w:rsidR="001C4C7D">
        <w:t>up to</w:t>
      </w:r>
      <w:r>
        <w:t xml:space="preserve"> 3 orders of magnitude greater (figure 2). These </w:t>
      </w:r>
      <w:r>
        <w:lastRenderedPageBreak/>
        <w:t>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884746">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884746">
        <w:fldChar w:fldCharType="separate"/>
      </w:r>
      <w:r w:rsidR="00ED25D2" w:rsidRPr="00ED25D2">
        <w:rPr>
          <w:noProof/>
        </w:rPr>
        <w:t>(Ferreira et al. 2003)</w:t>
      </w:r>
      <w:r w:rsidR="00884746">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884746">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884746">
        <w:fldChar w:fldCharType="separate"/>
      </w:r>
      <w:r w:rsidR="00ED25D2" w:rsidRPr="00ED25D2">
        <w:rPr>
          <w:noProof/>
        </w:rPr>
        <w:t>(Ferreira et al. 2003)</w:t>
      </w:r>
      <w:r w:rsidR="00884746">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884746">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884746">
        <w:fldChar w:fldCharType="separate"/>
      </w:r>
      <w:r w:rsidR="006018E2" w:rsidRPr="006018E2">
        <w:rPr>
          <w:noProof/>
        </w:rPr>
        <w:t>(Lasonder et al. 2008)</w:t>
      </w:r>
      <w:r w:rsidR="00884746">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88474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84746">
        <w:fldChar w:fldCharType="separate"/>
      </w:r>
      <w:r w:rsidR="004357C6" w:rsidRPr="004357C6">
        <w:rPr>
          <w:noProof/>
        </w:rPr>
        <w:t>(Jiang et al. 2011)</w:t>
      </w:r>
      <w:r w:rsidR="00884746">
        <w:fldChar w:fldCharType="end"/>
      </w:r>
      <w:r w:rsidR="00936076">
        <w:t>. In eukaryotes, programmed double strand breaks (DSBs) during meiosis are resolved by either crossover (CO) or non-crossover (NCO) between</w:t>
      </w:r>
      <w:r w:rsidR="004357C6">
        <w:t xml:space="preserve"> homologous chromosomes </w:t>
      </w:r>
      <w:r w:rsidR="0088474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88474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884746">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3C6843">
        <w:t xml:space="preserve"> (Figure @@SN @@schematic of CO and NCO events)</w:t>
      </w:r>
      <w:r w:rsidR="00936076">
        <w:t>.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@@SN @@map of where recombination events occur)</w:t>
      </w:r>
      <w:r w:rsidR="00936076">
        <w:t>.</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D9168B">
      <w:pPr>
        <w:ind w:left="720"/>
      </w:pPr>
      <w:r>
        <w:t xml:space="preserve">Combining CO events from all three crosses, the total map length of the core genome was </w:t>
      </w:r>
      <w:bookmarkStart w:id="4" w:name="_GoBack"/>
      <w:bookmarkEnd w:id="4"/>
      <w:r>
        <w:t xml:space="preserve">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 xml:space="preserve">A). There was a strong linear correlation between chromosome size and CO recombination rate, with a rate of 0.55 </w:t>
      </w:r>
      <w:r w:rsidR="003C6843">
        <w:t xml:space="preserve">Morgan </w:t>
      </w:r>
      <w:r>
        <w:t>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884746">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884746">
        <w:fldChar w:fldCharType="separate"/>
      </w:r>
      <w:r w:rsidR="006469F3" w:rsidRPr="006469F3">
        <w:rPr>
          <w:noProof/>
        </w:rPr>
        <w:t>(Baudat &amp; de Massy 2007; Martinez-Perez &amp; Colaiácovo 2009; Mancera et al. 2008)</w:t>
      </w:r>
      <w:r w:rsidR="00884746">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84746">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84746">
        <w:fldChar w:fldCharType="separate"/>
      </w:r>
      <w:r w:rsidR="00811543" w:rsidRPr="00811543">
        <w:rPr>
          <w:noProof/>
        </w:rPr>
        <w:t>(Jiang et al. 2011)</w:t>
      </w:r>
      <w:r w:rsidR="00884746">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w:t>
      </w:r>
      <w:r>
        <w:lastRenderedPageBreak/>
        <w:t xml:space="preserve">(P&lt;0.001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884746">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884746">
        <w:fldChar w:fldCharType="separate"/>
      </w:r>
      <w:r w:rsidR="00667FE0" w:rsidRPr="00667FE0">
        <w:rPr>
          <w:noProof/>
        </w:rPr>
        <w:t>(Myers et al. 2005)</w:t>
      </w:r>
      <w:r w:rsidR="00884746">
        <w:fldChar w:fldCharType="end"/>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Of the remaining 324 tracts, 94 were associated with a CO and 230 were assumed to be NCO conversion tracts. The majority of observed NCO conversion tracts had a minimal size less than 1kb, and 73%</w:t>
      </w:r>
      <w:r w:rsidR="00C97C07">
        <w:t xml:space="preserve"> were smaller than 2kb (figure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has been found to fit </w:t>
      </w:r>
      <w:r w:rsidR="0016550F">
        <w:t>a geometric model, with</w:t>
      </w:r>
      <w:r>
        <w:t xml:space="preserve"> parameter </w:t>
      </w:r>
      <w:r>
        <w:rPr>
          <w:i/>
        </w:rPr>
        <w:t>phi</w:t>
      </w:r>
      <w:r>
        <w:t xml:space="preserve"> determining the per-base-pair probabil</w:t>
      </w:r>
      <w:r w:rsidR="008C28A7">
        <w:t xml:space="preserve">ity of extending a tract </w:t>
      </w:r>
      <w:r w:rsidR="00884746">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84746">
        <w:fldChar w:fldCharType="separate"/>
      </w:r>
      <w:r w:rsidR="008C28A7" w:rsidRPr="008C28A7">
        <w:rPr>
          <w:noProof/>
        </w:rPr>
        <w:t>(Hilliker et al. 1994)</w:t>
      </w:r>
      <w:r w:rsidR="00884746">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(figure 3</w:t>
      </w:r>
      <w:r>
        <w:t>D, figure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w:t>
      </w:r>
      <w:r>
        <w:lastRenderedPageBreak/>
        <w:t>be part of a single complex long-range recombination event involving a total of 20 switches in inheritance (supplementary figure @@N</w:t>
      </w:r>
      <w:r w:rsidR="00916B63">
        <w:t xml:space="preserve">; </w:t>
      </w:r>
      <w:r w:rsidR="003E5237">
        <w:t>@@</w:t>
      </w:r>
      <w:r w:rsidR="00916B63">
        <w:t>TODO consider main figure?</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88474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884746">
        <w:fldChar w:fldCharType="separate"/>
      </w:r>
      <w:r w:rsidR="00C44746" w:rsidRPr="006469F3">
        <w:rPr>
          <w:noProof/>
        </w:rPr>
        <w:t>(Mancera et al. 2008)</w:t>
      </w:r>
      <w:r w:rsidR="0088474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Recombination with</w:t>
      </w:r>
      <w:r w:rsidR="00381C07">
        <w:t>in</w:t>
      </w:r>
      <w:r>
        <w:t xml:space="preserve">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sidR="00EE0300" w:rsidRPr="00DD329D">
        <w:rPr>
          <w:i/>
        </w:rPr>
        <w:t>mdr</w:t>
      </w:r>
      <w:r w:rsidR="0053348F" w:rsidRPr="00DD329D">
        <w:rPr>
          <w:i/>
        </w:rPr>
        <w:t>1</w:t>
      </w:r>
      <w:r>
        <w:t xml:space="preserve"> have been found in Dd2 and several proge</w:t>
      </w:r>
      <w:r w:rsidR="00FB69B5">
        <w:t xml:space="preserve">ny of the HB3xDd2 cross </w:t>
      </w:r>
      <w:r w:rsidR="00884746">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884746">
        <w:fldChar w:fldCharType="separate"/>
      </w:r>
      <w:r w:rsidR="003E3A10" w:rsidRPr="003E3A10">
        <w:rPr>
          <w:noProof/>
        </w:rPr>
        <w:t>(Samarakoon, Gonzales, et al. 2011; Gonzales et al. 2008; Wellems et al. 1990)</w:t>
      </w:r>
      <w:r w:rsidR="00884746">
        <w:fldChar w:fldCharType="end"/>
      </w:r>
      <w:r w:rsidR="00FB69B5">
        <w:t xml:space="preserve">. Amplifications spanning </w:t>
      </w:r>
      <w:r w:rsidR="00EE0300" w:rsidRPr="00DD329D">
        <w:rPr>
          <w:i/>
        </w:rPr>
        <w:t>mdr</w:t>
      </w:r>
      <w:r w:rsidR="0053348F" w:rsidRPr="00DD329D">
        <w:rPr>
          <w:i/>
        </w:rPr>
        <w:t>1</w:t>
      </w:r>
      <w:r w:rsidR="00FB69B5">
        <w:t xml:space="preserve"> are found in </w:t>
      </w:r>
      <w:r w:rsidR="00467EE6">
        <w:t xml:space="preserve">clinical </w:t>
      </w:r>
      <w:r>
        <w:t>isolates, particular</w:t>
      </w:r>
      <w:r w:rsidR="00FB69B5">
        <w:t>ly from South-East Asia, and b</w:t>
      </w:r>
      <w:r>
        <w:t xml:space="preserve">oth point mutations and amplifications of </w:t>
      </w:r>
      <w:r w:rsidR="00EE0300" w:rsidRPr="00DD329D">
        <w:rPr>
          <w:i/>
        </w:rPr>
        <w:t>mdr</w:t>
      </w:r>
      <w:r w:rsidR="0053348F" w:rsidRPr="00DD329D">
        <w:rPr>
          <w:i/>
        </w:rPr>
        <w:t>1</w:t>
      </w:r>
      <w:r>
        <w:t xml:space="preserve"> have been shown to </w:t>
      </w:r>
      <w:r w:rsidR="00467EE6">
        <w:t xml:space="preserve">alter </w:t>
      </w:r>
      <w:r>
        <w:t>sensitiv</w:t>
      </w:r>
      <w:r w:rsidR="00FB69B5">
        <w:t xml:space="preserve">ity to a range of drugs </w:t>
      </w:r>
      <w:r w:rsidR="00884746">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884746">
        <w:fldChar w:fldCharType="separate"/>
      </w:r>
      <w:r w:rsidR="00FB69B5" w:rsidRPr="00FB69B5">
        <w:rPr>
          <w:noProof/>
        </w:rPr>
        <w:t>(Price et al. 2004; Anderson et al. 2009)</w:t>
      </w:r>
      <w:r w:rsidR="00884746">
        <w:fldChar w:fldCharType="end"/>
      </w:r>
      <w:r>
        <w:t xml:space="preserve">. On chromosome 12 amplifications spanning </w:t>
      </w:r>
      <w:r w:rsidR="00EE0300" w:rsidRPr="005833BA">
        <w:rPr>
          <w:i/>
        </w:rPr>
        <w:t>gch</w:t>
      </w:r>
      <w:r w:rsidR="007220F1" w:rsidRPr="005833BA">
        <w:rPr>
          <w:i/>
        </w:rPr>
        <w:t>1</w:t>
      </w:r>
      <w:r>
        <w:t xml:space="preserve">, </w:t>
      </w:r>
      <w:r w:rsidR="00381C07">
        <w:t xml:space="preserve">the gene encoding the </w:t>
      </w:r>
      <w:r>
        <w:t xml:space="preserve">first enzyme </w:t>
      </w:r>
      <w:r w:rsidR="00381C07">
        <w:t xml:space="preserve">of </w:t>
      </w:r>
      <w:r>
        <w:t xml:space="preserve">the folate biosynthesis pathway, have been found in </w:t>
      </w:r>
      <w:r w:rsidR="00C24654">
        <w:t>both lab and clinical isolates</w:t>
      </w:r>
      <w:r>
        <w:t xml:space="preserve"> and have been shown to confer resistance to anti-folate drugs </w:t>
      </w:r>
      <w:r w:rsidR="00884746">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884746">
        <w:fldChar w:fldCharType="separate"/>
      </w:r>
      <w:r w:rsidR="00E1484F" w:rsidRPr="00E1484F">
        <w:rPr>
          <w:noProof/>
        </w:rPr>
        <w:t>(Kidgell et al. 2006; Anderson et al. 2009; Heinberg et al. 2013; Samarakoon, Gonzales, et al. 2011; Nair et al. 2008; Sepúlveda et al. 2013)</w:t>
      </w:r>
      <w:r w:rsidR="00884746">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sidR="00EE0300" w:rsidRPr="00EE0300">
        <w:rPr>
          <w:i/>
        </w:rPr>
        <w:t>gch</w:t>
      </w:r>
      <w:r w:rsidR="007220F1" w:rsidRPr="00EE0300">
        <w:rPr>
          <w:i/>
        </w:rPr>
        <w:t>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884746">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884746">
        <w:fldChar w:fldCharType="separate"/>
      </w:r>
      <w:r w:rsidR="00C24654" w:rsidRPr="00C24654">
        <w:rPr>
          <w:noProof/>
        </w:rPr>
        <w:t>(Samarakoon, Gonzales, et al. 2011)</w:t>
      </w:r>
      <w:r w:rsidR="00884746">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884746">
        <w:fldChar w:fldCharType="begin" w:fldLock="1"/>
      </w:r>
      <w:r w:rsidR="00E23718">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"title" : "Mapping copy number variation by population-scale genome sequencing.", "title-short" : "Nature",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884746">
        <w:fldChar w:fldCharType="separate"/>
      </w:r>
      <w:r w:rsidR="00754F50" w:rsidRPr="00754F50">
        <w:rPr>
          <w:noProof/>
        </w:rPr>
        <w:t>(Mills et al. 2011; Zhao et al. 2013)</w:t>
      </w:r>
      <w:r w:rsidR="00884746">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EE0300" w:rsidRPr="005833BA">
        <w:rPr>
          <w:i/>
        </w:rPr>
        <w:t>mdr</w:t>
      </w:r>
      <w:r w:rsidR="0053348F" w:rsidRPr="005833BA">
        <w:rPr>
          <w:i/>
        </w:rPr>
        <w:t>1</w:t>
      </w:r>
      <w:r w:rsidR="007827B2">
        <w:t xml:space="preserve"> and </w:t>
      </w:r>
      <w:r w:rsidR="00EE0300" w:rsidRPr="00EE0300">
        <w:rPr>
          <w:i/>
        </w:rPr>
        <w:t>gch</w:t>
      </w:r>
      <w:r w:rsidR="007220F1" w:rsidRPr="00EE0300">
        <w:rPr>
          <w:i/>
        </w:rPr>
        <w:t>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EE0300">
        <w:t>mdr</w:t>
      </w:r>
      <w:r w:rsidR="0053348F">
        <w:t>1</w:t>
      </w:r>
      <w:r w:rsidR="00043C58">
        <w:t xml:space="preserve"> and </w:t>
      </w:r>
      <w:r w:rsidR="00EE0300">
        <w:t>gch</w:t>
      </w:r>
      <w:r w:rsidR="007220F1">
        <w:t>1</w:t>
      </w:r>
      <w:r w:rsidR="00B32D1F">
        <w:t xml:space="preserve"> </w:t>
      </w:r>
    </w:p>
    <w:p w:rsidR="009E0D59" w:rsidRDefault="009E0D59" w:rsidP="00901FE9">
      <w:r>
        <w:t xml:space="preserve">Amplifications spanning </w:t>
      </w:r>
      <w:r w:rsidR="0039689D" w:rsidRPr="0039689D">
        <w:rPr>
          <w:i/>
        </w:rPr>
        <w:t>mdr1</w:t>
      </w:r>
      <w:r w:rsidR="0039689D">
        <w:t xml:space="preserve"> and </w:t>
      </w:r>
      <w:r w:rsidR="00EE0300" w:rsidRPr="00EE0300">
        <w:rPr>
          <w:i/>
        </w:rPr>
        <w:t>gch</w:t>
      </w:r>
      <w:r w:rsidR="007220F1" w:rsidRPr="00EE0300">
        <w:rPr>
          <w:i/>
        </w:rPr>
        <w:t>1</w:t>
      </w:r>
      <w:r>
        <w:t xml:space="preserve"> were clearly visible from depth of coverage of sequence reads aligned to th</w:t>
      </w:r>
      <w:r w:rsidR="00653393">
        <w:t>e 3D7 reference genome</w:t>
      </w:r>
      <w:r w:rsidR="0039689D">
        <w:t xml:space="preserve"> (figure 4; supplementary figure @@N)</w:t>
      </w:r>
      <w:r>
        <w:t xml:space="preserve">. Orientation of </w:t>
      </w:r>
      <w:r>
        <w:lastRenderedPageBreak/>
        <w:t>read pairs was also informative in most cases, providing evidence for either tandem duplication (paired reads aligned facing away from each other) or tandem inversion (paired reads aligned in the same direction)</w:t>
      </w:r>
      <w:r w:rsidR="00355A44">
        <w:t xml:space="preserve"> </w:t>
      </w:r>
      <w:r w:rsidR="00355A44">
        <w:fldChar w:fldCharType="begin" w:fldLock="1"/>
      </w:r>
      <w:r w:rsidR="00355A44">
        <w:instrText>ADDIN CSL_CITATION { "citationItems" : [ { "id" : "ITEM-1", "itemData" : { "DOI" : "10.1038/nmeth.1374", "ISSN" : "1548-7105", "PMID" : "19844226", "abstract" : "In the last several years, a number of studies have described large-scale structural variation in several genomes. Traditionally, such methods have used whole-genome array comparative genome hybridization or single-nucleotide polymorphism arrays to detect large regions subject to copy-number variation. Later techniques have been based on paired-end mapping of Sanger sequencing data, providing better resolution and accuracy. With the advent of next-generation sequencing, a new generation of methods is being developed to tackle the challenges of short reads, while taking advantage of the high coverage the new sequencing technologies provide. In this survey, we describe these methods, including their strengths and their limitations, and future research directions.", "author" : [ { "dropping-particle" : "", "family" : "Medvedev", "given" : "Paul", "non-dropping-particle" : "", "parse-names" : false, "suffix" : "" }, { "dropping-particle" : "", "family" : "Stanciu", "given" : "Monica", "non-dropping-particle" : "", "parse-names" : false, "suffix" : "" }, { "dropping-particle" : "", "family" : "Brudno", "given" : "Michael", "non-dropping-particle" : "", "parse-names" : false, "suffix" : "" } ], "container-title" : "Nature methods", "id" : "ITEM-1", "issue" : "11 Suppl", "issued" : { "date-parts" : [ [ "2009", "11" ] ] }, "page" : "S13-20", "publisher" : "Nature Publishing Group", "title" : "Computational methods for discovering structural variation with next-generation sequencing.", "title-short" : "Nat Meth", "type" : "article-journal", "volume" : "6" }, "uris" : [ "http://www.mendeley.com/documents/?uuid=a8e2d702-fadf-48e6-a668-6de5841212b1" ] } ], "mendeley" : { "formattedCitation" : "(Medvedev et al. 2009)", "plainTextFormattedCitation" : "(Medvedev et al. 2009)" }, "properties" : { "noteIndex" : 0 }, "schema" : "https://github.com/citation-style-language/schema/raw/master/csl-citation.json" }</w:instrText>
      </w:r>
      <w:r w:rsidR="00355A44">
        <w:fldChar w:fldCharType="separate"/>
      </w:r>
      <w:r w:rsidR="00355A44" w:rsidRPr="00355A44">
        <w:rPr>
          <w:noProof/>
        </w:rPr>
        <w:t>(Medvedev et al. 2009)</w:t>
      </w:r>
      <w:r w:rsidR="00355A44">
        <w:fldChar w:fldCharType="end"/>
      </w:r>
      <w:r>
        <w:t xml:space="preserve">. </w:t>
      </w:r>
      <w:r w:rsidR="00653393">
        <w:t xml:space="preserve">On chromosome 5 a three-fold amplification of an 82kb region spanning </w:t>
      </w:r>
      <w:r w:rsidR="00EE0300" w:rsidRPr="00DD329D">
        <w:rPr>
          <w:i/>
        </w:rPr>
        <w:t>mdr</w:t>
      </w:r>
      <w:r w:rsidR="0053348F" w:rsidRPr="00DD329D">
        <w:rPr>
          <w:i/>
        </w:rPr>
        <w:t>1</w:t>
      </w:r>
      <w:r w:rsidR="00653393">
        <w:t xml:space="preserve"> and 13 other genes was evident in Dd2 and as either 2 or 3 copies in 14 progeny of HB3 x Dd2 (supplementary figure @@N)</w:t>
      </w:r>
      <w:r w:rsidR="00043C58">
        <w:t xml:space="preserve"> consistent with previous reports</w:t>
      </w:r>
      <w:r w:rsidR="00754F50">
        <w:t xml:space="preserve"> </w:t>
      </w:r>
      <w:r w:rsidR="00884746">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884746">
        <w:fldChar w:fldCharType="separate"/>
      </w:r>
      <w:r w:rsidR="00C42374" w:rsidRPr="00C42374">
        <w:rPr>
          <w:noProof/>
        </w:rPr>
        <w:t>(Wellems et al. 1990; Samarakoon, Gonzales, et al. 2011; Sepúlveda et al. 2013)</w:t>
      </w:r>
      <w:r w:rsidR="00884746">
        <w:fldChar w:fldCharType="end"/>
      </w:r>
      <w:r w:rsidR="00653393">
        <w:t xml:space="preserve">. On chromosome 12 all parent clones including 3D7 had evidence for some form of amplification relative to the 3D7 reference genome spanning </w:t>
      </w:r>
      <w:r w:rsidR="00EE0300" w:rsidRPr="00EE0300">
        <w:rPr>
          <w:i/>
        </w:rPr>
        <w:t>gch</w:t>
      </w:r>
      <w:r w:rsidR="007220F1" w:rsidRPr="00EE0300">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EE0300" w:rsidRPr="00EE0300">
        <w:rPr>
          <w:i/>
        </w:rPr>
        <w:t>gch</w:t>
      </w:r>
      <w:r w:rsidR="007220F1" w:rsidRPr="00EE0300">
        <w:rPr>
          <w:i/>
        </w:rPr>
        <w:t>1</w:t>
      </w:r>
      <w:r w:rsidR="00DE0EF1">
        <w:rPr>
          <w:i/>
        </w:rPr>
        <w:t xml:space="preserve"> </w:t>
      </w:r>
      <w:r w:rsidR="00653393">
        <w:t xml:space="preserve">only (the 3D7 reference genome to which all reads were aligned has only a single copy of </w:t>
      </w:r>
      <w:r w:rsidR="00EE0300" w:rsidRPr="00EE0300">
        <w:rPr>
          <w:i/>
        </w:rPr>
        <w:t>gch</w:t>
      </w:r>
      <w:r w:rsidR="007220F1" w:rsidRPr="00EE0300">
        <w:rPr>
          <w:i/>
        </w:rPr>
        <w:t>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EE0300" w:rsidRPr="00EE0300">
        <w:rPr>
          <w:i/>
        </w:rPr>
        <w:t>gch</w:t>
      </w:r>
      <w:r w:rsidR="007220F1" w:rsidRPr="00EE0300">
        <w:rPr>
          <w:i/>
        </w:rPr>
        <w:t>1</w:t>
      </w:r>
      <w:r w:rsidR="00653393">
        <w:t xml:space="preserve"> and 38 other genes. Dd2 had 3 copies of a 5kb segment spanning </w:t>
      </w:r>
      <w:r w:rsidR="00EE0300" w:rsidRPr="00EE0300">
        <w:rPr>
          <w:i/>
        </w:rPr>
        <w:t>gch</w:t>
      </w:r>
      <w:r w:rsidR="007220F1" w:rsidRPr="00EE0300">
        <w:rPr>
          <w:i/>
        </w:rPr>
        <w:t>1</w:t>
      </w:r>
      <w:r w:rsidR="00043C58">
        <w:t xml:space="preserve"> and 2 upstream genes and </w:t>
      </w:r>
      <w:r w:rsidR="00653393">
        <w:t xml:space="preserve">alignments indicated a tandem inversion. 7G8 had a 3-fold tandem amplification of a 31kb segment spanning </w:t>
      </w:r>
      <w:r w:rsidR="00EE0300" w:rsidRPr="00EE0300">
        <w:rPr>
          <w:i/>
        </w:rPr>
        <w:t>gch</w:t>
      </w:r>
      <w:r w:rsidR="007220F1" w:rsidRPr="00EE0300">
        <w:rPr>
          <w:i/>
        </w:rPr>
        <w:t>1</w:t>
      </w:r>
      <w:r w:rsidR="00653393">
        <w:t xml:space="preserve"> and 6 other genes. GB4 had 2 copies of a segment spanning </w:t>
      </w:r>
      <w:r w:rsidR="00EE0300" w:rsidRPr="005833BA">
        <w:rPr>
          <w:i/>
        </w:rPr>
        <w:t>gch</w:t>
      </w:r>
      <w:r w:rsidR="007220F1" w:rsidRPr="005833BA">
        <w:rPr>
          <w:i/>
        </w:rPr>
        <w:t>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EE0300" w:rsidRPr="005833BA">
        <w:rPr>
          <w:i/>
        </w:rPr>
        <w:t>gch</w:t>
      </w:r>
      <w:r w:rsidR="007220F1" w:rsidRPr="005833BA">
        <w:rPr>
          <w:i/>
        </w:rPr>
        <w:t>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w:t>
      </w:r>
      <w:r w:rsidR="00DD329D" w:rsidRPr="00DD329D">
        <w:rPr>
          <w:i/>
        </w:rPr>
        <w:t>clag</w:t>
      </w:r>
      <w:r w:rsidRPr="00DD329D">
        <w:rPr>
          <w:i/>
        </w:rPr>
        <w:t>3</w:t>
      </w:r>
      <w:r>
        <w:t xml:space="preserve">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w:t>
      </w:r>
      <w:r w:rsidR="00DD329D">
        <w:rPr>
          <w:i/>
        </w:rPr>
        <w:t>clag</w:t>
      </w:r>
      <w:r w:rsidRPr="00DD329D">
        <w:rPr>
          <w:i/>
        </w:rPr>
        <w:t>3.2</w:t>
      </w:r>
      <w:r>
        <w:t xml:space="preserve"> in GB4 and other clones </w:t>
      </w:r>
      <w:r w:rsidR="00884746">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884746">
        <w:fldChar w:fldCharType="separate"/>
      </w:r>
      <w:r w:rsidR="00754F50" w:rsidRPr="00754F50">
        <w:rPr>
          <w:noProof/>
        </w:rPr>
        <w:t>(Sepúlveda et al. 2013; Chung et al. 2007; Iriko et al. 2008)</w:t>
      </w:r>
      <w:r w:rsidR="00884746">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884746">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884746">
        <w:fldChar w:fldCharType="separate"/>
      </w:r>
      <w:r w:rsidR="00E1484F" w:rsidRPr="00E1484F">
        <w:rPr>
          <w:noProof/>
        </w:rPr>
        <w:t>(Hinterberg et al. 1994)</w:t>
      </w:r>
      <w:r w:rsidR="00884746">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sidR="00EE0300" w:rsidRPr="005833BA">
        <w:rPr>
          <w:i/>
        </w:rPr>
        <w:t>gch</w:t>
      </w:r>
      <w:r w:rsidR="007220F1" w:rsidRPr="005833BA">
        <w:rPr>
          <w:i/>
        </w:rPr>
        <w:t>1</w:t>
      </w:r>
      <w:r w:rsidR="003E6777">
        <w:t xml:space="preserve"> locus</w:t>
      </w:r>
      <w:r>
        <w:t xml:space="preserve"> and some of the progeny clones appeared to inherit both par</w:t>
      </w:r>
      <w:r w:rsidR="00242BE4">
        <w:t>ental amplifications (figure 4</w:t>
      </w:r>
      <w:r>
        <w:t xml:space="preserve">). This can be explained if recombination events occurred within the amplified region. Depending how homologous </w:t>
      </w:r>
      <w:r>
        <w:lastRenderedPageBreak/>
        <w:t>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w:t>
      </w:r>
      <w:r w:rsidR="008579AE">
        <w:t xml:space="preserve">or the other </w:t>
      </w:r>
      <w:r>
        <w:t xml:space="preserve">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w:t>
      </w:r>
      <w:r w:rsidR="008579AE">
        <w:t xml:space="preserve"> (figure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This is harder to explain, as it would require two crossover events at or close to the borders of the duplicated region</w:t>
      </w:r>
      <w:r w:rsidR="008579AE">
        <w:t xml:space="preserve"> (supplementary figure @@N)</w:t>
      </w:r>
      <w:r>
        <w:t xml:space="preserve">, which seems improbable unless the CNV breakpoints are also </w:t>
      </w:r>
      <w:r w:rsidR="002B5CBF">
        <w:t xml:space="preserve">particularly </w:t>
      </w:r>
      <w:r>
        <w:t>p</w:t>
      </w:r>
      <w:r w:rsidR="002B5CBF">
        <w:t>rone to meiotic crossover</w:t>
      </w:r>
      <w:r w:rsidR="000C3978">
        <w:t xml:space="preserve"> </w:t>
      </w:r>
      <w:r w:rsidR="00884746">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884746">
        <w:fldChar w:fldCharType="separate"/>
      </w:r>
      <w:r w:rsidR="00194EE4" w:rsidRPr="00194EE4">
        <w:rPr>
          <w:noProof/>
        </w:rPr>
        <w:t>(Völker et al. 2010)</w:t>
      </w:r>
      <w:r w:rsidR="00884746">
        <w:fldChar w:fldCharType="end"/>
      </w:r>
      <w:r>
        <w:t xml:space="preserve">. An alternative explanation is that the 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Two separate regions of heterozygosity were visible at either ends of the HB3 duplicated region, which can be explained if two crossover events occurred</w:t>
      </w:r>
      <w:r w:rsidR="008579AE">
        <w:t xml:space="preserve"> (supplementary figure @@N)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In addition to 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w:t>
      </w:r>
      <w:r>
        <w:lastRenderedPageBreak/>
        <w:t xml:space="preserve">(supplementary figure @@N). 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rsidR="008579AE">
        <w:t>recombination within each</w:t>
      </w:r>
      <w:r>
        <w:t xml:space="preserve"> cross; a tool for browsing the genome, allowing the location of variants to </w:t>
      </w:r>
      <w:r w:rsidR="00FC2174">
        <w:t xml:space="preserve">be </w:t>
      </w:r>
      <w:r>
        <w:t xml:space="preserve">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884746">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884746">
        <w:fldChar w:fldCharType="separate"/>
      </w:r>
      <w:r w:rsidR="006C6A25" w:rsidRPr="006C6A25">
        <w:rPr>
          <w:noProof/>
        </w:rPr>
        <w:t>(Manske &amp; Kwiatkowski 2009)</w:t>
      </w:r>
      <w:r w:rsidR="00884746">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1"/>
      </w:r>
      <w:r>
        <w:t xml:space="preserve"> that will be described in detail elsewhere.</w:t>
      </w:r>
    </w:p>
    <w:p w:rsidR="009E1600" w:rsidRDefault="009E1600" w:rsidP="009E1600">
      <w:pPr>
        <w:pStyle w:val="Heading2"/>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097BD4" w:rsidP="009E1600"/>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w:t>
      </w:r>
      <w:r w:rsidR="00E224EF">
        <w:lastRenderedPageBreak/>
        <w:t xml:space="preserve">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884746">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884746">
        <w:fldChar w:fldCharType="separate"/>
      </w:r>
      <w:r w:rsidR="00114AB5" w:rsidRPr="00114AB5">
        <w:rPr>
          <w:noProof/>
        </w:rPr>
        <w:t>(Gardner et al. 2002; DePristo et al. 2006; Zilversmit et al. 2010; Muralidharan &amp; Goldberg 2013)</w:t>
      </w:r>
      <w:r w:rsidR="00884746">
        <w:fldChar w:fldCharType="end"/>
      </w:r>
      <w:r w:rsidR="00943113">
        <w:t xml:space="preserve"> and </w:t>
      </w:r>
      <w:r w:rsidR="00381C07">
        <w:t xml:space="preserve">the evidence that replication slippage causes high variability in </w:t>
      </w:r>
      <w:r w:rsidR="00943113">
        <w:t xml:space="preserve">short tandem repeats </w:t>
      </w:r>
      <w:r w:rsidR="00884746">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884746">
        <w:fldChar w:fldCharType="separate"/>
      </w:r>
      <w:r w:rsidR="00114AB5" w:rsidRPr="00114AB5">
        <w:rPr>
          <w:noProof/>
        </w:rPr>
        <w:t>(Lovett 2004; Li et al. 2002; Tan et al. 2010)</w:t>
      </w:r>
      <w:r w:rsidR="00884746">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884746">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884746">
        <w:fldChar w:fldCharType="separate"/>
      </w:r>
      <w:r w:rsidR="007A13ED" w:rsidRPr="007A13ED">
        <w:rPr>
          <w:noProof/>
        </w:rPr>
        <w:t>(Mok et al. 2014)</w:t>
      </w:r>
      <w:r w:rsidR="00884746">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884746">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884746">
        <w:fldChar w:fldCharType="separate"/>
      </w:r>
      <w:r w:rsidR="00142C02" w:rsidRPr="00142C02">
        <w:rPr>
          <w:noProof/>
        </w:rPr>
        <w:t>(Price et al. 2004; Heinberg et al. 2013)</w:t>
      </w:r>
      <w:r w:rsidR="00884746">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884746">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884746">
        <w:fldChar w:fldCharType="separate"/>
      </w:r>
      <w:r w:rsidR="001301E2" w:rsidRPr="001301E2">
        <w:rPr>
          <w:noProof/>
        </w:rPr>
        <w:t>(Li et al. 2002; Anderson et al. 2009)</w:t>
      </w:r>
      <w:r w:rsidR="00884746">
        <w:fldChar w:fldCharType="end"/>
      </w:r>
      <w:r w:rsidR="00DF2176">
        <w:t xml:space="preserve">. </w:t>
      </w:r>
      <w:r w:rsidR="007A13ED">
        <w:t xml:space="preserve">In particular, short tandem repeat length variations within regulatory elements are known to affect gene activity across a number of species </w:t>
      </w:r>
      <w:r w:rsidR="00884746">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884746">
        <w:fldChar w:fldCharType="separate"/>
      </w:r>
      <w:r w:rsidR="007A13ED" w:rsidRPr="007A13ED">
        <w:rPr>
          <w:noProof/>
        </w:rPr>
        <w:t>(Li et al. 2002)</w:t>
      </w:r>
      <w:r w:rsidR="00884746">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884746">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884746">
        <w:fldChar w:fldCharType="separate"/>
      </w:r>
      <w:r w:rsidR="00622F1D" w:rsidRPr="00622F1D">
        <w:rPr>
          <w:noProof/>
        </w:rPr>
        <w:t>(Roy et al. 2008; Ferreira et al. 2003)</w:t>
      </w:r>
      <w:r w:rsidR="00884746">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884746">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884746">
        <w:fldChar w:fldCharType="separate"/>
      </w:r>
      <w:r w:rsidR="00EE0300" w:rsidRPr="00EE0300">
        <w:rPr>
          <w:noProof/>
        </w:rPr>
        <w:t>(Singh et al. 2009)</w:t>
      </w:r>
      <w:r w:rsidR="00884746">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884746">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884746">
        <w:fldChar w:fldCharType="separate"/>
      </w:r>
      <w:r w:rsidR="00DD329D" w:rsidRPr="00DD329D">
        <w:rPr>
          <w:noProof/>
        </w:rPr>
        <w:t>(Kidgell et al. 2006; Winter et al. 2005)</w:t>
      </w:r>
      <w:r w:rsidR="00884746">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w:t>
      </w:r>
      <w:r w:rsidR="009A32D6">
        <w:lastRenderedPageBreak/>
        <w:t xml:space="preserve">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884746">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884746">
        <w:fldChar w:fldCharType="separate"/>
      </w:r>
      <w:r w:rsidR="00622F1D" w:rsidRPr="00622F1D">
        <w:rPr>
          <w:noProof/>
        </w:rPr>
        <w:t>(Walliker et al. 1987)</w:t>
      </w:r>
      <w:r w:rsidR="00884746">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884746">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884746">
        <w:fldChar w:fldCharType="separate"/>
      </w:r>
      <w:r w:rsidR="00DF6A03" w:rsidRPr="00DF6A03">
        <w:rPr>
          <w:noProof/>
        </w:rPr>
        <w:t>(Su et al. 1999; Jiang et al. 2011)</w:t>
      </w:r>
      <w:r w:rsidR="00884746">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884746">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884746">
        <w:fldChar w:fldCharType="separate"/>
      </w:r>
      <w:r w:rsidR="00D5776C" w:rsidRPr="00D5776C">
        <w:rPr>
          <w:noProof/>
        </w:rPr>
        <w:t>(Mancera et al. 2008)</w:t>
      </w:r>
      <w:r w:rsidR="00884746">
        <w:fldChar w:fldCharType="end"/>
      </w:r>
      <w:r w:rsidR="002169DD">
        <w:t xml:space="preserve"> </w:t>
      </w:r>
      <w:r w:rsidR="00605B08">
        <w:t xml:space="preserve">but longer than humans </w:t>
      </w:r>
      <w:r w:rsidR="00884746">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884746">
        <w:fldChar w:fldCharType="separate"/>
      </w:r>
      <w:r w:rsidR="0076105D" w:rsidRPr="0076105D">
        <w:rPr>
          <w:noProof/>
        </w:rPr>
        <w:t>(Jeffreys &amp; May 2004)</w:t>
      </w:r>
      <w:r w:rsidR="00884746">
        <w:fldChar w:fldCharType="end"/>
      </w:r>
      <w:r w:rsidR="0076105D">
        <w:t xml:space="preserve"> </w:t>
      </w:r>
      <w:r w:rsidR="00605B08">
        <w:t xml:space="preserve">and </w:t>
      </w:r>
      <w:r w:rsidR="007A5FFB" w:rsidRPr="007A5FFB">
        <w:rPr>
          <w:i/>
        </w:rPr>
        <w:t>Drosophila</w:t>
      </w:r>
      <w:r w:rsidR="00605B08">
        <w:t xml:space="preserve"> </w:t>
      </w:r>
      <w:r w:rsidR="00884746">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84746">
        <w:fldChar w:fldCharType="separate"/>
      </w:r>
      <w:r w:rsidR="007A5FFB" w:rsidRPr="007A5FFB">
        <w:rPr>
          <w:noProof/>
        </w:rPr>
        <w:t>(Hilliker et al. 1994)</w:t>
      </w:r>
      <w:r w:rsidR="00884746">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884746">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884746">
        <w:fldChar w:fldCharType="separate"/>
      </w:r>
      <w:r w:rsidR="00E91A85" w:rsidRPr="00E91A85">
        <w:rPr>
          <w:noProof/>
        </w:rPr>
        <w:t>(Myers et al. 2005)</w:t>
      </w:r>
      <w:r w:rsidR="00884746">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884746">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84746">
        <w:fldChar w:fldCharType="separate"/>
      </w:r>
      <w:r w:rsidR="00E91A85" w:rsidRPr="00E91A85">
        <w:rPr>
          <w:noProof/>
        </w:rPr>
        <w:t>(Jiang et al. 2011)</w:t>
      </w:r>
      <w:r w:rsidR="00884746">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884746">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884746">
        <w:fldChar w:fldCharType="separate"/>
      </w:r>
      <w:r w:rsidR="0017234E" w:rsidRPr="0017234E">
        <w:rPr>
          <w:noProof/>
        </w:rPr>
        <w:t>(Claessens, Hamilton</w:t>
      </w:r>
      <w:r w:rsidR="0017234E">
        <w:rPr>
          <w:noProof/>
        </w:rPr>
        <w:t xml:space="preserve">, et al. </w:t>
      </w:r>
      <w:r w:rsidR="0017234E" w:rsidRPr="0017234E">
        <w:rPr>
          <w:noProof/>
        </w:rPr>
        <w:t>2014)</w:t>
      </w:r>
      <w:r w:rsidR="00884746">
        <w:fldChar w:fldCharType="end"/>
      </w:r>
      <w:r w:rsidR="00D329C7">
        <w:t xml:space="preserve">. </w:t>
      </w:r>
      <w:r w:rsidR="00414247">
        <w:t xml:space="preserve"> </w:t>
      </w:r>
      <w:r w:rsidR="0084749C">
        <w:t xml:space="preserve"> </w:t>
      </w:r>
    </w:p>
    <w:p w:rsidR="00DF4B94" w:rsidRDefault="006927BD" w:rsidP="006927BD">
      <w:r>
        <w:lastRenderedPageBreak/>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884746">
        <w:fldChar w:fldCharType="begin" w:fldLock="1"/>
      </w:r>
      <w:r w:rsidR="00E23718">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884746">
        <w:fldChar w:fldCharType="separate"/>
      </w:r>
      <w:r w:rsidR="00AC053E" w:rsidRPr="00AC053E">
        <w:rPr>
          <w:noProof/>
        </w:rPr>
        <w:t>(Price et al. 2004; Anderson et al. 2009; Nair et al. 2008; Kidgell et al. 2006; Heinberg et al. 2013; Triglia et al. 1991; Cowman et al. 1994)</w:t>
      </w:r>
      <w:r w:rsidR="00884746">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884746">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884746">
        <w:fldChar w:fldCharType="separate"/>
      </w:r>
      <w:r w:rsidR="00AC053E" w:rsidRPr="00AC053E">
        <w:rPr>
          <w:noProof/>
        </w:rPr>
        <w:t>(Samarakoon, Gonzales, et al. 2011)</w:t>
      </w:r>
      <w:r w:rsidR="00884746">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884746">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884746">
        <w:fldChar w:fldCharType="separate"/>
      </w:r>
      <w:r w:rsidR="008C5FF4" w:rsidRPr="008C5FF4">
        <w:rPr>
          <w:noProof/>
        </w:rPr>
        <w:t>(Kondrashov 2012; Anderson et al. 2009)</w:t>
      </w:r>
      <w:r w:rsidR="00884746">
        <w:fldChar w:fldCharType="end"/>
      </w:r>
      <w:r w:rsidR="00D329C7">
        <w:t xml:space="preserve"> and can also confer both resistance to one class of drugs and sensitivity to another</w:t>
      </w:r>
      <w:r w:rsidR="008C5FF4">
        <w:t xml:space="preserve"> </w:t>
      </w:r>
      <w:r w:rsidR="00884746">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884746">
        <w:fldChar w:fldCharType="separate"/>
      </w:r>
      <w:r w:rsidR="008C5FF4" w:rsidRPr="008C5FF4">
        <w:rPr>
          <w:noProof/>
        </w:rPr>
        <w:t>(Anderson et al. 2009)</w:t>
      </w:r>
      <w:r w:rsidR="00884746">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884746">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884746">
        <w:fldChar w:fldCharType="separate"/>
      </w:r>
      <w:r w:rsidR="008C5FF4" w:rsidRPr="008C5FF4">
        <w:rPr>
          <w:noProof/>
        </w:rPr>
        <w:t>(Nair et al. 2007)</w:t>
      </w:r>
      <w:r w:rsidR="00884746">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w:t>
      </w:r>
      <w:r w:rsidR="00D70420">
        <w:lastRenderedPageBreak/>
        <w:t xml:space="preserve">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884746">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884746">
        <w:fldChar w:fldCharType="separate"/>
      </w:r>
      <w:r w:rsidR="00457090" w:rsidRPr="00457090">
        <w:rPr>
          <w:noProof/>
        </w:rPr>
        <w:t>(Manske et al. 2012)</w:t>
      </w:r>
      <w:r w:rsidR="00884746">
        <w:fldChar w:fldCharType="end"/>
      </w:r>
      <w:r w:rsidR="00457090">
        <w:t xml:space="preserve"> </w:t>
      </w:r>
      <w:r>
        <w:t xml:space="preserve">except that the PCR-free method of library preparation as described in </w:t>
      </w:r>
      <w:r w:rsidR="0088474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884746">
        <w:fldChar w:fldCharType="separate"/>
      </w:r>
      <w:r w:rsidR="00457090" w:rsidRPr="00457090">
        <w:rPr>
          <w:noProof/>
        </w:rPr>
        <w:t>(Kozarewa et al. 2009)</w:t>
      </w:r>
      <w:r w:rsidR="00884746">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884746">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884746">
        <w:fldChar w:fldCharType="separate"/>
      </w:r>
      <w:r w:rsidR="00CD5EC1" w:rsidRPr="00CD5EC1">
        <w:rPr>
          <w:noProof/>
        </w:rPr>
        <w:t>(Li &amp; Durbin 2009)</w:t>
      </w:r>
      <w:r w:rsidR="00884746">
        <w:fldChar w:fldCharType="end"/>
      </w:r>
      <w:r w:rsidR="00CD5EC1">
        <w:t xml:space="preserve"> </w:t>
      </w:r>
      <w:r w:rsidR="00077681">
        <w:t xml:space="preserve">to align reads to the 3D7 version 3 reference genome, then applied GATK </w:t>
      </w:r>
      <w:r w:rsidR="00884746">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884746">
        <w:fldChar w:fldCharType="separate"/>
      </w:r>
      <w:r w:rsidR="00077681" w:rsidRPr="00077681">
        <w:rPr>
          <w:noProof/>
        </w:rPr>
        <w:t>(McKenna et al. 2010)</w:t>
      </w:r>
      <w:r w:rsidR="00884746">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884746">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884746">
        <w:fldChar w:fldCharType="separate"/>
      </w:r>
      <w:r w:rsidR="00077681" w:rsidRPr="00077681">
        <w:rPr>
          <w:noProof/>
        </w:rPr>
        <w:t>(DePristo et al. 2011; Van der Auwera et al. 2002)</w:t>
      </w:r>
      <w:r w:rsidR="00884746">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88474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884746">
        <w:fldChar w:fldCharType="separate"/>
      </w:r>
      <w:r w:rsidR="00CD5EC1" w:rsidRPr="00CD5EC1">
        <w:rPr>
          <w:noProof/>
        </w:rPr>
        <w:t>(Iqbal et al. 2012)</w:t>
      </w:r>
      <w:r w:rsidR="00884746">
        <w:fldChar w:fldCharType="end"/>
      </w:r>
      <w:r w:rsidR="00536C74">
        <w:t xml:space="preserve"> following the </w:t>
      </w:r>
      <w:r w:rsidR="00536C74">
        <w:lastRenderedPageBreak/>
        <w:t>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BE0BCD">
        <w:t>inheritance</w:t>
      </w:r>
      <w:r w:rsidR="00502205">
        <w:t xml:space="preserv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9E1600" w:rsidRDefault="009E1600" w:rsidP="009E1600">
      <w:pPr>
        <w:pStyle w:val="Heading2"/>
      </w:pPr>
      <w:r>
        <w:lastRenderedPageBreak/>
        <w:t>References</w:t>
      </w:r>
    </w:p>
    <w:p w:rsidR="00355A44" w:rsidRPr="00355A44" w:rsidRDefault="00884746">
      <w:pPr>
        <w:pStyle w:val="NormalWeb"/>
        <w:ind w:left="480" w:hanging="480"/>
        <w:divId w:val="965045760"/>
        <w:rPr>
          <w:rFonts w:ascii="Calibri" w:hAnsi="Calibri"/>
          <w:noProof/>
          <w:sz w:val="22"/>
        </w:rPr>
      </w:pPr>
      <w:r>
        <w:fldChar w:fldCharType="begin" w:fldLock="1"/>
      </w:r>
      <w:r w:rsidR="00CB6C32">
        <w:instrText xml:space="preserve">ADDIN Mendeley Bibliography CSL_BIBLIOGRAPHY </w:instrText>
      </w:r>
      <w:r>
        <w:fldChar w:fldCharType="separate"/>
      </w:r>
      <w:r w:rsidR="00355A44" w:rsidRPr="00355A44">
        <w:rPr>
          <w:rFonts w:ascii="Calibri" w:hAnsi="Calibri"/>
          <w:noProof/>
          <w:sz w:val="22"/>
        </w:rPr>
        <w:t xml:space="preserve">Abecasis, G.R. et al., 2012. An integrated map of genetic variation from 1,092 human genomes. </w:t>
      </w:r>
      <w:r w:rsidR="00355A44" w:rsidRPr="00355A44">
        <w:rPr>
          <w:rFonts w:ascii="Calibri" w:hAnsi="Calibri"/>
          <w:i/>
          <w:iCs/>
          <w:noProof/>
          <w:sz w:val="22"/>
        </w:rPr>
        <w:t>Nature</w:t>
      </w:r>
      <w:r w:rsidR="00355A44" w:rsidRPr="00355A44">
        <w:rPr>
          <w:rFonts w:ascii="Calibri" w:hAnsi="Calibri"/>
          <w:noProof/>
          <w:sz w:val="22"/>
        </w:rPr>
        <w:t>, 491(7422), pp.56–65. Available at: http://dx.doi.org/10.1038/nature11632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Anderson, T.J.C., Patel, J. &amp; Ferdig, M.T., 2009. Gene copy number and malaria biology. </w:t>
      </w:r>
      <w:r w:rsidRPr="00355A44">
        <w:rPr>
          <w:rFonts w:ascii="Calibri" w:hAnsi="Calibri"/>
          <w:i/>
          <w:iCs/>
          <w:noProof/>
          <w:sz w:val="22"/>
        </w:rPr>
        <w:t>Trends in parasitology</w:t>
      </w:r>
      <w:r w:rsidRPr="00355A44">
        <w:rPr>
          <w:rFonts w:ascii="Calibri" w:hAnsi="Calibri"/>
          <w:noProof/>
          <w:sz w:val="22"/>
        </w:rPr>
        <w:t>, 25(7), pp.336–43. Available at: http://www.pubmedcentral.nih.gov/articlerender.fcgi?artid=2839409&amp;tool=pmcentrez&amp;rendertype=abstract [Accessed November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355A44">
        <w:rPr>
          <w:rFonts w:ascii="Calibri" w:hAnsi="Calibri"/>
          <w:i/>
          <w:iCs/>
          <w:noProof/>
          <w:sz w:val="22"/>
        </w:rPr>
        <w:t>PLoS genetics</w:t>
      </w:r>
      <w:r w:rsidRPr="00355A44">
        <w:rPr>
          <w:rFonts w:ascii="Calibri" w:hAnsi="Calibri"/>
          <w:noProof/>
          <w:sz w:val="22"/>
        </w:rPr>
        <w:t>.</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Ariey, F. et al., 2014. A molecular marker of artemisinin-resistant Plasmodium falciparum malaria. </w:t>
      </w:r>
      <w:r w:rsidRPr="00355A44">
        <w:rPr>
          <w:rFonts w:ascii="Calibri" w:hAnsi="Calibri"/>
          <w:i/>
          <w:iCs/>
          <w:noProof/>
          <w:sz w:val="22"/>
        </w:rPr>
        <w:t>Nature</w:t>
      </w:r>
      <w:r w:rsidRPr="00355A44">
        <w:rPr>
          <w:rFonts w:ascii="Calibri" w:hAnsi="Calibri"/>
          <w:noProof/>
          <w:sz w:val="22"/>
        </w:rPr>
        <w:t>, 505(7481), pp.50–5. Available at: http://www.ncbi.nlm.nih.gov/pubmed/24352242 [Accessed July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Ashley, E.A. et al., 2014. Spread of Artemisinin Resistance in Plasmodium falciparum Malaria. </w:t>
      </w:r>
      <w:r w:rsidRPr="00355A44">
        <w:rPr>
          <w:rFonts w:ascii="Calibri" w:hAnsi="Calibri"/>
          <w:i/>
          <w:iCs/>
          <w:noProof/>
          <w:sz w:val="22"/>
        </w:rPr>
        <w:t>New England Journal of Medicine</w:t>
      </w:r>
      <w:r w:rsidRPr="00355A44">
        <w:rPr>
          <w:rFonts w:ascii="Calibri" w:hAnsi="Calibri"/>
          <w:noProof/>
          <w:sz w:val="22"/>
        </w:rPr>
        <w:t>, 371(5), pp.411–423. Available at: http://www.ncbi.nlm.nih.gov/pubmed/25075834 [Accessed July 31,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Van der Auwera, G.A. et al., 2002. </w:t>
      </w:r>
      <w:r w:rsidRPr="00355A44">
        <w:rPr>
          <w:rFonts w:ascii="Calibri" w:hAnsi="Calibri"/>
          <w:i/>
          <w:iCs/>
          <w:noProof/>
          <w:sz w:val="22"/>
        </w:rPr>
        <w:t>Current Protocols in Bioinformatics</w:t>
      </w:r>
      <w:r w:rsidRPr="00355A44">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Baudat, F. &amp; de Massy, B., 2007. Regulating double-stranded DNA break repair towards crossover or non-crossover during mammalian meiosis. </w:t>
      </w:r>
      <w:r w:rsidRPr="00355A44">
        <w:rPr>
          <w:rFonts w:ascii="Calibri" w:hAnsi="Calibri"/>
          <w:i/>
          <w:iCs/>
          <w:noProof/>
          <w:sz w:val="22"/>
        </w:rPr>
        <w:t>Chromosome research : an international journal on the molecular, supramolecular and evolutionary aspects of chromosome biology</w:t>
      </w:r>
      <w:r w:rsidRPr="00355A44">
        <w:rPr>
          <w:rFonts w:ascii="Calibri" w:hAnsi="Calibri"/>
          <w:noProof/>
          <w:sz w:val="22"/>
        </w:rPr>
        <w:t>, 15(5), pp.565–77. Available at: http://www.ncbi.nlm.nih.gov/pubmed/17674146 [Accessed December 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Birren, B. et al., 2006. Plasmodium falciparum HB3, whole genome shotgun sequencing project.</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Bopp, S.E.R. et al., 2013. Mitotic evolution of Plasmodium falciparum shows a stable core genome but recombination in antigen families. N. Maizels, ed. </w:t>
      </w:r>
      <w:r w:rsidRPr="00355A44">
        <w:rPr>
          <w:rFonts w:ascii="Calibri" w:hAnsi="Calibri"/>
          <w:i/>
          <w:iCs/>
          <w:noProof/>
          <w:sz w:val="22"/>
        </w:rPr>
        <w:t>PLoS genetics</w:t>
      </w:r>
      <w:r w:rsidRPr="00355A44">
        <w:rPr>
          <w:rFonts w:ascii="Calibri" w:hAnsi="Calibri"/>
          <w:noProof/>
          <w:sz w:val="22"/>
        </w:rPr>
        <w:t>, 9(2), p.e1003293. Available at: http://dx.plos.org/10.1371/journal.pgen.1003293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Brick, K., Watanabe, J. &amp; Pizzi, E., 2008. Core promoters are predicted by their distinct physicochemical properties in the genome of Plasmodium falciparum. </w:t>
      </w:r>
      <w:r w:rsidRPr="00355A44">
        <w:rPr>
          <w:rFonts w:ascii="Calibri" w:hAnsi="Calibri"/>
          <w:i/>
          <w:iCs/>
          <w:noProof/>
          <w:sz w:val="22"/>
        </w:rPr>
        <w:t>Genome biology</w:t>
      </w:r>
      <w:r w:rsidRPr="00355A44">
        <w:rPr>
          <w:rFonts w:ascii="Calibri" w:hAnsi="Calibri"/>
          <w:noProof/>
          <w:sz w:val="22"/>
        </w:rPr>
        <w:t>, 9(12), p.R178. Available at: http://genomebiology.com/2008/9/12/R178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Chung, W.Y. et al., 2007. The CLAG/RhopH1 locus on chromosome 3 of Plasmodium falciparum: two genes or two alleles of the same gene? </w:t>
      </w:r>
      <w:r w:rsidRPr="00355A44">
        <w:rPr>
          <w:rFonts w:ascii="Calibri" w:hAnsi="Calibri"/>
          <w:i/>
          <w:iCs/>
          <w:noProof/>
          <w:sz w:val="22"/>
        </w:rPr>
        <w:t>Molecular and biochemical parasitology</w:t>
      </w:r>
      <w:r w:rsidRPr="00355A44">
        <w:rPr>
          <w:rFonts w:ascii="Calibri" w:hAnsi="Calibri"/>
          <w:noProof/>
          <w:sz w:val="22"/>
        </w:rPr>
        <w:t>, 151(2), pp.229–32. Available at: http://www.ncbi.nlm.nih.gov/pubmed/17166605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Cowman, A.F., Galatis, D. &amp; Thompson, J.K., 1994. Selection for mefloquine resistance in Plasmodium falciparum is linked to amplification of the pfmdr1 gene and cross-resistance to halofantrine and quinine. </w:t>
      </w:r>
      <w:r w:rsidRPr="00355A44">
        <w:rPr>
          <w:rFonts w:ascii="Calibri" w:hAnsi="Calibri"/>
          <w:i/>
          <w:iCs/>
          <w:noProof/>
          <w:sz w:val="22"/>
        </w:rPr>
        <w:t>Proceedings of the National Academy of Sciences of the United States of America</w:t>
      </w:r>
      <w:r w:rsidRPr="00355A44">
        <w:rPr>
          <w:rFonts w:ascii="Calibri" w:hAnsi="Calibri"/>
          <w:noProof/>
          <w:sz w:val="22"/>
        </w:rPr>
        <w:t>, 91(3), pp.1143–7. Available at: http://www.pubmedcentral.nih.gov/articlerender.fcgi?artid=521470&amp;tool=pmcentrez&amp;rendertype=abstract [Accessed November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DePristo, M.A. et al., 2011. A framework for variation discovery and genotyping using next-generation DNA sequencing data. </w:t>
      </w:r>
      <w:r w:rsidRPr="00355A44">
        <w:rPr>
          <w:rFonts w:ascii="Calibri" w:hAnsi="Calibri"/>
          <w:i/>
          <w:iCs/>
          <w:noProof/>
          <w:sz w:val="22"/>
        </w:rPr>
        <w:t>Nature genetics</w:t>
      </w:r>
      <w:r w:rsidRPr="00355A44">
        <w:rPr>
          <w:rFonts w:ascii="Calibri" w:hAnsi="Calibri"/>
          <w:noProof/>
          <w:sz w:val="22"/>
        </w:rPr>
        <w:t>, 43(5), pp.491–8. Available at: http://www.pubmedcentral.nih.gov/articlerender.fcgi?artid=3083463&amp;tool=pmcentrez&amp;rendertype=abstract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DePristo, M.A., Zilversmit, M.M. &amp; Hartl, D.L., 2006. On the abundance, amino acid composition, and evolutionary dynamics of low-complexity regions in proteins. </w:t>
      </w:r>
      <w:r w:rsidRPr="00355A44">
        <w:rPr>
          <w:rFonts w:ascii="Calibri" w:hAnsi="Calibri"/>
          <w:i/>
          <w:iCs/>
          <w:noProof/>
          <w:sz w:val="22"/>
        </w:rPr>
        <w:t>Gene</w:t>
      </w:r>
      <w:r w:rsidRPr="00355A44">
        <w:rPr>
          <w:rFonts w:ascii="Calibri" w:hAnsi="Calibri"/>
          <w:noProof/>
          <w:sz w:val="22"/>
        </w:rPr>
        <w:t>, 378, pp.19–30. Available at: http://www.ncbi.nlm.nih.gov/pubmed/16806741 [Accessed November 3,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Ferreira, M.U. et al., 2003. Sequence diversity and evolution of the malaria vaccine candidate merozoite surface protein-1 (MSP-1) of Plasmodium falciparum. </w:t>
      </w:r>
      <w:r w:rsidRPr="00355A44">
        <w:rPr>
          <w:rFonts w:ascii="Calibri" w:hAnsi="Calibri"/>
          <w:i/>
          <w:iCs/>
          <w:noProof/>
          <w:sz w:val="22"/>
        </w:rPr>
        <w:t>Gene</w:t>
      </w:r>
      <w:r w:rsidRPr="00355A44">
        <w:rPr>
          <w:rFonts w:ascii="Calibri" w:hAnsi="Calibri"/>
          <w:noProof/>
          <w:sz w:val="22"/>
        </w:rPr>
        <w:t>, 304, pp.65–75. Available at: http://www.ncbi.nlm.nih.gov/pubmed/12568716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Flueck, C. et al., 2009. Plasmodium falciparum heterochromatin protein 1 marks genomic loci linked to phenotypic variation of exported virulence factors. </w:t>
      </w:r>
      <w:r w:rsidRPr="00355A44">
        <w:rPr>
          <w:rFonts w:ascii="Calibri" w:hAnsi="Calibri"/>
          <w:i/>
          <w:iCs/>
          <w:noProof/>
          <w:sz w:val="22"/>
        </w:rPr>
        <w:t>PLoS pathogens</w:t>
      </w:r>
      <w:r w:rsidRPr="00355A44">
        <w:rPr>
          <w:rFonts w:ascii="Calibri" w:hAnsi="Calibri"/>
          <w:noProof/>
          <w:sz w:val="22"/>
        </w:rPr>
        <w:t>, 5(9), p.e1000569. Available at: http://www.pubmedcentral.nih.gov/articlerender.fcgi?artid=2731224&amp;tool=pmcentrez&amp;rendertype=abstract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Freitas-Junior, L.H. et al., 2000. Frequent ectopic recombination of virulence factor genes in telomeric chromosome clusters of P. falciparum. </w:t>
      </w:r>
      <w:r w:rsidRPr="00355A44">
        <w:rPr>
          <w:rFonts w:ascii="Calibri" w:hAnsi="Calibri"/>
          <w:i/>
          <w:iCs/>
          <w:noProof/>
          <w:sz w:val="22"/>
        </w:rPr>
        <w:t>Nature</w:t>
      </w:r>
      <w:r w:rsidRPr="00355A44">
        <w:rPr>
          <w:rFonts w:ascii="Calibri" w:hAnsi="Calibri"/>
          <w:noProof/>
          <w:sz w:val="22"/>
        </w:rPr>
        <w:t>, 407(6807), pp.1018–22. Available at: http://www.ncbi.nlm.nih.gov/pubmed/11069183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Gardner, M.J. et al., 2002. Genome sequence of the human malaria parasite Plasmodium falciparum. </w:t>
      </w:r>
      <w:r w:rsidRPr="00355A44">
        <w:rPr>
          <w:rFonts w:ascii="Calibri" w:hAnsi="Calibri"/>
          <w:i/>
          <w:iCs/>
          <w:noProof/>
          <w:sz w:val="22"/>
        </w:rPr>
        <w:t>Nature</w:t>
      </w:r>
      <w:r w:rsidRPr="00355A44">
        <w:rPr>
          <w:rFonts w:ascii="Calibri" w:hAnsi="Calibri"/>
          <w:noProof/>
          <w:sz w:val="22"/>
        </w:rPr>
        <w:t>, 419(6906), pp.498–511. Available at: http://www.pubmedcentral.nih.gov/articlerender.fcgi?artid=3836256&amp;tool=pmcentrez&amp;rendertype=abstract [Accessed October 22,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Gonzales, J.M. et al., 2008. Regulatory hotspots in the malaria parasite genome dictate transcriptional variation. </w:t>
      </w:r>
      <w:r w:rsidRPr="00355A44">
        <w:rPr>
          <w:rFonts w:ascii="Calibri" w:hAnsi="Calibri"/>
          <w:i/>
          <w:iCs/>
          <w:noProof/>
          <w:sz w:val="22"/>
        </w:rPr>
        <w:t>PLoS biology</w:t>
      </w:r>
      <w:r w:rsidRPr="00355A44">
        <w:rPr>
          <w:rFonts w:ascii="Calibri" w:hAnsi="Calibri"/>
          <w:noProof/>
          <w:sz w:val="22"/>
        </w:rPr>
        <w:t>, 6(9), p.e238. Available at: http://www.pubmedcentral.nih.gov/articlerender.fcgi?artid=2553844&amp;tool=pmcentrez&amp;rendertype=abstract [Accessed November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Haerty, W. &amp; Golding, G.B., 2011. Increased polymorphism near low-complexity sequences across the genomes of Plasmodium falciparum isolates. </w:t>
      </w:r>
      <w:r w:rsidRPr="00355A44">
        <w:rPr>
          <w:rFonts w:ascii="Calibri" w:hAnsi="Calibri"/>
          <w:i/>
          <w:iCs/>
          <w:noProof/>
          <w:sz w:val="22"/>
        </w:rPr>
        <w:t>Genome biology and evolution</w:t>
      </w:r>
      <w:r w:rsidRPr="00355A44">
        <w:rPr>
          <w:rFonts w:ascii="Calibri" w:hAnsi="Calibri"/>
          <w:noProof/>
          <w:sz w:val="22"/>
        </w:rPr>
        <w:t>, 3, pp.539–50. Available at: http://www.pubmedcentral.nih.gov/articlerender.fcgi?artid=3140889&amp;tool=pmcentrez&amp;rendertype=abstract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Hastings, P.J., 1992. Mechanism and control of recombination in fungi. </w:t>
      </w:r>
      <w:r w:rsidRPr="00355A44">
        <w:rPr>
          <w:rFonts w:ascii="Calibri" w:hAnsi="Calibri"/>
          <w:i/>
          <w:iCs/>
          <w:noProof/>
          <w:sz w:val="22"/>
        </w:rPr>
        <w:t>Mutation research</w:t>
      </w:r>
      <w:r w:rsidRPr="00355A44">
        <w:rPr>
          <w:rFonts w:ascii="Calibri" w:hAnsi="Calibri"/>
          <w:noProof/>
          <w:sz w:val="22"/>
        </w:rPr>
        <w:t>, 284(1), pp.97–110. Available at: http://www.ncbi.nlm.nih.gov/pubmed/1279396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Hayton, K. et al., 2008. Erythrocyte binding protein PfRH5 polymorphisms determine species-specific pathways of Plasmodium falciparum invasion. </w:t>
      </w:r>
      <w:r w:rsidRPr="00355A44">
        <w:rPr>
          <w:rFonts w:ascii="Calibri" w:hAnsi="Calibri"/>
          <w:i/>
          <w:iCs/>
          <w:noProof/>
          <w:sz w:val="22"/>
        </w:rPr>
        <w:t>Cell host &amp; microbe</w:t>
      </w:r>
      <w:r w:rsidRPr="00355A44">
        <w:rPr>
          <w:rFonts w:ascii="Calibri" w:hAnsi="Calibri"/>
          <w:noProof/>
          <w:sz w:val="22"/>
        </w:rPr>
        <w:t>, 4(1), pp.40–51. Available at: http://www.pubmedcentral.nih.gov/articlerender.fcgi?artid=2677973&amp;tool=pmcentrez&amp;rendertype=abstract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Heinberg, A. et al., 2013. Direct evidence for the adaptive role of copy number variation on antifolate susceptibility in Plasmodium falciparum. </w:t>
      </w:r>
      <w:r w:rsidRPr="00355A44">
        <w:rPr>
          <w:rFonts w:ascii="Calibri" w:hAnsi="Calibri"/>
          <w:i/>
          <w:iCs/>
          <w:noProof/>
          <w:sz w:val="22"/>
        </w:rPr>
        <w:t>Molecular microbiology</w:t>
      </w:r>
      <w:r w:rsidRPr="00355A44">
        <w:rPr>
          <w:rFonts w:ascii="Calibri" w:hAnsi="Calibri"/>
          <w:noProof/>
          <w:sz w:val="22"/>
        </w:rPr>
        <w:t>, 88(4), pp.702–12. Available at: http://www.pubmedcentral.nih.gov/articlerender.fcgi?artid=3654098&amp;tool=pmcentrez&amp;rendertype=abstract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Hilliker, A.J. et al., 1994. Meiotic gene conversion tract length distribution within the rosy locus of Drosophila melanogaster. </w:t>
      </w:r>
      <w:r w:rsidRPr="00355A44">
        <w:rPr>
          <w:rFonts w:ascii="Calibri" w:hAnsi="Calibri"/>
          <w:i/>
          <w:iCs/>
          <w:noProof/>
          <w:sz w:val="22"/>
        </w:rPr>
        <w:t>Genetics</w:t>
      </w:r>
      <w:r w:rsidRPr="00355A44">
        <w:rPr>
          <w:rFonts w:ascii="Calibri" w:hAnsi="Calibri"/>
          <w:noProof/>
          <w:sz w:val="22"/>
        </w:rPr>
        <w:t>, 137(4), pp.1019–26. Available at: http://www.pubmedcentral.nih.gov/articlerender.fcgi?artid=1206049&amp;tool=pmcentrez&amp;rendertype=abstract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Hinterberg, K. et al., 1994. Interchromosomal exchange of a large subtelomeric segment in a Plasmodium falciparum cross. </w:t>
      </w:r>
      <w:r w:rsidRPr="00355A44">
        <w:rPr>
          <w:rFonts w:ascii="Calibri" w:hAnsi="Calibri"/>
          <w:i/>
          <w:iCs/>
          <w:noProof/>
          <w:sz w:val="22"/>
        </w:rPr>
        <w:t>The EMBO journal</w:t>
      </w:r>
      <w:r w:rsidRPr="00355A44">
        <w:rPr>
          <w:rFonts w:ascii="Calibri" w:hAnsi="Calibri"/>
          <w:noProof/>
          <w:sz w:val="22"/>
        </w:rPr>
        <w:t>, 13(17), pp.4174–80. Available at: http://www.pubmedcentral.nih.gov/articlerender.fcgi?artid=395340&amp;tool=pmcentrez&amp;rendertype=abstract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Iqbal, Z. et al., 2012. De novo assembly and genotyping of variants using colored de Bruijn graphs. </w:t>
      </w:r>
      <w:r w:rsidRPr="00355A44">
        <w:rPr>
          <w:rFonts w:ascii="Calibri" w:hAnsi="Calibri"/>
          <w:i/>
          <w:iCs/>
          <w:noProof/>
          <w:sz w:val="22"/>
        </w:rPr>
        <w:t>Nature genetics</w:t>
      </w:r>
      <w:r w:rsidRPr="00355A44">
        <w:rPr>
          <w:rFonts w:ascii="Calibri" w:hAnsi="Calibri"/>
          <w:noProof/>
          <w:sz w:val="22"/>
        </w:rPr>
        <w:t>, 44(2), pp.226–32. Available at: http://dx.doi.org/10.1038/ng.1028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Iriko, H. et al., 2008. Diversity and evolution of the rhoph1/clag multigene family of Plasmodium falciparum. </w:t>
      </w:r>
      <w:r w:rsidRPr="00355A44">
        <w:rPr>
          <w:rFonts w:ascii="Calibri" w:hAnsi="Calibri"/>
          <w:i/>
          <w:iCs/>
          <w:noProof/>
          <w:sz w:val="22"/>
        </w:rPr>
        <w:t>Molecular and biochemical parasitology</w:t>
      </w:r>
      <w:r w:rsidRPr="00355A44">
        <w:rPr>
          <w:rFonts w:ascii="Calibri" w:hAnsi="Calibri"/>
          <w:noProof/>
          <w:sz w:val="22"/>
        </w:rPr>
        <w:t>, 158(1), pp.11–21. Available at: http://www.pubmedcentral.nih.gov/articlerender.fcgi?artid=2268843&amp;tool=pmcentrez&amp;rendertype=abstract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Jeffares, D.C. et al., 2007. Genome variation and evolution of the malaria parasite Plasmodium falciparum. </w:t>
      </w:r>
      <w:r w:rsidRPr="00355A44">
        <w:rPr>
          <w:rFonts w:ascii="Calibri" w:hAnsi="Calibri"/>
          <w:i/>
          <w:iCs/>
          <w:noProof/>
          <w:sz w:val="22"/>
        </w:rPr>
        <w:t>Nature genetics</w:t>
      </w:r>
      <w:r w:rsidRPr="00355A44">
        <w:rPr>
          <w:rFonts w:ascii="Calibri" w:hAnsi="Calibri"/>
          <w:noProof/>
          <w:sz w:val="22"/>
        </w:rPr>
        <w:t>, 39(1), pp.120–5. Available at: http://www.pubmedcentral.nih.gov/articlerender.fcgi?artid=2663918&amp;tool=pmcentrez&amp;rendertype=abstract [Accessed November 13,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Jeffreys, A.J. &amp; May, C.A., 2004. Intense and highly localized gene conversion activity in human meiotic crossover hot spots. </w:t>
      </w:r>
      <w:r w:rsidRPr="00355A44">
        <w:rPr>
          <w:rFonts w:ascii="Calibri" w:hAnsi="Calibri"/>
          <w:i/>
          <w:iCs/>
          <w:noProof/>
          <w:sz w:val="22"/>
        </w:rPr>
        <w:t>Nature genetics</w:t>
      </w:r>
      <w:r w:rsidRPr="00355A44">
        <w:rPr>
          <w:rFonts w:ascii="Calibri" w:hAnsi="Calibri"/>
          <w:noProof/>
          <w:sz w:val="22"/>
        </w:rPr>
        <w:t>, 36(2), pp.151–6. Available at: http://www.ncbi.nlm.nih.gov/pubmed/14704667 [Accessed December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Jiang, H. et al., 2011. High recombination rates and hotspots in a Plasmodium falciparum genetic cross. </w:t>
      </w:r>
      <w:r w:rsidRPr="00355A44">
        <w:rPr>
          <w:rFonts w:ascii="Calibri" w:hAnsi="Calibri"/>
          <w:i/>
          <w:iCs/>
          <w:noProof/>
          <w:sz w:val="22"/>
        </w:rPr>
        <w:t>Genome biology</w:t>
      </w:r>
      <w:r w:rsidRPr="00355A44">
        <w:rPr>
          <w:rFonts w:ascii="Calibri" w:hAnsi="Calibri"/>
          <w:noProof/>
          <w:sz w:val="22"/>
        </w:rPr>
        <w:t>, 12(4), p.R33. Available at: http://genomebiology.com/2011/12/4/R33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Kerr, P.J., Ranford-Cartwright, L.C. &amp; Walliker, D., 1994. Proof of intragenic recombination in Plasmodium falciparum. </w:t>
      </w:r>
      <w:r w:rsidRPr="00355A44">
        <w:rPr>
          <w:rFonts w:ascii="Calibri" w:hAnsi="Calibri"/>
          <w:i/>
          <w:iCs/>
          <w:noProof/>
          <w:sz w:val="22"/>
        </w:rPr>
        <w:t>Molecular and biochemical parasitology</w:t>
      </w:r>
      <w:r w:rsidRPr="00355A44">
        <w:rPr>
          <w:rFonts w:ascii="Calibri" w:hAnsi="Calibri"/>
          <w:noProof/>
          <w:sz w:val="22"/>
        </w:rPr>
        <w:t>, 66(2), pp.241–8. Available at: http://www.ncbi.nlm.nih.gov/pubmed/7808474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Kidgell, C. et al., 2006. A systematic map of genetic variation in Plasmodium falciparum. </w:t>
      </w:r>
      <w:r w:rsidRPr="00355A44">
        <w:rPr>
          <w:rFonts w:ascii="Calibri" w:hAnsi="Calibri"/>
          <w:i/>
          <w:iCs/>
          <w:noProof/>
          <w:sz w:val="22"/>
        </w:rPr>
        <w:t>PLoS pathogens</w:t>
      </w:r>
      <w:r w:rsidRPr="00355A44">
        <w:rPr>
          <w:rFonts w:ascii="Calibri" w:hAnsi="Calibri"/>
          <w:noProof/>
          <w:sz w:val="22"/>
        </w:rPr>
        <w:t>, 2(6), p.e57. Available at: http://www.pubmedcentral.nih.gov/articlerender.fcgi?artid=1480597&amp;tool=pmcentrez&amp;rendertype=abstract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Kondrashov, F.A., 2012. Gene duplication as a mechanism of genomic adaptation to a changing environment. </w:t>
      </w:r>
      <w:r w:rsidRPr="00355A44">
        <w:rPr>
          <w:rFonts w:ascii="Calibri" w:hAnsi="Calibri"/>
          <w:i/>
          <w:iCs/>
          <w:noProof/>
          <w:sz w:val="22"/>
        </w:rPr>
        <w:t>Proceedings. Biological sciences / The Royal Society</w:t>
      </w:r>
      <w:r w:rsidRPr="00355A44">
        <w:rPr>
          <w:rFonts w:ascii="Calibri" w:hAnsi="Calibri"/>
          <w:noProof/>
          <w:sz w:val="22"/>
        </w:rPr>
        <w:t>, 279(1749), pp.5048–57. Available at: http://www.pubmedcentral.nih.gov/articlerender.fcgi?artid=3497230&amp;tool=pmcentrez&amp;rendertype=abstract [Accessed November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Kozarewa, I. et al., 2009. Amplification-free Illumina sequencing-library preparation facilitates improved mapping and assembly of (G+C)-biased genomes. </w:t>
      </w:r>
      <w:r w:rsidRPr="00355A44">
        <w:rPr>
          <w:rFonts w:ascii="Calibri" w:hAnsi="Calibri"/>
          <w:i/>
          <w:iCs/>
          <w:noProof/>
          <w:sz w:val="22"/>
        </w:rPr>
        <w:t>Nature methods</w:t>
      </w:r>
      <w:r w:rsidRPr="00355A44">
        <w:rPr>
          <w:rFonts w:ascii="Calibri" w:hAnsi="Calibri"/>
          <w:noProof/>
          <w:sz w:val="22"/>
        </w:rPr>
        <w:t>, 6(4), pp.291–5. Available at: http://dx.doi.org/10.1038/nmeth.1311 [Accessed October 31,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Lasonder, E. et al., 2008. Proteomic profiling of Plasmodium sporozoite maturation identifies new proteins essential for parasite development and infectivity. D. E. Goldberg, ed. </w:t>
      </w:r>
      <w:r w:rsidRPr="00355A44">
        <w:rPr>
          <w:rFonts w:ascii="Calibri" w:hAnsi="Calibri"/>
          <w:i/>
          <w:iCs/>
          <w:noProof/>
          <w:sz w:val="22"/>
        </w:rPr>
        <w:t>PLoS pathogens</w:t>
      </w:r>
      <w:r w:rsidRPr="00355A44">
        <w:rPr>
          <w:rFonts w:ascii="Calibri" w:hAnsi="Calibri"/>
          <w:noProof/>
          <w:sz w:val="22"/>
        </w:rPr>
        <w:t>, 4(10), p.e1000195. Available at: http://dx.plos.org/10.1371/journal.ppat.1000195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Li, H. &amp; Durbin, R., 2009. Fast and accurate short read alignment with Burrows-Wheeler transform. </w:t>
      </w:r>
      <w:r w:rsidRPr="00355A44">
        <w:rPr>
          <w:rFonts w:ascii="Calibri" w:hAnsi="Calibri"/>
          <w:i/>
          <w:iCs/>
          <w:noProof/>
          <w:sz w:val="22"/>
        </w:rPr>
        <w:t>Bioinformatics (Oxford, England)</w:t>
      </w:r>
      <w:r w:rsidRPr="00355A44">
        <w:rPr>
          <w:rFonts w:ascii="Calibri" w:hAnsi="Calibri"/>
          <w:noProof/>
          <w:sz w:val="22"/>
        </w:rPr>
        <w:t>, 25(14), pp.1754–60. Available at: http://www.pubmedcentral.nih.gov/articlerender.fcgi?artid=2705234&amp;tool=pmcentrez&amp;rendertype=abstract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Li, Y.-C. et al., 2002. Microsatellites: genomic distribution, putative functions and mutational mechanisms: a review. </w:t>
      </w:r>
      <w:r w:rsidRPr="00355A44">
        <w:rPr>
          <w:rFonts w:ascii="Calibri" w:hAnsi="Calibri"/>
          <w:i/>
          <w:iCs/>
          <w:noProof/>
          <w:sz w:val="22"/>
        </w:rPr>
        <w:t>Molecular ecology</w:t>
      </w:r>
      <w:r w:rsidRPr="00355A44">
        <w:rPr>
          <w:rFonts w:ascii="Calibri" w:hAnsi="Calibri"/>
          <w:noProof/>
          <w:sz w:val="22"/>
        </w:rPr>
        <w:t>, 11(12), pp.2453–65. Available at: http://www.ncbi.nlm.nih.gov/pubmed/12453231 [Accessed November 18,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Lovett, S.T., 2004. Encoded errors: mutations and rearrangements mediated by misalignment at repetitive DNA sequences. </w:t>
      </w:r>
      <w:r w:rsidRPr="00355A44">
        <w:rPr>
          <w:rFonts w:ascii="Calibri" w:hAnsi="Calibri"/>
          <w:i/>
          <w:iCs/>
          <w:noProof/>
          <w:sz w:val="22"/>
        </w:rPr>
        <w:t>Molecular microbiology</w:t>
      </w:r>
      <w:r w:rsidRPr="00355A44">
        <w:rPr>
          <w:rFonts w:ascii="Calibri" w:hAnsi="Calibri"/>
          <w:noProof/>
          <w:sz w:val="22"/>
        </w:rPr>
        <w:t>, 52(5), pp.1243–53. Available at: http://www.ncbi.nlm.nih.gov/pubmed/15165229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Mancera, E. et al., 2008. High-resolution mapping of meiotic crossovers and non-crossovers in yeast. </w:t>
      </w:r>
      <w:r w:rsidRPr="00355A44">
        <w:rPr>
          <w:rFonts w:ascii="Calibri" w:hAnsi="Calibri"/>
          <w:i/>
          <w:iCs/>
          <w:noProof/>
          <w:sz w:val="22"/>
        </w:rPr>
        <w:t>Nature</w:t>
      </w:r>
      <w:r w:rsidRPr="00355A44">
        <w:rPr>
          <w:rFonts w:ascii="Calibri" w:hAnsi="Calibri"/>
          <w:noProof/>
          <w:sz w:val="22"/>
        </w:rPr>
        <w:t>, 454(7203), pp.479–85. Available at: http://www.pubmedcentral.nih.gov/articlerender.fcgi?artid=2780006&amp;tool=pmcentrez&amp;rendertype=abstract [Accessed November 18,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Manske, H.M. &amp; Kwiatkowski, D.P., 2009. LookSeq: a browser-based viewer for deep sequencing data. </w:t>
      </w:r>
      <w:r w:rsidRPr="00355A44">
        <w:rPr>
          <w:rFonts w:ascii="Calibri" w:hAnsi="Calibri"/>
          <w:i/>
          <w:iCs/>
          <w:noProof/>
          <w:sz w:val="22"/>
        </w:rPr>
        <w:t>Genome research</w:t>
      </w:r>
      <w:r w:rsidRPr="00355A44">
        <w:rPr>
          <w:rFonts w:ascii="Calibri" w:hAnsi="Calibri"/>
          <w:noProof/>
          <w:sz w:val="22"/>
        </w:rPr>
        <w:t>, 19(11), pp.2125–32. Available at: http://www.pubmedcentral.nih.gov/articlerender.fcgi?artid=2775587&amp;tool=pmcentrez&amp;rendertype=abstract [Accessed December 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Manske, M. et al., 2012. Analysis of Plasmodium falciparum diversity in natural infections by deep sequencing. </w:t>
      </w:r>
      <w:r w:rsidRPr="00355A44">
        <w:rPr>
          <w:rFonts w:ascii="Calibri" w:hAnsi="Calibri"/>
          <w:i/>
          <w:iCs/>
          <w:noProof/>
          <w:sz w:val="22"/>
        </w:rPr>
        <w:t>Nature</w:t>
      </w:r>
      <w:r w:rsidRPr="00355A44">
        <w:rPr>
          <w:rFonts w:ascii="Calibri" w:hAnsi="Calibri"/>
          <w:noProof/>
          <w:sz w:val="22"/>
        </w:rPr>
        <w:t>, 487(7407), pp.375–9. Available at: http://www.pubmedcentral.nih.gov/articlerender.fcgi?artid=3738909&amp;tool=pmcentrez&amp;rendertype=abstract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Martinez-Perez, E. &amp; Colaiácovo, M.P., 2009. Distribution of meiotic recombination events: talking to your neighbors. </w:t>
      </w:r>
      <w:r w:rsidRPr="00355A44">
        <w:rPr>
          <w:rFonts w:ascii="Calibri" w:hAnsi="Calibri"/>
          <w:i/>
          <w:iCs/>
          <w:noProof/>
          <w:sz w:val="22"/>
        </w:rPr>
        <w:t>Current opinion in genetics &amp; development</w:t>
      </w:r>
      <w:r w:rsidRPr="00355A44">
        <w:rPr>
          <w:rFonts w:ascii="Calibri" w:hAnsi="Calibri"/>
          <w:noProof/>
          <w:sz w:val="22"/>
        </w:rPr>
        <w:t>, 19(2), pp.105–12. Available at: http://www.pubmedcentral.nih.gov/articlerender.fcgi?artid=2729281&amp;tool=pmcentrez&amp;rendertype=abstract [Accessed December 16,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McKenna, A. et al., 2010. The Genome Analysis Toolkit: a MapReduce framework for analyzing next-generation DNA sequencing data. </w:t>
      </w:r>
      <w:r w:rsidRPr="00355A44">
        <w:rPr>
          <w:rFonts w:ascii="Calibri" w:hAnsi="Calibri"/>
          <w:i/>
          <w:iCs/>
          <w:noProof/>
          <w:sz w:val="22"/>
        </w:rPr>
        <w:t>Genome research</w:t>
      </w:r>
      <w:r w:rsidRPr="00355A44">
        <w:rPr>
          <w:rFonts w:ascii="Calibri" w:hAnsi="Calibri"/>
          <w:noProof/>
          <w:sz w:val="22"/>
        </w:rPr>
        <w:t xml:space="preserve">, 20(9), pp.1297–303. Available at: </w:t>
      </w:r>
      <w:r w:rsidRPr="00355A44">
        <w:rPr>
          <w:rFonts w:ascii="Calibri" w:hAnsi="Calibri"/>
          <w:noProof/>
          <w:sz w:val="22"/>
        </w:rPr>
        <w:lastRenderedPageBreak/>
        <w:t>http://www.pubmedcentral.nih.gov/articlerender.fcgi?artid=2928508&amp;tool=pmcentrez&amp;rendertype=abstract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Medvedev, P., Stanciu, M. &amp; Brudno, M., 2009. Computational methods for discovering structural variation with next-generation sequencing. </w:t>
      </w:r>
      <w:r w:rsidRPr="00355A44">
        <w:rPr>
          <w:rFonts w:ascii="Calibri" w:hAnsi="Calibri"/>
          <w:i/>
          <w:iCs/>
          <w:noProof/>
          <w:sz w:val="22"/>
        </w:rPr>
        <w:t>Nature methods</w:t>
      </w:r>
      <w:r w:rsidRPr="00355A44">
        <w:rPr>
          <w:rFonts w:ascii="Calibri" w:hAnsi="Calibri"/>
          <w:noProof/>
          <w:sz w:val="22"/>
        </w:rPr>
        <w:t>, 6(11 Suppl), pp.S13–20. Available at: http://dx.doi.org/10.1038/nmeth.1374 [Accessed January 17, 2015].</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Mills, R.E. et al., 2011. Mapping copy number variation by population-scale genome sequencing. </w:t>
      </w:r>
      <w:r w:rsidRPr="00355A44">
        <w:rPr>
          <w:rFonts w:ascii="Calibri" w:hAnsi="Calibri"/>
          <w:i/>
          <w:iCs/>
          <w:noProof/>
          <w:sz w:val="22"/>
        </w:rPr>
        <w:t>Nature</w:t>
      </w:r>
      <w:r w:rsidRPr="00355A44">
        <w:rPr>
          <w:rFonts w:ascii="Calibri" w:hAnsi="Calibri"/>
          <w:noProof/>
          <w:sz w:val="22"/>
        </w:rPr>
        <w:t>, 470(7332), pp.59–65. Available at: http://dx.doi.org/10.1038/nature09708 [Accessed July 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Miotto, O. et al., 2013. Multiple populations of artemisinin-resistant Plasmodium falciparum in Cambodia. </w:t>
      </w:r>
      <w:r w:rsidRPr="00355A44">
        <w:rPr>
          <w:rFonts w:ascii="Calibri" w:hAnsi="Calibri"/>
          <w:i/>
          <w:iCs/>
          <w:noProof/>
          <w:sz w:val="22"/>
        </w:rPr>
        <w:t>Nature genetics</w:t>
      </w:r>
      <w:r w:rsidRPr="00355A44">
        <w:rPr>
          <w:rFonts w:ascii="Calibri" w:hAnsi="Calibri"/>
          <w:noProof/>
          <w:sz w:val="22"/>
        </w:rPr>
        <w:t>, 45(6), pp.648–55. Available at: http://www.pubmedcentral.nih.gov/articlerender.fcgi?artid=3807790&amp;tool=pmcentrez&amp;rendertype=abstract [Accessed September 30,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Mok, S. et al., 2014. Structural polymorphism in the promoter of pfmrp2 confers Plasmodium falciparum tolerance to quinoline drugs. </w:t>
      </w:r>
      <w:r w:rsidRPr="00355A44">
        <w:rPr>
          <w:rFonts w:ascii="Calibri" w:hAnsi="Calibri"/>
          <w:i/>
          <w:iCs/>
          <w:noProof/>
          <w:sz w:val="22"/>
        </w:rPr>
        <w:t>Molecular microbiology</w:t>
      </w:r>
      <w:r w:rsidRPr="00355A44">
        <w:rPr>
          <w:rFonts w:ascii="Calibri" w:hAnsi="Calibri"/>
          <w:noProof/>
          <w:sz w:val="22"/>
        </w:rPr>
        <w:t>, 91(5), pp.918–34. Available at: http://www.ncbi.nlm.nih.gov/pubmed/24372851 [Accessed November 13,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Montgomery, S.B. et al., 2013. The origin, evolution, and functional impact of short insertion-deletion variants identified in 179 human genomes. </w:t>
      </w:r>
      <w:r w:rsidRPr="00355A44">
        <w:rPr>
          <w:rFonts w:ascii="Calibri" w:hAnsi="Calibri"/>
          <w:i/>
          <w:iCs/>
          <w:noProof/>
          <w:sz w:val="22"/>
        </w:rPr>
        <w:t>Genome research</w:t>
      </w:r>
      <w:r w:rsidRPr="00355A44">
        <w:rPr>
          <w:rFonts w:ascii="Calibri" w:hAnsi="Calibri"/>
          <w:noProof/>
          <w:sz w:val="22"/>
        </w:rPr>
        <w:t>, 23(5), pp.749–61. Available at: http://www.pubmedcentral.nih.gov/articlerender.fcgi?artid=3638132&amp;tool=pmcentrez&amp;rendertype=abstract [Accessed August 21,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Muralidharan, V. &amp; Goldberg, D.E., 2013. Asparagine repeats in Plasmodium falciparum proteins: good for nothing? L. J. Knoll, ed. </w:t>
      </w:r>
      <w:r w:rsidRPr="00355A44">
        <w:rPr>
          <w:rFonts w:ascii="Calibri" w:hAnsi="Calibri"/>
          <w:i/>
          <w:iCs/>
          <w:noProof/>
          <w:sz w:val="22"/>
        </w:rPr>
        <w:t>PLoS pathogens</w:t>
      </w:r>
      <w:r w:rsidRPr="00355A44">
        <w:rPr>
          <w:rFonts w:ascii="Calibri" w:hAnsi="Calibri"/>
          <w:noProof/>
          <w:sz w:val="22"/>
        </w:rPr>
        <w:t>, 9(8), p.e1003488. Available at: http://dx.plos.org/10.1371/journal.ppat.1003488 [Accessed December 8,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Myers, S. et al., 2005. A fine-scale map of recombination rates and hotspots across the human genome. </w:t>
      </w:r>
      <w:r w:rsidRPr="00355A44">
        <w:rPr>
          <w:rFonts w:ascii="Calibri" w:hAnsi="Calibri"/>
          <w:i/>
          <w:iCs/>
          <w:noProof/>
          <w:sz w:val="22"/>
        </w:rPr>
        <w:t>Science (New York, N.Y.)</w:t>
      </w:r>
      <w:r w:rsidRPr="00355A44">
        <w:rPr>
          <w:rFonts w:ascii="Calibri" w:hAnsi="Calibri"/>
          <w:noProof/>
          <w:sz w:val="22"/>
        </w:rPr>
        <w:t>, 310(5746), pp.321–4. Available at: http://www.sciencemag.org/content/310/5746/321 [Accessed July 23,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Nair, S. et al., 2008. Adaptive copy number evolution in malaria parasites. </w:t>
      </w:r>
      <w:r w:rsidRPr="00355A44">
        <w:rPr>
          <w:rFonts w:ascii="Calibri" w:hAnsi="Calibri"/>
          <w:i/>
          <w:iCs/>
          <w:noProof/>
          <w:sz w:val="22"/>
        </w:rPr>
        <w:t>PLoS genetics</w:t>
      </w:r>
      <w:r w:rsidRPr="00355A44">
        <w:rPr>
          <w:rFonts w:ascii="Calibri" w:hAnsi="Calibri"/>
          <w:noProof/>
          <w:sz w:val="22"/>
        </w:rPr>
        <w:t>, 4(10), p.e1000243. Available at: http://www.pubmedcentral.nih.gov/articlerender.fcgi?artid=2570623&amp;tool=pmcentrez&amp;rendertype=abstract [Accessed November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Nair, S. et al., 2007. Recurrent gene amplification and soft selective sweeps during evolution of multidrug resistance in malaria parasites. </w:t>
      </w:r>
      <w:r w:rsidRPr="00355A44">
        <w:rPr>
          <w:rFonts w:ascii="Calibri" w:hAnsi="Calibri"/>
          <w:i/>
          <w:iCs/>
          <w:noProof/>
          <w:sz w:val="22"/>
        </w:rPr>
        <w:t>Molecular biology and evolution</w:t>
      </w:r>
      <w:r w:rsidRPr="00355A44">
        <w:rPr>
          <w:rFonts w:ascii="Calibri" w:hAnsi="Calibri"/>
          <w:noProof/>
          <w:sz w:val="22"/>
        </w:rPr>
        <w:t>, 24(2), pp.562–73. Available at: http://www.ncbi.nlm.nih.gov/pubmed/17124182 [Accessed November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Price, R.N. et al., 2004. Mefloquine resistance in Plasmodium falciparum and increased pfmdr1 gene copy number. </w:t>
      </w:r>
      <w:r w:rsidRPr="00355A44">
        <w:rPr>
          <w:rFonts w:ascii="Calibri" w:hAnsi="Calibri"/>
          <w:i/>
          <w:iCs/>
          <w:noProof/>
          <w:sz w:val="22"/>
        </w:rPr>
        <w:t>Lancet</w:t>
      </w:r>
      <w:r w:rsidRPr="00355A44">
        <w:rPr>
          <w:rFonts w:ascii="Calibri" w:hAnsi="Calibri"/>
          <w:noProof/>
          <w:sz w:val="22"/>
        </w:rPr>
        <w:t>, 364(9432), pp.438–47. Available at: http://www.ncbi.nlm.nih.gov/pubmed/15288742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Robasky, K., Lewis, N.E. &amp; Church, G.M., 2014. The role of replicates for error mitigation in next-generation sequencing. </w:t>
      </w:r>
      <w:r w:rsidRPr="00355A44">
        <w:rPr>
          <w:rFonts w:ascii="Calibri" w:hAnsi="Calibri"/>
          <w:i/>
          <w:iCs/>
          <w:noProof/>
          <w:sz w:val="22"/>
        </w:rPr>
        <w:t>Nature reviews. Genetics</w:t>
      </w:r>
      <w:r w:rsidRPr="00355A44">
        <w:rPr>
          <w:rFonts w:ascii="Calibri" w:hAnsi="Calibri"/>
          <w:noProof/>
          <w:sz w:val="22"/>
        </w:rPr>
        <w:t>, 15(1), pp.56–62. Available at: http://dx.doi.org/10.1038/nrg3655 [Accessed July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Roy, S.W., Ferreira, M.U. &amp; Hartl, D.L., 2008. Evolution of allelic dimorphism in malarial surface antigens. </w:t>
      </w:r>
      <w:r w:rsidRPr="00355A44">
        <w:rPr>
          <w:rFonts w:ascii="Calibri" w:hAnsi="Calibri"/>
          <w:i/>
          <w:iCs/>
          <w:noProof/>
          <w:sz w:val="22"/>
        </w:rPr>
        <w:t>Heredity</w:t>
      </w:r>
      <w:r w:rsidRPr="00355A44">
        <w:rPr>
          <w:rFonts w:ascii="Calibri" w:hAnsi="Calibri"/>
          <w:noProof/>
          <w:sz w:val="22"/>
        </w:rPr>
        <w:t>, 100(2), pp.103–10. Available at: http://www.ncbi.nlm.nih.gov/pubmed/17021615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Samarakoon, U., Regier, A., et al., 2011. High-throughput 454 resequencing for allele discovery and recombination mapping in Plasmodium falciparum. </w:t>
      </w:r>
      <w:r w:rsidRPr="00355A44">
        <w:rPr>
          <w:rFonts w:ascii="Calibri" w:hAnsi="Calibri"/>
          <w:i/>
          <w:iCs/>
          <w:noProof/>
          <w:sz w:val="22"/>
        </w:rPr>
        <w:t>BMC genomics</w:t>
      </w:r>
      <w:r w:rsidRPr="00355A44">
        <w:rPr>
          <w:rFonts w:ascii="Calibri" w:hAnsi="Calibri"/>
          <w:noProof/>
          <w:sz w:val="22"/>
        </w:rPr>
        <w:t>, 12, p.116. Available at: http://www.pubmedcentral.nih.gov/articlerender.fcgi?artid=3055840&amp;tool=pmcentrez&amp;rendertype=abstract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Samarakoon, U., Gonzales, J.M., et al., 2011. The landscape of inherited and de novo copy number variants in a Plasmodium falciparum genetic cross. </w:t>
      </w:r>
      <w:r w:rsidRPr="00355A44">
        <w:rPr>
          <w:rFonts w:ascii="Calibri" w:hAnsi="Calibri"/>
          <w:i/>
          <w:iCs/>
          <w:noProof/>
          <w:sz w:val="22"/>
        </w:rPr>
        <w:t>BMC genomics</w:t>
      </w:r>
      <w:r w:rsidRPr="00355A44">
        <w:rPr>
          <w:rFonts w:ascii="Calibri" w:hAnsi="Calibri"/>
          <w:noProof/>
          <w:sz w:val="22"/>
        </w:rPr>
        <w:t>, 12, p.457. Available at: http://www.pubmedcentral.nih.gov/articlerender.fcgi?artid=3191341&amp;tool=pmcentrez&amp;rendertype=abstract [Accessed October 18,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Saunders, I.W., Brohede, J. &amp; Hannan, G.N., 2007. Estimating genotyping error rates from Mendelian errors in SNP array genotypes and their impact on inference. </w:t>
      </w:r>
      <w:r w:rsidRPr="00355A44">
        <w:rPr>
          <w:rFonts w:ascii="Calibri" w:hAnsi="Calibri"/>
          <w:i/>
          <w:iCs/>
          <w:noProof/>
          <w:sz w:val="22"/>
        </w:rPr>
        <w:t>Genomics</w:t>
      </w:r>
      <w:r w:rsidRPr="00355A44">
        <w:rPr>
          <w:rFonts w:ascii="Calibri" w:hAnsi="Calibri"/>
          <w:noProof/>
          <w:sz w:val="22"/>
        </w:rPr>
        <w:t>, 90(3), pp.291–6. Available at: http://www.sciencedirect.com/science/article/pii/S088875430700136X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Sepúlveda, N. et al., 2013. A Poisson hierarchical modelling approach to detecting copy number variation in sequence coverage data. </w:t>
      </w:r>
      <w:r w:rsidRPr="00355A44">
        <w:rPr>
          <w:rFonts w:ascii="Calibri" w:hAnsi="Calibri"/>
          <w:i/>
          <w:iCs/>
          <w:noProof/>
          <w:sz w:val="22"/>
        </w:rPr>
        <w:t>BMC genomics</w:t>
      </w:r>
      <w:r w:rsidRPr="00355A44">
        <w:rPr>
          <w:rFonts w:ascii="Calibri" w:hAnsi="Calibri"/>
          <w:noProof/>
          <w:sz w:val="22"/>
        </w:rPr>
        <w:t>, 14, p.128. Available at: http://www.pubmedcentral.nih.gov/articlerender.fcgi?artid=3679970&amp;tool=pmcentrez&amp;rendertype=abstract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Singh, S. et al., 2009. A conserved multi-gene family induces cross-reactive antibodies effective in defense against Plasmodium falciparum. V. Moorthy, ed. </w:t>
      </w:r>
      <w:r w:rsidRPr="00355A44">
        <w:rPr>
          <w:rFonts w:ascii="Calibri" w:hAnsi="Calibri"/>
          <w:i/>
          <w:iCs/>
          <w:noProof/>
          <w:sz w:val="22"/>
        </w:rPr>
        <w:t>PloS one</w:t>
      </w:r>
      <w:r w:rsidRPr="00355A44">
        <w:rPr>
          <w:rFonts w:ascii="Calibri" w:hAnsi="Calibri"/>
          <w:noProof/>
          <w:sz w:val="22"/>
        </w:rPr>
        <w:t>, 4(4), p.e5410. Available at: http://dx.plos.org/10.1371/journal.pone.0005410 [Accessed December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Su, X. et al., 1999. A genetic map and recombination parameters of the human malaria parasite Plasmodium falciparum. </w:t>
      </w:r>
      <w:r w:rsidRPr="00355A44">
        <w:rPr>
          <w:rFonts w:ascii="Calibri" w:hAnsi="Calibri"/>
          <w:i/>
          <w:iCs/>
          <w:noProof/>
          <w:sz w:val="22"/>
        </w:rPr>
        <w:t>Science (New York, N.Y.)</w:t>
      </w:r>
      <w:r w:rsidRPr="00355A44">
        <w:rPr>
          <w:rFonts w:ascii="Calibri" w:hAnsi="Calibri"/>
          <w:noProof/>
          <w:sz w:val="22"/>
        </w:rPr>
        <w:t>, 286(5443), pp.1351–3. Available at: http://www.ncbi.nlm.nih.gov/pubmed/10558988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Tan, J.C. et al., 2010. Variable numbers of tandem repeats in Plasmodium falciparum genes. </w:t>
      </w:r>
      <w:r w:rsidRPr="00355A44">
        <w:rPr>
          <w:rFonts w:ascii="Calibri" w:hAnsi="Calibri"/>
          <w:i/>
          <w:iCs/>
          <w:noProof/>
          <w:sz w:val="22"/>
        </w:rPr>
        <w:t>Journal of molecular evolution</w:t>
      </w:r>
      <w:r w:rsidRPr="00355A44">
        <w:rPr>
          <w:rFonts w:ascii="Calibri" w:hAnsi="Calibri"/>
          <w:noProof/>
          <w:sz w:val="22"/>
        </w:rPr>
        <w:t>, 71(4), pp.268–78. Available at: http://www.pubmedcentral.nih.gov/articlerender.fcgi?artid=3205454&amp;tool=pmcentrez&amp;rendertype=abstract [Accessed November 21,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Triglia, T. et al., 1991. Amplification of the multidrug resistance gene pfmdr1 in Plasmodium falciparum has arisen as multiple independent events. </w:t>
      </w:r>
      <w:r w:rsidRPr="00355A44">
        <w:rPr>
          <w:rFonts w:ascii="Calibri" w:hAnsi="Calibri"/>
          <w:i/>
          <w:iCs/>
          <w:noProof/>
          <w:sz w:val="22"/>
        </w:rPr>
        <w:t>Molecular and cellular biology</w:t>
      </w:r>
      <w:r w:rsidRPr="00355A44">
        <w:rPr>
          <w:rFonts w:ascii="Calibri" w:hAnsi="Calibri"/>
          <w:noProof/>
          <w:sz w:val="22"/>
        </w:rPr>
        <w:t>, 11(10), pp.5244–50. Available at: http://www.pubmedcentral.nih.gov/articlerender.fcgi?artid=361573&amp;tool=pmcentrez&amp;rendertype=abstract [Accessed November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Völker, M. et al., 2010. Copy number variation, chromosome rearrangement, and their association with recombination during avian evolution. </w:t>
      </w:r>
      <w:r w:rsidRPr="00355A44">
        <w:rPr>
          <w:rFonts w:ascii="Calibri" w:hAnsi="Calibri"/>
          <w:i/>
          <w:iCs/>
          <w:noProof/>
          <w:sz w:val="22"/>
        </w:rPr>
        <w:t>Genome research</w:t>
      </w:r>
      <w:r w:rsidRPr="00355A44">
        <w:rPr>
          <w:rFonts w:ascii="Calibri" w:hAnsi="Calibri"/>
          <w:noProof/>
          <w:sz w:val="22"/>
        </w:rPr>
        <w:t>, 20(4), pp.503–11. Available at: http://genome.cshlp.org/content/20/4/503.full [Accessed December 15,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Walker-Jonah, A. et al., 1992. An RFLP map of the Plasmodium falciparum genome, recombination rates and favored linkage groups in a genetic cross. </w:t>
      </w:r>
      <w:r w:rsidRPr="00355A44">
        <w:rPr>
          <w:rFonts w:ascii="Calibri" w:hAnsi="Calibri"/>
          <w:i/>
          <w:iCs/>
          <w:noProof/>
          <w:sz w:val="22"/>
        </w:rPr>
        <w:t>Molecular and biochemical parasitology</w:t>
      </w:r>
      <w:r w:rsidRPr="00355A44">
        <w:rPr>
          <w:rFonts w:ascii="Calibri" w:hAnsi="Calibri"/>
          <w:noProof/>
          <w:sz w:val="22"/>
        </w:rPr>
        <w:t>, 51(2), pp.313–20. Available at: http://www.ncbi.nlm.nih.gov/pubmed/1349423 [Accessed November 19,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lastRenderedPageBreak/>
        <w:t xml:space="preserve">Walliker, D. et al., 1987. Genetic analysis of the human malaria parasite Plasmodium falciparum. </w:t>
      </w:r>
      <w:r w:rsidRPr="00355A44">
        <w:rPr>
          <w:rFonts w:ascii="Calibri" w:hAnsi="Calibri"/>
          <w:i/>
          <w:iCs/>
          <w:noProof/>
          <w:sz w:val="22"/>
        </w:rPr>
        <w:t>Science (New York, N.Y.)</w:t>
      </w:r>
      <w:r w:rsidRPr="00355A44">
        <w:rPr>
          <w:rFonts w:ascii="Calibri" w:hAnsi="Calibri"/>
          <w:noProof/>
          <w:sz w:val="22"/>
        </w:rPr>
        <w:t>, 236(4809), pp.1661–6. Available at: http://www.ncbi.nlm.nih.gov/pubmed/3299700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Wellems, T.E. et al., 1990. Chloroquine resistance not linked to mdr-like genes in a Plasmodium falciparum cross. </w:t>
      </w:r>
      <w:r w:rsidRPr="00355A44">
        <w:rPr>
          <w:rFonts w:ascii="Calibri" w:hAnsi="Calibri"/>
          <w:i/>
          <w:iCs/>
          <w:noProof/>
          <w:sz w:val="22"/>
        </w:rPr>
        <w:t>Nature</w:t>
      </w:r>
      <w:r w:rsidRPr="00355A44">
        <w:rPr>
          <w:rFonts w:ascii="Calibri" w:hAnsi="Calibri"/>
          <w:noProof/>
          <w:sz w:val="22"/>
        </w:rPr>
        <w:t>, 345(6272), pp.253–5. Available at: http://www.ncbi.nlm.nih.gov/pubmed/1970614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Wellems, T.E., Walker-Jonah, A. &amp; Panton, L.J., 1991. Genetic mapping of the chloroquine-resistance locus on Plasmodium falciparum chromosome 7. </w:t>
      </w:r>
      <w:r w:rsidRPr="00355A44">
        <w:rPr>
          <w:rFonts w:ascii="Calibri" w:hAnsi="Calibri"/>
          <w:i/>
          <w:iCs/>
          <w:noProof/>
          <w:sz w:val="22"/>
        </w:rPr>
        <w:t>Proceedings of the National Academy of Sciences of the United States of America</w:t>
      </w:r>
      <w:r w:rsidRPr="00355A44">
        <w:rPr>
          <w:rFonts w:ascii="Calibri" w:hAnsi="Calibri"/>
          <w:noProof/>
          <w:sz w:val="22"/>
        </w:rPr>
        <w:t>, 88(8), pp.3382–6. Available at: http://www.pubmedcentral.nih.gov/articlerender.fcgi?artid=51451&amp;tool=pmcentrez&amp;rendertype=abstract [Accessed November 11,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Winter, G. et al., 2005. SURFIN is a polymorphic antigen expressed on Plasmodium falciparum merozoites and infected erythrocytes. </w:t>
      </w:r>
      <w:r w:rsidRPr="00355A44">
        <w:rPr>
          <w:rFonts w:ascii="Calibri" w:hAnsi="Calibri"/>
          <w:i/>
          <w:iCs/>
          <w:noProof/>
          <w:sz w:val="22"/>
        </w:rPr>
        <w:t>The Journal of experimental medicine</w:t>
      </w:r>
      <w:r w:rsidRPr="00355A44">
        <w:rPr>
          <w:rFonts w:ascii="Calibri" w:hAnsi="Calibri"/>
          <w:noProof/>
          <w:sz w:val="22"/>
        </w:rPr>
        <w:t>, 201(11), pp.1853–63. Available at: http://www.pubmedcentral.nih.gov/articlerender.fcgi?artid=2213267&amp;tool=pmcentrez&amp;rendertype=abstract [Accessed December 17,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Youds, J.L. &amp; Boulton, S.J., 2011. The choice in meiosis - defining the factors that influence crossover or non-crossover formation. </w:t>
      </w:r>
      <w:r w:rsidRPr="00355A44">
        <w:rPr>
          <w:rFonts w:ascii="Calibri" w:hAnsi="Calibri"/>
          <w:i/>
          <w:iCs/>
          <w:noProof/>
          <w:sz w:val="22"/>
        </w:rPr>
        <w:t>Journal of cell science</w:t>
      </w:r>
      <w:r w:rsidRPr="00355A44">
        <w:rPr>
          <w:rFonts w:ascii="Calibri" w:hAnsi="Calibri"/>
          <w:noProof/>
          <w:sz w:val="22"/>
        </w:rPr>
        <w:t>, 124(Pt 4), pp.501–13. Available at: http://www.ncbi.nlm.nih.gov/pubmed/21282472 [Accessed December 12,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Zhao, M. et al., 2013. Computational tools for copy number variation (CNV) detection using next-generation sequencing data: features and perspectives. </w:t>
      </w:r>
      <w:r w:rsidRPr="00355A44">
        <w:rPr>
          <w:rFonts w:ascii="Calibri" w:hAnsi="Calibri"/>
          <w:i/>
          <w:iCs/>
          <w:noProof/>
          <w:sz w:val="22"/>
        </w:rPr>
        <w:t>BMC bioinformatics</w:t>
      </w:r>
      <w:r w:rsidRPr="00355A44">
        <w:rPr>
          <w:rFonts w:ascii="Calibri" w:hAnsi="Calibri"/>
          <w:noProof/>
          <w:sz w:val="22"/>
        </w:rPr>
        <w:t>, 14 Suppl 1(Suppl 11), p.S1. Available at: http://www.biomedcentral.com/1471-2105/14/S11/S1 [Accessed November 6, 2014].</w:t>
      </w:r>
    </w:p>
    <w:p w:rsidR="00355A44" w:rsidRPr="00355A44" w:rsidRDefault="00355A44">
      <w:pPr>
        <w:pStyle w:val="NormalWeb"/>
        <w:ind w:left="480" w:hanging="480"/>
        <w:divId w:val="965045760"/>
        <w:rPr>
          <w:rFonts w:ascii="Calibri" w:hAnsi="Calibri"/>
          <w:noProof/>
          <w:sz w:val="22"/>
        </w:rPr>
      </w:pPr>
      <w:r w:rsidRPr="00355A44">
        <w:rPr>
          <w:rFonts w:ascii="Calibri" w:hAnsi="Calibri"/>
          <w:noProof/>
          <w:sz w:val="22"/>
        </w:rPr>
        <w:t xml:space="preserve">Zilversmit, M.M. et al., 2010. Low-complexity regions in Plasmodium falciparum: missing links in the evolution of an extreme genome. </w:t>
      </w:r>
      <w:r w:rsidRPr="00355A44">
        <w:rPr>
          <w:rFonts w:ascii="Calibri" w:hAnsi="Calibri"/>
          <w:i/>
          <w:iCs/>
          <w:noProof/>
          <w:sz w:val="22"/>
        </w:rPr>
        <w:t>Molecular biology and evolution</w:t>
      </w:r>
      <w:r w:rsidRPr="00355A44">
        <w:rPr>
          <w:rFonts w:ascii="Calibri" w:hAnsi="Calibri"/>
          <w:noProof/>
          <w:sz w:val="22"/>
        </w:rPr>
        <w:t>, 27(9), pp.2198–209. Available at: http://www.pubmedcentral.nih.gov/articlerender.fcgi?artid=2922621&amp;tool=pmcentrez&amp;rendertype=abstract [Accessed October 20, 2014].</w:t>
      </w:r>
    </w:p>
    <w:p w:rsidR="009E1600" w:rsidRPr="009E1600" w:rsidRDefault="00884746" w:rsidP="00355A44">
      <w:pPr>
        <w:pStyle w:val="NormalWeb"/>
        <w:ind w:left="480" w:hanging="480"/>
        <w:divId w:val="1489901363"/>
      </w:pPr>
      <w:r>
        <w:fldChar w:fldCharType="end"/>
      </w:r>
    </w:p>
    <w:sectPr w:rsidR="009E1600" w:rsidRPr="009E1600" w:rsidSect="00355A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D4F" w:rsidRDefault="00993D4F" w:rsidP="008B66D9">
      <w:pPr>
        <w:spacing w:after="0" w:line="240" w:lineRule="auto"/>
      </w:pPr>
      <w:r>
        <w:separator/>
      </w:r>
    </w:p>
  </w:endnote>
  <w:endnote w:type="continuationSeparator" w:id="0">
    <w:p w:rsidR="00993D4F" w:rsidRDefault="00993D4F"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D4F" w:rsidRDefault="00993D4F" w:rsidP="008B66D9">
      <w:pPr>
        <w:spacing w:after="0" w:line="240" w:lineRule="auto"/>
      </w:pPr>
      <w:r>
        <w:separator/>
      </w:r>
    </w:p>
  </w:footnote>
  <w:footnote w:type="continuationSeparator" w:id="0">
    <w:p w:rsidR="00993D4F" w:rsidRDefault="00993D4F" w:rsidP="008B66D9">
      <w:pPr>
        <w:spacing w:after="0" w:line="240" w:lineRule="auto"/>
      </w:pPr>
      <w:r>
        <w:continuationSeparator/>
      </w:r>
    </w:p>
  </w:footnote>
  <w:footnote w:id="1">
    <w:p w:rsidR="00381C07" w:rsidRDefault="00381C07">
      <w:pPr>
        <w:pStyle w:val="FootnoteText"/>
      </w:pPr>
      <w:r>
        <w:rPr>
          <w:rStyle w:val="FootnoteReference"/>
        </w:rPr>
        <w:footnoteRef/>
      </w:r>
      <w:r>
        <w:t xml:space="preserve"> MRC Centre for Genomics and Global Health, University of Oxford, Oxford, UK</w:t>
      </w:r>
    </w:p>
  </w:footnote>
  <w:footnote w:id="2">
    <w:p w:rsidR="00381C07" w:rsidRDefault="00381C07">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381C07" w:rsidRDefault="00381C07">
      <w:pPr>
        <w:pStyle w:val="FootnoteText"/>
      </w:pPr>
      <w:r>
        <w:rPr>
          <w:rStyle w:val="FootnoteReference"/>
        </w:rPr>
        <w:footnoteRef/>
      </w:r>
      <w:r>
        <w:t xml:space="preserve"> Wellcome Trust Centre for Human Genetics, University of Oxford, Oxford, UK</w:t>
      </w:r>
    </w:p>
  </w:footnote>
  <w:footnote w:id="4">
    <w:p w:rsidR="00381C07" w:rsidRDefault="00381C07">
      <w:pPr>
        <w:pStyle w:val="FootnoteText"/>
      </w:pPr>
      <w:r>
        <w:rPr>
          <w:rStyle w:val="FootnoteReference"/>
        </w:rPr>
        <w:footnoteRef/>
      </w:r>
      <w:r>
        <w:t xml:space="preserve"> Bowdoin College, Brunswick, Maine, USA</w:t>
      </w:r>
    </w:p>
  </w:footnote>
  <w:footnote w:id="5">
    <w:p w:rsidR="00381C07" w:rsidRDefault="00381C07">
      <w:pPr>
        <w:pStyle w:val="FootnoteText"/>
      </w:pPr>
      <w:r>
        <w:rPr>
          <w:rStyle w:val="FootnoteReference"/>
        </w:rPr>
        <w:footnoteRef/>
      </w:r>
      <w:r>
        <w:t xml:space="preserve"> Broad Institute of Harvard and MIT, Cambridge, Massachusetts, USA</w:t>
      </w:r>
    </w:p>
  </w:footnote>
  <w:footnote w:id="6">
    <w:p w:rsidR="00381C07" w:rsidRDefault="00381C07">
      <w:pPr>
        <w:pStyle w:val="FootnoteText"/>
      </w:pPr>
      <w:r>
        <w:rPr>
          <w:rStyle w:val="FootnoteReference"/>
        </w:rPr>
        <w:footnoteRef/>
      </w:r>
      <w:r>
        <w:t xml:space="preserve"> Institute of Infection, Immunity and Inflammation, University of Glasgow, Glasgow, UK</w:t>
      </w:r>
    </w:p>
  </w:footnote>
  <w:footnote w:id="7">
    <w:p w:rsidR="00381C07" w:rsidRDefault="00381C07">
      <w:pPr>
        <w:pStyle w:val="FootnoteText"/>
      </w:pPr>
      <w:r>
        <w:rPr>
          <w:rStyle w:val="FootnoteReference"/>
        </w:rPr>
        <w:footnoteRef/>
      </w:r>
      <w:r>
        <w:t xml:space="preserve"> Department of Biological Sciences, University of Notre Dame, Notre Dame, Indiana, USA</w:t>
      </w:r>
    </w:p>
  </w:footnote>
  <w:footnote w:id="8">
    <w:p w:rsidR="00381C07" w:rsidRDefault="00381C07">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9">
    <w:p w:rsidR="00381C07" w:rsidRDefault="00381C07">
      <w:pPr>
        <w:pStyle w:val="FootnoteText"/>
      </w:pPr>
      <w:r>
        <w:rPr>
          <w:rStyle w:val="FootnoteReference"/>
        </w:rPr>
        <w:footnoteRef/>
      </w:r>
      <w:r>
        <w:t xml:space="preserve"> Department of Statistics, University of Oxford, Oxford, UK</w:t>
      </w:r>
    </w:p>
  </w:footnote>
  <w:footnote w:id="10">
    <w:p w:rsidR="00381C07" w:rsidRDefault="00381C07">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1">
    <w:p w:rsidR="00381C07" w:rsidRDefault="00381C07">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4306"/>
    <w:rsid w:val="0001017A"/>
    <w:rsid w:val="00013797"/>
    <w:rsid w:val="00016DA9"/>
    <w:rsid w:val="00022BF0"/>
    <w:rsid w:val="0004180F"/>
    <w:rsid w:val="00043C58"/>
    <w:rsid w:val="000645D6"/>
    <w:rsid w:val="00065004"/>
    <w:rsid w:val="00071215"/>
    <w:rsid w:val="00077681"/>
    <w:rsid w:val="000840C7"/>
    <w:rsid w:val="000900EE"/>
    <w:rsid w:val="00092516"/>
    <w:rsid w:val="00094913"/>
    <w:rsid w:val="00094D11"/>
    <w:rsid w:val="00097BD4"/>
    <w:rsid w:val="000C02A8"/>
    <w:rsid w:val="000C3978"/>
    <w:rsid w:val="000C7B24"/>
    <w:rsid w:val="000D1E36"/>
    <w:rsid w:val="000E06C9"/>
    <w:rsid w:val="0010383D"/>
    <w:rsid w:val="00107FF0"/>
    <w:rsid w:val="00114AB5"/>
    <w:rsid w:val="001301E2"/>
    <w:rsid w:val="00142C02"/>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34433"/>
    <w:rsid w:val="00355A44"/>
    <w:rsid w:val="00355A6C"/>
    <w:rsid w:val="003567AE"/>
    <w:rsid w:val="0036655D"/>
    <w:rsid w:val="00381C07"/>
    <w:rsid w:val="00390C9B"/>
    <w:rsid w:val="00395FA2"/>
    <w:rsid w:val="0039689D"/>
    <w:rsid w:val="003B428E"/>
    <w:rsid w:val="003C55CB"/>
    <w:rsid w:val="003C6843"/>
    <w:rsid w:val="003C72B7"/>
    <w:rsid w:val="003D0F25"/>
    <w:rsid w:val="003D1E9D"/>
    <w:rsid w:val="003E3A10"/>
    <w:rsid w:val="003E5237"/>
    <w:rsid w:val="003E6777"/>
    <w:rsid w:val="003F0D40"/>
    <w:rsid w:val="003F1EB5"/>
    <w:rsid w:val="0040749C"/>
    <w:rsid w:val="00411E8E"/>
    <w:rsid w:val="00414247"/>
    <w:rsid w:val="004177B6"/>
    <w:rsid w:val="004261C2"/>
    <w:rsid w:val="0043059A"/>
    <w:rsid w:val="004357C6"/>
    <w:rsid w:val="00436C33"/>
    <w:rsid w:val="004403DA"/>
    <w:rsid w:val="004412FA"/>
    <w:rsid w:val="00442FA6"/>
    <w:rsid w:val="00446F45"/>
    <w:rsid w:val="00450E72"/>
    <w:rsid w:val="004531F4"/>
    <w:rsid w:val="004568E5"/>
    <w:rsid w:val="00457090"/>
    <w:rsid w:val="00457F08"/>
    <w:rsid w:val="00467EE6"/>
    <w:rsid w:val="00494F68"/>
    <w:rsid w:val="004B64BC"/>
    <w:rsid w:val="004B714B"/>
    <w:rsid w:val="004C01D4"/>
    <w:rsid w:val="004C331A"/>
    <w:rsid w:val="004C6EBF"/>
    <w:rsid w:val="004C7856"/>
    <w:rsid w:val="004D3DD9"/>
    <w:rsid w:val="00502205"/>
    <w:rsid w:val="00516EE3"/>
    <w:rsid w:val="00523D59"/>
    <w:rsid w:val="00530D8A"/>
    <w:rsid w:val="00530F60"/>
    <w:rsid w:val="0053348F"/>
    <w:rsid w:val="00535BC3"/>
    <w:rsid w:val="00536C74"/>
    <w:rsid w:val="00557F5B"/>
    <w:rsid w:val="00572EC2"/>
    <w:rsid w:val="005833BA"/>
    <w:rsid w:val="005A3815"/>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3393"/>
    <w:rsid w:val="0066222C"/>
    <w:rsid w:val="0066428C"/>
    <w:rsid w:val="00667FE0"/>
    <w:rsid w:val="00676EC4"/>
    <w:rsid w:val="006835DA"/>
    <w:rsid w:val="006927BD"/>
    <w:rsid w:val="006A5AA1"/>
    <w:rsid w:val="006B37E8"/>
    <w:rsid w:val="006C1DD2"/>
    <w:rsid w:val="006C6A25"/>
    <w:rsid w:val="006D6FCD"/>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5FFB"/>
    <w:rsid w:val="007B45FA"/>
    <w:rsid w:val="007C506F"/>
    <w:rsid w:val="007C6969"/>
    <w:rsid w:val="007D21C7"/>
    <w:rsid w:val="007D24A7"/>
    <w:rsid w:val="007E1951"/>
    <w:rsid w:val="008046A2"/>
    <w:rsid w:val="00811543"/>
    <w:rsid w:val="00822F7D"/>
    <w:rsid w:val="008303C4"/>
    <w:rsid w:val="00831572"/>
    <w:rsid w:val="008336DB"/>
    <w:rsid w:val="00840C8B"/>
    <w:rsid w:val="00843650"/>
    <w:rsid w:val="0084749C"/>
    <w:rsid w:val="008509AB"/>
    <w:rsid w:val="008529A0"/>
    <w:rsid w:val="008579AE"/>
    <w:rsid w:val="00873E89"/>
    <w:rsid w:val="00877689"/>
    <w:rsid w:val="0088090E"/>
    <w:rsid w:val="00884746"/>
    <w:rsid w:val="008901F1"/>
    <w:rsid w:val="00890734"/>
    <w:rsid w:val="00893C7A"/>
    <w:rsid w:val="008A5CF4"/>
    <w:rsid w:val="008B66D9"/>
    <w:rsid w:val="008C28A7"/>
    <w:rsid w:val="008C5FF4"/>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3D4F"/>
    <w:rsid w:val="00995125"/>
    <w:rsid w:val="009A32D6"/>
    <w:rsid w:val="009C2480"/>
    <w:rsid w:val="009D296D"/>
    <w:rsid w:val="009E0D59"/>
    <w:rsid w:val="009E1600"/>
    <w:rsid w:val="009E51A2"/>
    <w:rsid w:val="009E5C7B"/>
    <w:rsid w:val="009F1864"/>
    <w:rsid w:val="009F34F8"/>
    <w:rsid w:val="009F3C0F"/>
    <w:rsid w:val="00A00035"/>
    <w:rsid w:val="00A0596E"/>
    <w:rsid w:val="00A12839"/>
    <w:rsid w:val="00A24306"/>
    <w:rsid w:val="00A32224"/>
    <w:rsid w:val="00A42F7A"/>
    <w:rsid w:val="00A44E52"/>
    <w:rsid w:val="00A4677A"/>
    <w:rsid w:val="00A46A4E"/>
    <w:rsid w:val="00A55587"/>
    <w:rsid w:val="00A72CFF"/>
    <w:rsid w:val="00A75769"/>
    <w:rsid w:val="00AC053E"/>
    <w:rsid w:val="00AC67A5"/>
    <w:rsid w:val="00AD0B6C"/>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F4505"/>
    <w:rsid w:val="00BF518B"/>
    <w:rsid w:val="00BF5714"/>
    <w:rsid w:val="00BF5E5E"/>
    <w:rsid w:val="00C03BD9"/>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CE7736"/>
    <w:rsid w:val="00D00B79"/>
    <w:rsid w:val="00D05581"/>
    <w:rsid w:val="00D07F33"/>
    <w:rsid w:val="00D14426"/>
    <w:rsid w:val="00D246DE"/>
    <w:rsid w:val="00D329C7"/>
    <w:rsid w:val="00D5126B"/>
    <w:rsid w:val="00D51DCC"/>
    <w:rsid w:val="00D52B09"/>
    <w:rsid w:val="00D57147"/>
    <w:rsid w:val="00D5776C"/>
    <w:rsid w:val="00D6625D"/>
    <w:rsid w:val="00D70420"/>
    <w:rsid w:val="00D7475C"/>
    <w:rsid w:val="00D9168B"/>
    <w:rsid w:val="00D96060"/>
    <w:rsid w:val="00DA1B2C"/>
    <w:rsid w:val="00DA3665"/>
    <w:rsid w:val="00DB2FDB"/>
    <w:rsid w:val="00DC41FA"/>
    <w:rsid w:val="00DC5736"/>
    <w:rsid w:val="00DC5FD7"/>
    <w:rsid w:val="00DC78AE"/>
    <w:rsid w:val="00DD329D"/>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23718"/>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5180"/>
    <w:rsid w:val="00FB69B5"/>
    <w:rsid w:val="00FC2174"/>
    <w:rsid w:val="00FC41A4"/>
    <w:rsid w:val="00FD7D69"/>
    <w:rsid w:val="00FE0FEE"/>
    <w:rsid w:val="00FE3235"/>
    <w:rsid w:val="00FE46FD"/>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E0A30-07CA-4E4C-A34D-51CEF9E4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5136</TotalTime>
  <Pages>26</Pages>
  <Words>85153</Words>
  <Characters>485377</Characters>
  <Application>Microsoft Office Word</Application>
  <DocSecurity>0</DocSecurity>
  <Lines>4044</Lines>
  <Paragraphs>1138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569392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185</cp:revision>
  <dcterms:created xsi:type="dcterms:W3CDTF">2014-11-21T18:07:00Z</dcterms:created>
  <dcterms:modified xsi:type="dcterms:W3CDTF">2015-04-21T10:04:00Z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