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Zamin Iqbal</w:t>
      </w:r>
      <w:r w:rsidR="003C55CB">
        <w:rPr>
          <w:rStyle w:val="FootnoteReference"/>
        </w:rPr>
        <w:footnoteReference w:id="3"/>
      </w:r>
      <w:r w:rsidRPr="00A24306">
        <w:t>, Paul Vauterin</w:t>
      </w:r>
      <w:fldSimple w:instr=" NOTEREF _Ref407025212 \h  \* MERGEFORMAT ">
        <w:r w:rsidR="00CE7736" w:rsidRPr="00CE7736">
          <w:rPr>
            <w:vertAlign w:val="superscript"/>
          </w:rPr>
          <w:t>1</w:t>
        </w:r>
      </w:fldSimple>
      <w:r w:rsidR="00CE7736">
        <w:t>,</w:t>
      </w:r>
      <w:r w:rsidRPr="00A24306">
        <w:t xml:space="preserve"> Richard Pearson</w:t>
      </w:r>
      <w:r w:rsidR="00FB5180">
        <w:rPr>
          <w:vertAlign w:val="superscript"/>
        </w:rPr>
        <w:fldChar w:fldCharType="begin"/>
      </w:r>
      <w:r w:rsidR="00CE7736">
        <w:instrText xml:space="preserve"> NOTEREF _Ref407025212 \f \h </w:instrText>
      </w:r>
      <w:r w:rsidR="00FB5180">
        <w:rPr>
          <w:vertAlign w:val="superscript"/>
        </w:rPr>
      </w:r>
      <w:r w:rsidR="00FB5180">
        <w:rPr>
          <w:vertAlign w:val="superscript"/>
        </w:rPr>
        <w:fldChar w:fldCharType="separate"/>
      </w:r>
      <w:r w:rsidR="00CE7736" w:rsidRPr="00CE7736">
        <w:rPr>
          <w:rStyle w:val="FootnoteReference"/>
        </w:rPr>
        <w:t>1</w:t>
      </w:r>
      <w:r w:rsidR="00FB5180">
        <w:rPr>
          <w:vertAlign w:val="superscript"/>
        </w:rPr>
        <w:fldChar w:fldCharType="end"/>
      </w:r>
      <w:r w:rsidR="00CE7736">
        <w:rPr>
          <w:vertAlign w:val="superscript"/>
        </w:rPr>
        <w:t>,</w:t>
      </w:r>
      <w:r w:rsidR="00FB5180">
        <w:rPr>
          <w:vertAlign w:val="superscript"/>
        </w:rPr>
        <w:fldChar w:fldCharType="begin"/>
      </w:r>
      <w:r w:rsidR="00CE7736">
        <w:rPr>
          <w:vertAlign w:val="superscript"/>
        </w:rPr>
        <w:instrText xml:space="preserve"> NOTEREF _Ref407025258 \f \h </w:instrText>
      </w:r>
      <w:r w:rsidR="00FB5180">
        <w:rPr>
          <w:vertAlign w:val="superscript"/>
        </w:rPr>
      </w:r>
      <w:r w:rsidR="00FB5180">
        <w:rPr>
          <w:vertAlign w:val="superscript"/>
        </w:rPr>
        <w:fldChar w:fldCharType="separate"/>
      </w:r>
      <w:r w:rsidR="00CE7736" w:rsidRPr="00CE7736">
        <w:rPr>
          <w:rStyle w:val="FootnoteReference"/>
        </w:rPr>
        <w:t>2</w:t>
      </w:r>
      <w:r w:rsidR="00FB5180">
        <w:rPr>
          <w:vertAlign w:val="superscript"/>
        </w:rPr>
        <w:fldChar w:fldCharType="end"/>
      </w:r>
      <w:r w:rsidRPr="00A24306">
        <w:t>, Susana Campino</w:t>
      </w:r>
      <w:r w:rsidR="00FB5180">
        <w:fldChar w:fldCharType="begin"/>
      </w:r>
      <w:r w:rsidR="00CE7736">
        <w:instrText xml:space="preserve"> NOTEREF _Ref407025258 \f \h </w:instrText>
      </w:r>
      <w:r w:rsidR="00FB5180">
        <w:fldChar w:fldCharType="separate"/>
      </w:r>
      <w:r w:rsidR="00CE7736" w:rsidRPr="00CE7736">
        <w:rPr>
          <w:rStyle w:val="FootnoteReference"/>
        </w:rPr>
        <w:t>2</w:t>
      </w:r>
      <w:r w:rsidR="00FB5180">
        <w:fldChar w:fldCharType="end"/>
      </w:r>
      <w:r w:rsidRPr="00A24306">
        <w:t xml:space="preserve">, </w:t>
      </w:r>
      <w:r w:rsidR="0004180F">
        <w:t>Michel Theron</w:t>
      </w:r>
      <w:r w:rsidR="00FB5180">
        <w:fldChar w:fldCharType="begin"/>
      </w:r>
      <w:r w:rsidR="00CE7736">
        <w:instrText xml:space="preserve"> NOTEREF _Ref407025258 \f \h </w:instrText>
      </w:r>
      <w:r w:rsidR="00FB5180">
        <w:fldChar w:fldCharType="separate"/>
      </w:r>
      <w:r w:rsidR="00CE7736" w:rsidRPr="00CE7736">
        <w:rPr>
          <w:rStyle w:val="FootnoteReference"/>
        </w:rPr>
        <w:t>2</w:t>
      </w:r>
      <w:r w:rsidR="00FB5180">
        <w:fldChar w:fldCharType="end"/>
      </w:r>
      <w:r w:rsidR="0004180F">
        <w:t>, Kelda Gould</w:t>
      </w:r>
      <w:r w:rsidR="00FB5180">
        <w:rPr>
          <w:vertAlign w:val="superscript"/>
        </w:rPr>
        <w:fldChar w:fldCharType="begin"/>
      </w:r>
      <w:r w:rsidR="00CE7736">
        <w:instrText xml:space="preserve"> NOTEREF _Ref407025258 \f \h </w:instrText>
      </w:r>
      <w:r w:rsidR="00FB5180">
        <w:rPr>
          <w:vertAlign w:val="superscript"/>
        </w:rPr>
      </w:r>
      <w:r w:rsidR="00FB5180">
        <w:rPr>
          <w:vertAlign w:val="superscript"/>
        </w:rPr>
        <w:fldChar w:fldCharType="separate"/>
      </w:r>
      <w:r w:rsidR="00CE7736" w:rsidRPr="00CE7736">
        <w:rPr>
          <w:rStyle w:val="FootnoteReference"/>
        </w:rPr>
        <w:t>2</w:t>
      </w:r>
      <w:r w:rsidR="00FB5180">
        <w:rPr>
          <w:vertAlign w:val="superscript"/>
        </w:rPr>
        <w:fldChar w:fldCharType="end"/>
      </w:r>
      <w:r w:rsidR="0004180F">
        <w:t xml:space="preserve">, </w:t>
      </w:r>
      <w:r w:rsidRPr="00A24306">
        <w:t>Daniel Mead</w:t>
      </w:r>
      <w:r w:rsidR="00FB5180">
        <w:rPr>
          <w:vertAlign w:val="superscript"/>
        </w:rPr>
        <w:fldChar w:fldCharType="begin"/>
      </w:r>
      <w:r w:rsidR="00CE7736">
        <w:instrText xml:space="preserve"> NOTEREF _Ref407025258 \f \h </w:instrText>
      </w:r>
      <w:r w:rsidR="00FB5180">
        <w:rPr>
          <w:vertAlign w:val="superscript"/>
        </w:rPr>
      </w:r>
      <w:r w:rsidR="00FB5180">
        <w:rPr>
          <w:vertAlign w:val="superscript"/>
        </w:rPr>
        <w:fldChar w:fldCharType="separate"/>
      </w:r>
      <w:r w:rsidR="00CE7736" w:rsidRPr="00CE7736">
        <w:rPr>
          <w:rStyle w:val="FootnoteReference"/>
        </w:rPr>
        <w:t>2</w:t>
      </w:r>
      <w:r w:rsidR="00FB5180">
        <w:rPr>
          <w:vertAlign w:val="superscript"/>
        </w:rPr>
        <w:fldChar w:fldCharType="end"/>
      </w:r>
      <w:r w:rsidRPr="00A24306">
        <w:t>, Eleanor Drury</w:t>
      </w:r>
      <w:r w:rsidR="00FB5180">
        <w:rPr>
          <w:vertAlign w:val="superscript"/>
        </w:rPr>
        <w:fldChar w:fldCharType="begin"/>
      </w:r>
      <w:r w:rsidR="00CE7736">
        <w:instrText xml:space="preserve"> NOTEREF _Ref407025258 \f \h </w:instrText>
      </w:r>
      <w:r w:rsidR="00FB5180">
        <w:rPr>
          <w:vertAlign w:val="superscript"/>
        </w:rPr>
      </w:r>
      <w:r w:rsidR="00FB5180">
        <w:rPr>
          <w:vertAlign w:val="superscript"/>
        </w:rPr>
        <w:fldChar w:fldCharType="separate"/>
      </w:r>
      <w:r w:rsidR="00CE7736" w:rsidRPr="00CE7736">
        <w:rPr>
          <w:rStyle w:val="FootnoteReference"/>
        </w:rPr>
        <w:t>2</w:t>
      </w:r>
      <w:r w:rsidR="00FB5180">
        <w:rPr>
          <w:vertAlign w:val="superscript"/>
        </w:rPr>
        <w:fldChar w:fldCharType="end"/>
      </w:r>
      <w:r w:rsidRPr="00A24306">
        <w:t xml:space="preserve">, </w:t>
      </w:r>
      <w:r w:rsidR="00395FA2">
        <w:t>John O’Brien</w:t>
      </w:r>
      <w:r w:rsidR="00E13949">
        <w:rPr>
          <w:rStyle w:val="FootnoteReference"/>
        </w:rPr>
        <w:footnoteReference w:id="4"/>
      </w:r>
      <w:r w:rsidR="00395FA2">
        <w:t>, Valentin Ruano Rubio</w:t>
      </w:r>
      <w:bookmarkStart w:id="2" w:name="_Ref407025337"/>
      <w:r w:rsidR="00E13949">
        <w:rPr>
          <w:rStyle w:val="FootnoteReference"/>
        </w:rPr>
        <w:footnoteReference w:id="5"/>
      </w:r>
      <w:bookmarkEnd w:id="2"/>
      <w:r w:rsidR="00395FA2">
        <w:t xml:space="preserve">, </w:t>
      </w:r>
      <w:r w:rsidRPr="00A24306">
        <w:t>Bronwyn MacInnis</w:t>
      </w:r>
      <w:r w:rsidR="00FB5180">
        <w:rPr>
          <w:vertAlign w:val="superscript"/>
        </w:rPr>
        <w:fldChar w:fldCharType="begin"/>
      </w:r>
      <w:r w:rsidR="00630078">
        <w:instrText xml:space="preserve"> NOTEREF _Ref407025337 \f \h </w:instrText>
      </w:r>
      <w:r w:rsidR="00FB5180">
        <w:rPr>
          <w:vertAlign w:val="superscript"/>
        </w:rPr>
      </w:r>
      <w:r w:rsidR="00FB5180">
        <w:rPr>
          <w:vertAlign w:val="superscript"/>
        </w:rPr>
        <w:fldChar w:fldCharType="separate"/>
      </w:r>
      <w:r w:rsidR="00630078" w:rsidRPr="00630078">
        <w:rPr>
          <w:rStyle w:val="FootnoteReference"/>
        </w:rPr>
        <w:t>5</w:t>
      </w:r>
      <w:r w:rsidR="00FB5180">
        <w:rPr>
          <w:vertAlign w:val="superscript"/>
        </w:rPr>
        <w:fldChar w:fldCharType="end"/>
      </w:r>
      <w:r w:rsidRPr="00A24306">
        <w:t>, Lisa Ranford-Cartwright</w:t>
      </w:r>
      <w:r w:rsidR="00E13949">
        <w:rPr>
          <w:rStyle w:val="FootnoteReference"/>
        </w:rPr>
        <w:footnoteReference w:id="6"/>
      </w:r>
      <w:r w:rsidRPr="00A24306">
        <w:t>, Michael Ferdig</w:t>
      </w:r>
      <w:r w:rsidR="00E13949">
        <w:rPr>
          <w:rStyle w:val="FootnoteReference"/>
        </w:rPr>
        <w:footnoteReference w:id="7"/>
      </w:r>
      <w:r w:rsidRPr="00A24306">
        <w:t xml:space="preserve">, </w:t>
      </w:r>
      <w:r w:rsidR="00CE7736">
        <w:t>Karen Hayton</w:t>
      </w:r>
      <w:r w:rsidR="00FB5180">
        <w:fldChar w:fldCharType="begin"/>
      </w:r>
      <w:r w:rsidR="00630078">
        <w:instrText xml:space="preserve"> NOTEREF _Ref407025357 \f \h </w:instrText>
      </w:r>
      <w:r w:rsidR="00FB5180">
        <w:fldChar w:fldCharType="separate"/>
      </w:r>
      <w:r w:rsidR="00630078" w:rsidRPr="00630078">
        <w:rPr>
          <w:rStyle w:val="FootnoteReference"/>
        </w:rPr>
        <w:t>8</w:t>
      </w:r>
      <w:r w:rsidR="00FB5180">
        <w:fldChar w:fldCharType="end"/>
      </w:r>
      <w:r w:rsidR="00CE7736">
        <w:t xml:space="preserve">, </w:t>
      </w:r>
      <w:r w:rsidRPr="00A24306">
        <w:t>Xinzhuan Su</w:t>
      </w:r>
      <w:bookmarkStart w:id="3" w:name="_Ref407025357"/>
      <w:r w:rsidR="00CE7736">
        <w:rPr>
          <w:rStyle w:val="FootnoteReference"/>
        </w:rPr>
        <w:footnoteReference w:id="8"/>
      </w:r>
      <w:bookmarkEnd w:id="3"/>
      <w:r w:rsidRPr="00A24306">
        <w:t>, Thomas Wellems</w:t>
      </w:r>
      <w:r w:rsidR="00FB5180">
        <w:rPr>
          <w:vertAlign w:val="superscript"/>
        </w:rPr>
        <w:fldChar w:fldCharType="begin"/>
      </w:r>
      <w:r w:rsidR="00630078">
        <w:instrText xml:space="preserve"> NOTEREF _Ref407025357 \f \h </w:instrText>
      </w:r>
      <w:r w:rsidR="00FB5180">
        <w:rPr>
          <w:vertAlign w:val="superscript"/>
        </w:rPr>
      </w:r>
      <w:r w:rsidR="00FB5180">
        <w:rPr>
          <w:vertAlign w:val="superscript"/>
        </w:rPr>
        <w:fldChar w:fldCharType="separate"/>
      </w:r>
      <w:r w:rsidR="00630078" w:rsidRPr="00630078">
        <w:rPr>
          <w:rStyle w:val="FootnoteReference"/>
        </w:rPr>
        <w:t>8</w:t>
      </w:r>
      <w:r w:rsidR="00FB5180">
        <w:rPr>
          <w:vertAlign w:val="superscript"/>
        </w:rPr>
        <w:fldChar w:fldCharType="end"/>
      </w:r>
      <w:r w:rsidRPr="00A24306">
        <w:t>, Julian Rayner</w:t>
      </w:r>
      <w:r w:rsidR="00FB5180">
        <w:rPr>
          <w:vertAlign w:val="superscript"/>
        </w:rPr>
        <w:fldChar w:fldCharType="begin"/>
      </w:r>
      <w:r w:rsidR="00630078">
        <w:instrText xml:space="preserve"> NOTEREF _Ref407025258 \f \h </w:instrText>
      </w:r>
      <w:r w:rsidR="00FB5180">
        <w:rPr>
          <w:vertAlign w:val="superscript"/>
        </w:rPr>
      </w:r>
      <w:r w:rsidR="00FB5180">
        <w:rPr>
          <w:vertAlign w:val="superscript"/>
        </w:rPr>
        <w:fldChar w:fldCharType="separate"/>
      </w:r>
      <w:r w:rsidR="00630078" w:rsidRPr="00630078">
        <w:rPr>
          <w:rStyle w:val="FootnoteReference"/>
        </w:rPr>
        <w:t>2</w:t>
      </w:r>
      <w:r w:rsidR="00FB5180">
        <w:rPr>
          <w:vertAlign w:val="superscript"/>
        </w:rPr>
        <w:fldChar w:fldCharType="end"/>
      </w:r>
      <w:r w:rsidRPr="00A24306">
        <w:t>, Gil McVean</w:t>
      </w:r>
      <w:r w:rsidR="00CE7736" w:rsidRPr="00CE7736">
        <w:rPr>
          <w:vertAlign w:val="superscript"/>
        </w:rPr>
        <w:t>3,</w:t>
      </w:r>
      <w:r w:rsidR="00CE7736">
        <w:rPr>
          <w:rStyle w:val="FootnoteReference"/>
        </w:rPr>
        <w:footnoteReference w:id="9"/>
      </w:r>
      <w:r w:rsidRPr="00A24306">
        <w:t xml:space="preserve"> and Dominic Kwiatkowski</w:t>
      </w:r>
      <w:r w:rsidR="00FB5180">
        <w:rPr>
          <w:vertAlign w:val="superscript"/>
        </w:rPr>
        <w:fldChar w:fldCharType="begin"/>
      </w:r>
      <w:r w:rsidR="00630078">
        <w:instrText xml:space="preserve"> NOTEREF _Ref407025258 \f \h </w:instrText>
      </w:r>
      <w:r w:rsidR="00FB5180">
        <w:rPr>
          <w:vertAlign w:val="superscript"/>
        </w:rPr>
      </w:r>
      <w:r w:rsidR="00FB5180">
        <w:rPr>
          <w:vertAlign w:val="superscript"/>
        </w:rPr>
        <w:fldChar w:fldCharType="separate"/>
      </w:r>
      <w:r w:rsidR="00630078" w:rsidRPr="00630078">
        <w:rPr>
          <w:rStyle w:val="FootnoteReference"/>
        </w:rPr>
        <w:t>2</w:t>
      </w:r>
      <w:r w:rsidR="00FB5180">
        <w:rPr>
          <w:vertAlign w:val="superscript"/>
        </w:rPr>
        <w:fldChar w:fldCharType="end"/>
      </w:r>
      <w:r w:rsidR="00630078">
        <w:rPr>
          <w:vertAlign w:val="superscript"/>
        </w:rPr>
        <w:t>,</w:t>
      </w:r>
      <w:r w:rsidR="00FB5180">
        <w:rPr>
          <w:vertAlign w:val="superscript"/>
        </w:rPr>
        <w:fldChar w:fldCharType="begin"/>
      </w:r>
      <w:r w:rsidR="00630078">
        <w:rPr>
          <w:vertAlign w:val="superscript"/>
        </w:rPr>
        <w:instrText xml:space="preserve"> NOTEREF _Ref407025212 \f \h </w:instrText>
      </w:r>
      <w:r w:rsidR="00FB5180">
        <w:rPr>
          <w:vertAlign w:val="superscript"/>
        </w:rPr>
      </w:r>
      <w:r w:rsidR="00FB5180">
        <w:rPr>
          <w:vertAlign w:val="superscript"/>
        </w:rPr>
        <w:fldChar w:fldCharType="separate"/>
      </w:r>
      <w:r w:rsidR="00630078" w:rsidRPr="00630078">
        <w:rPr>
          <w:rStyle w:val="FootnoteReference"/>
        </w:rPr>
        <w:t>1</w:t>
      </w:r>
      <w:r w:rsidR="00FB5180">
        <w:rPr>
          <w:vertAlign w:val="superscript"/>
        </w:rPr>
        <w:fldChar w:fldCharType="end"/>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xml:space="preserve">, and discuss the </w:t>
      </w:r>
      <w:r w:rsidR="000645D6">
        <w:lastRenderedPageBreak/>
        <w:t>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FB5180">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FB5180">
        <w:fldChar w:fldCharType="separate"/>
      </w:r>
      <w:r w:rsidR="00194EE4" w:rsidRPr="00194EE4">
        <w:rPr>
          <w:noProof/>
        </w:rPr>
        <w:t>(Ashley et al. 2014)</w:t>
      </w:r>
      <w:r w:rsidR="00FB5180">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FB5180">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FB5180">
        <w:fldChar w:fldCharType="separate"/>
      </w:r>
      <w:r w:rsidR="00CB6C32" w:rsidRPr="00CB6C32">
        <w:rPr>
          <w:noProof/>
        </w:rPr>
        <w:t>(Manske</w:t>
      </w:r>
      <w:r w:rsidR="00DB2FDB">
        <w:rPr>
          <w:noProof/>
        </w:rPr>
        <w:t>, Miotto</w:t>
      </w:r>
      <w:r w:rsidR="00CB6C32" w:rsidRPr="00CB6C32">
        <w:rPr>
          <w:noProof/>
        </w:rPr>
        <w:t xml:space="preserve"> et al., 2012; Miotto et al., 2013)</w:t>
      </w:r>
      <w:r w:rsidR="00FB5180">
        <w:fldChar w:fldCharType="end"/>
      </w:r>
      <w:r w:rsidR="0066222C">
        <w:t xml:space="preserve">, </w:t>
      </w:r>
      <w:r w:rsidR="00DB2FDB">
        <w:t xml:space="preserve">the generation of antigenic diversity </w:t>
      </w:r>
      <w:r w:rsidR="00FB5180">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FB5180">
        <w:fldChar w:fldCharType="separate"/>
      </w:r>
      <w:r w:rsidR="00DB2FDB" w:rsidRPr="00DB2FDB">
        <w:rPr>
          <w:noProof/>
        </w:rPr>
        <w:t>(Claessens, Hamilton</w:t>
      </w:r>
      <w:r w:rsidR="00DB2FDB">
        <w:rPr>
          <w:noProof/>
        </w:rPr>
        <w:t xml:space="preserve"> et al.</w:t>
      </w:r>
      <w:r w:rsidR="00DB2FDB" w:rsidRPr="00DB2FDB">
        <w:rPr>
          <w:noProof/>
        </w:rPr>
        <w:t>, 2014)</w:t>
      </w:r>
      <w:r w:rsidR="00FB5180">
        <w:fldChar w:fldCharType="end"/>
      </w:r>
      <w:r w:rsidR="00DB2FDB">
        <w:t xml:space="preserve"> and </w:t>
      </w:r>
      <w:r w:rsidR="0066222C">
        <w:t xml:space="preserve">the genetic basis for artemisinin resistance </w:t>
      </w:r>
      <w:r w:rsidR="00FB5180">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FB5180">
        <w:fldChar w:fldCharType="separate"/>
      </w:r>
      <w:r w:rsidR="00194EE4" w:rsidRPr="00194EE4">
        <w:rPr>
          <w:noProof/>
        </w:rPr>
        <w:t>(Ariey et al. 2014)</w:t>
      </w:r>
      <w:r w:rsidR="00FB5180">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FB5180">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FB5180">
        <w:fldChar w:fldCharType="separate"/>
      </w:r>
      <w:r w:rsidR="00194EE4" w:rsidRPr="00194EE4">
        <w:rPr>
          <w:noProof/>
        </w:rPr>
        <w:t>(Gardner et al. 2002)</w:t>
      </w:r>
      <w:r w:rsidR="00FB5180">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FB5180">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FB5180">
        <w:fldChar w:fldCharType="separate"/>
      </w:r>
      <w:r w:rsidR="00194EE4" w:rsidRPr="00194EE4">
        <w:rPr>
          <w:noProof/>
        </w:rPr>
        <w:t>(Gardner et al. 2002; Zilversmit et al. 2010; Muralidharan &amp; Goldberg 2013; DePristo et al. 2006)</w:t>
      </w:r>
      <w:r w:rsidR="00FB5180">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FB5180">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FB5180">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FB5180">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be highly diverged from the reference sequence</w:t>
      </w:r>
      <w:r w:rsidR="001C1697">
        <w:t xml:space="preserve"> </w:t>
      </w:r>
      <w:r w:rsidR="00FB5180">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FB5180">
        <w:fldChar w:fldCharType="separate"/>
      </w:r>
      <w:r w:rsidR="00194EE4" w:rsidRPr="00194EE4">
        <w:rPr>
          <w:noProof/>
        </w:rPr>
        <w:t>(Roy et al. 2008)</w:t>
      </w:r>
      <w:r w:rsidR="00FB5180">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FB5180">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FB5180">
        <w:fldChar w:fldCharType="separate"/>
      </w:r>
      <w:r w:rsidR="00194EE4" w:rsidRPr="00194EE4">
        <w:rPr>
          <w:noProof/>
        </w:rPr>
        <w:t>(Jeffares et al. 2007; Haerty &amp; Golding 2011; Tan et al. 2010)</w:t>
      </w:r>
      <w:r w:rsidR="00FB5180">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FB5180">
        <w:fldChar w:fldCharType="begin" w:fldLock="1"/>
      </w:r>
      <w:r w:rsidR="008F4EA1">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FB5180">
        <w:fldChar w:fldCharType="separate"/>
      </w:r>
      <w:r w:rsidR="008F4EA1" w:rsidRPr="008F4EA1">
        <w:rPr>
          <w:noProof/>
        </w:rPr>
        <w:t>(Mok et al. 2014)</w:t>
      </w:r>
      <w:r w:rsidR="00FB5180">
        <w:fldChar w:fldCharType="end"/>
      </w:r>
      <w:r w:rsidR="00B1727B">
        <w:t xml:space="preserve">.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rsidR="00FB5180">
        <w:fldChar w:fldCharType="begin" w:fldLock="1"/>
      </w:r>
      <w:r w:rsidR="00E23718">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"title" : "The role of replicates for error mitigation in next-generation sequencing.", "title-short" : "Nat Rev Genet",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rsidR="00FB5180">
        <w:fldChar w:fldCharType="separate"/>
      </w:r>
      <w:r w:rsidR="00194EE4" w:rsidRPr="00194EE4">
        <w:rPr>
          <w:noProof/>
        </w:rPr>
        <w:t>(Robasky et al. 2014)</w:t>
      </w:r>
      <w:r w:rsidR="00FB5180">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C8137E">
        <w:t xml:space="preserve"> and</w:t>
      </w:r>
      <w:r w:rsidR="00890734">
        <w:t xml:space="preserve"> used as an </w:t>
      </w:r>
      <w:r w:rsidR="001C088D">
        <w:t>indic</w:t>
      </w:r>
      <w:r>
        <w:t>ator of error</w:t>
      </w:r>
      <w:r w:rsidR="00890734">
        <w:t xml:space="preserve"> </w:t>
      </w:r>
      <w:r w:rsidR="00FB5180">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FB5180">
        <w:fldChar w:fldCharType="separate"/>
      </w:r>
      <w:r w:rsidR="00194EE4" w:rsidRPr="00194EE4">
        <w:rPr>
          <w:noProof/>
        </w:rPr>
        <w:t>(Saunders et al. 2007)</w:t>
      </w:r>
      <w:r w:rsidR="00FB5180">
        <w:fldChar w:fldCharType="end"/>
      </w:r>
      <w:r w:rsidR="001C088D">
        <w:t xml:space="preserve">. </w:t>
      </w:r>
      <w:r w:rsidR="00DE11E6">
        <w:t xml:space="preserve">Unfortunately, </w:t>
      </w:r>
      <w:r w:rsidR="00DE11E6">
        <w:lastRenderedPageBreak/>
        <w:t xml:space="preserve">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FB5180">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FB5180">
        <w:fldChar w:fldCharType="separate"/>
      </w:r>
      <w:r w:rsidR="00194EE4" w:rsidRPr="00194EE4">
        <w:rPr>
          <w:noProof/>
        </w:rPr>
        <w:t>(Walliker et al. 1987)</w:t>
      </w:r>
      <w:r w:rsidR="00FB5180">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FB5180">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FB5180">
        <w:fldChar w:fldCharType="separate"/>
      </w:r>
      <w:r w:rsidR="00194EE4" w:rsidRPr="00194EE4">
        <w:rPr>
          <w:noProof/>
        </w:rPr>
        <w:t>(Wellems et al. 1991)</w:t>
      </w:r>
      <w:r w:rsidR="00FB5180">
        <w:fldChar w:fldCharType="end"/>
      </w:r>
      <w:r w:rsidR="00A72CFF">
        <w:t xml:space="preserve"> and host specificity </w:t>
      </w:r>
      <w:r w:rsidR="00FB5180">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FB5180">
        <w:fldChar w:fldCharType="separate"/>
      </w:r>
      <w:r w:rsidR="00194EE4" w:rsidRPr="00194EE4">
        <w:rPr>
          <w:noProof/>
        </w:rPr>
        <w:t>(Hayton et al. 2008)</w:t>
      </w:r>
      <w:r w:rsidR="00FB5180">
        <w:fldChar w:fldCharType="end"/>
      </w:r>
      <w:r w:rsidR="00A72CFF">
        <w:t>. However, although only three crosses have been performed, each cross yields a large number of progeny clones</w:t>
      </w:r>
      <w:r w:rsidR="00924F7E">
        <w:t>,</w:t>
      </w:r>
      <w:r w:rsidR="00EA3CED">
        <w:t xml:space="preserve"> each </w:t>
      </w:r>
      <w:r w:rsidR="00924F7E">
        <w:t xml:space="preserve">of which is </w:t>
      </w:r>
      <w:r w:rsidR="00EA3CED">
        <w:t>the result of an independent meiosis</w:t>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because </w:t>
      </w:r>
      <w:r w:rsidR="00016DA9">
        <w:t xml:space="preserve">biological replicates can be readily obtained, and because </w:t>
      </w:r>
      <w:r w:rsidR="00A72CFF">
        <w:t>they represent the only</w:t>
      </w:r>
      <w:r w:rsidR="00016DA9">
        <w:t xml:space="preserve"> </w:t>
      </w:r>
      <w:r w:rsidR="00DC5736" w:rsidRPr="00DC5736">
        <w:rPr>
          <w:i/>
        </w:rPr>
        <w:t>P. falciparum</w:t>
      </w:r>
      <w:r w:rsidR="00DC5736">
        <w:t xml:space="preserve"> </w:t>
      </w:r>
      <w:r w:rsidR="00016DA9">
        <w:t>experimental system</w:t>
      </w:r>
      <w:r w:rsidR="00A72CFF">
        <w:t xml:space="preserve"> within which </w:t>
      </w:r>
      <w:r w:rsidR="00016DA9">
        <w:t>Mendelian errors can be observed</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three distinct continental origins. We use a combination of methods for variant discovery, leveraging both alignment of sequence reads to the 3D7 reference genome </w:t>
      </w:r>
      <w:r w:rsidR="00FB5180">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FB5180">
        <w:fldChar w:fldCharType="separate"/>
      </w:r>
      <w:r w:rsidR="008F4EA1" w:rsidRPr="008F4EA1">
        <w:rPr>
          <w:noProof/>
        </w:rPr>
        <w:t>(DePristo et al. 2011; Li &amp; Durbin 2009; McKenna et al. 2010)</w:t>
      </w:r>
      <w:r w:rsidR="00FB5180">
        <w:fldChar w:fldCharType="end"/>
      </w:r>
      <w:r w:rsidR="00194EE4">
        <w:t xml:space="preserve"> </w:t>
      </w:r>
      <w:r>
        <w:t>and reference-fre</w:t>
      </w:r>
      <w:r w:rsidR="00194EE4">
        <w:t xml:space="preserve">e sequence assembly </w:t>
      </w:r>
      <w:r w:rsidR="00FB5180">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FB5180">
        <w:fldChar w:fldCharType="separate"/>
      </w:r>
      <w:r w:rsidR="00194EE4" w:rsidRPr="00194EE4">
        <w:rPr>
          <w:noProof/>
        </w:rPr>
        <w:t>(Iqbal et al. 2012)</w:t>
      </w:r>
      <w:r w:rsidR="00FB5180">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 xml:space="preserve">Because these data </w:t>
      </w:r>
      <w:r w:rsidR="0010383D">
        <w:t>could serve as a</w:t>
      </w:r>
      <w:r w:rsidR="001C4E6F">
        <w:t xml:space="preserve"> reference resource for both research and education, we describe a novel web application providing a means for exploring and interacting with these data in an intuitive way.</w:t>
      </w:r>
    </w:p>
    <w:p w:rsidR="001C4E6F" w:rsidRDefault="00A32224" w:rsidP="001C088D">
      <w:r>
        <w:t xml:space="preserve">We also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Previous studies</w:t>
      </w:r>
      <w:r w:rsidR="009D296D">
        <w:t xml:space="preserve"> using lower-resolution genotyping methods</w:t>
      </w:r>
      <w:r w:rsidR="00065004">
        <w:t xml:space="preserve"> have estimated crossover </w:t>
      </w:r>
      <w:r w:rsidR="006D6FCD">
        <w:t xml:space="preserve">(CO) </w:t>
      </w:r>
      <w:r w:rsidR="00065004">
        <w:t>recombination rate</w:t>
      </w:r>
      <w:r w:rsidR="00D00B79">
        <w:t>s</w:t>
      </w:r>
      <w:r w:rsidR="00065004">
        <w:t xml:space="preserve"> </w:t>
      </w:r>
      <w:r w:rsidR="00FB5180">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FB5180">
        <w:fldChar w:fldCharType="separate"/>
      </w:r>
      <w:r w:rsidR="00EE1931" w:rsidRPr="00EE1931">
        <w:rPr>
          <w:noProof/>
        </w:rPr>
        <w:t>(Su et al. 1999; Jiang et al. 2011; Walker-Jonah et al. 1992)</w:t>
      </w:r>
      <w:r w:rsidR="00FB5180">
        <w:fldChar w:fldCharType="end"/>
      </w:r>
      <w:r w:rsidR="009D296D">
        <w:t xml:space="preserve"> and</w:t>
      </w:r>
      <w:r w:rsidR="00065004">
        <w:t xml:space="preserve"> provided evidence </w:t>
      </w:r>
      <w:r w:rsidR="00D00B79">
        <w:t>for</w:t>
      </w:r>
      <w:r w:rsidR="00065004">
        <w:t xml:space="preserve"> non-crossover </w:t>
      </w:r>
      <w:r w:rsidR="006D6FCD">
        <w:t xml:space="preserve">(NCO) </w:t>
      </w:r>
      <w:r w:rsidR="00D00B79">
        <w:t>recombination</w:t>
      </w:r>
      <w:r w:rsidR="009D296D">
        <w:t xml:space="preserve"> </w:t>
      </w:r>
      <w:r w:rsidR="009D296D">
        <w:fldChar w:fldCharType="begin" w:fldLock="1"/>
      </w:r>
      <w:r w:rsidR="006D6FCD">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"mendeley" : { "formattedCitation" : "(Su et al. 1999)", "plainTextFormattedCitation" : "(Su et al. 1999)", "previouslyFormattedCitation" : "(Su et al. 1999)" }, "properties" : { "noteIndex" : 0 }, "schema" : "https://github.com/citation-style-language/schema/raw/master/csl-citation.json" }</w:instrText>
      </w:r>
      <w:r w:rsidR="009D296D">
        <w:fldChar w:fldCharType="separate"/>
      </w:r>
      <w:r w:rsidR="009D296D" w:rsidRPr="009D296D">
        <w:rPr>
          <w:noProof/>
        </w:rPr>
        <w:t>(Su et al. 1999)</w:t>
      </w:r>
      <w:r w:rsidR="009D296D">
        <w:fldChar w:fldCharType="end"/>
      </w:r>
      <w:r w:rsidR="009D296D">
        <w:t xml:space="preserve">. One study </w:t>
      </w:r>
      <w:r w:rsidR="006D6FCD">
        <w:t>used high-</w:t>
      </w:r>
      <w:r w:rsidR="009D296D">
        <w:t xml:space="preserve">throughput sequencing </w:t>
      </w:r>
      <w:r w:rsidR="006D6FCD">
        <w:t xml:space="preserve">to resolve </w:t>
      </w:r>
      <w:r w:rsidR="006D6FCD">
        <w:lastRenderedPageBreak/>
        <w:t>recombination events in</w:t>
      </w:r>
      <w:r w:rsidR="009D296D">
        <w:t xml:space="preserve"> two progeny </w:t>
      </w:r>
      <w:r w:rsidR="006D6FCD">
        <w:t xml:space="preserve">of </w:t>
      </w:r>
      <w:r w:rsidR="009D296D">
        <w:t>the HB3xDd2 cross</w:t>
      </w:r>
      <w:r w:rsidR="006D6FCD">
        <w:t xml:space="preserve">, finding evidence that rates of CO and NCO recombination may be similar </w:t>
      </w:r>
      <w:r w:rsidR="006D6FCD">
        <w:fldChar w:fldCharType="begin" w:fldLock="1"/>
      </w:r>
      <w:r w:rsidR="00097BD4">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"plainTextFormattedCitation" : "(Samarakoon, Regier, et al. 2011)", "previouslyFormattedCitation" : "(Samarakoon, Regier, et al. 2011)" }, "properties" : { "noteIndex" : 0 }, "schema" : "https://github.com/citation-style-language/schema/raw/master/csl-citation.json" }</w:instrText>
      </w:r>
      <w:r w:rsidR="006D6FCD">
        <w:fldChar w:fldCharType="separate"/>
      </w:r>
      <w:r w:rsidR="006D6FCD" w:rsidRPr="006D6FCD">
        <w:rPr>
          <w:noProof/>
        </w:rPr>
        <w:t>(Samarakoon, Regier, et al. 2011)</w:t>
      </w:r>
      <w:r w:rsidR="006D6FCD">
        <w:fldChar w:fldCharType="end"/>
      </w:r>
      <w:r w:rsidR="009D296D">
        <w:t>. Previous studies have also</w:t>
      </w:r>
      <w:r w:rsidR="006E7EA9">
        <w:t xml:space="preserve"> demonstrated that at least some recombination events occur within coding regions </w:t>
      </w:r>
      <w:r w:rsidR="00FB5180">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FB5180">
        <w:fldChar w:fldCharType="separate"/>
      </w:r>
      <w:r w:rsidR="00EE1931" w:rsidRPr="00EE1931">
        <w:rPr>
          <w:noProof/>
        </w:rPr>
        <w:t>(Kerr et al. 1994)</w:t>
      </w:r>
      <w:r w:rsidR="00FB5180">
        <w:fldChar w:fldCharType="end"/>
      </w:r>
      <w:r w:rsidR="00065004">
        <w:t xml:space="preserve"> and suggested that recombination events are not uniformly distributed </w:t>
      </w:r>
      <w:r w:rsidR="006E7EA9">
        <w:t xml:space="preserve">over the genome </w:t>
      </w:r>
      <w:r w:rsidR="00FB5180">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FB5180">
        <w:fldChar w:fldCharType="separate"/>
      </w:r>
      <w:r w:rsidR="00EE1931" w:rsidRPr="00EE1931">
        <w:rPr>
          <w:noProof/>
        </w:rPr>
        <w:t>(Jiang et al. 2011)</w:t>
      </w:r>
      <w:r w:rsidR="00FB5180">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FB5180">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FB5180">
        <w:fldChar w:fldCharType="separate"/>
      </w:r>
      <w:r w:rsidR="00EE1931" w:rsidRPr="00EE1931">
        <w:rPr>
          <w:noProof/>
        </w:rPr>
        <w:t>(Wellems et al. 1990; Samarakoon, Gonzales, et al. 2011)</w:t>
      </w:r>
      <w:r w:rsidR="00FB5180">
        <w:fldChar w:fldCharType="end"/>
      </w:r>
      <w:r w:rsidR="006E7EA9">
        <w:t xml:space="preserve">. </w:t>
      </w:r>
      <w:r w:rsidR="001C4E6F">
        <w:t>We find evidence for crossover recombination within these amplifications 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by </w:t>
      </w:r>
      <w:r w:rsidR="006835DA">
        <w:t xml:space="preserve">point </w:t>
      </w:r>
      <w:r w:rsidR="001C4E6F">
        <w:t>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FB5180">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FB5180">
        <w:fldChar w:fldCharType="separate"/>
      </w:r>
      <w:r w:rsidR="007A475F" w:rsidRPr="007A475F">
        <w:rPr>
          <w:noProof/>
        </w:rPr>
        <w:t>(Walliker et al. 1987)</w:t>
      </w:r>
      <w:r w:rsidR="00FB5180">
        <w:fldChar w:fldCharType="end"/>
      </w:r>
      <w:r w:rsidR="007A475F">
        <w:t xml:space="preserve">, HB3×Dd2 </w:t>
      </w:r>
      <w:r w:rsidR="00FB5180">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FB5180">
        <w:fldChar w:fldCharType="separate"/>
      </w:r>
      <w:r w:rsidR="007A475F" w:rsidRPr="007A475F">
        <w:rPr>
          <w:noProof/>
        </w:rPr>
        <w:t>(Wellems et al. 1990; Wellems et al. 1991)</w:t>
      </w:r>
      <w:r w:rsidR="00FB5180">
        <w:fldChar w:fldCharType="end"/>
      </w:r>
      <w:r w:rsidR="007A475F">
        <w:t xml:space="preserve"> and 7G8×GB4 </w:t>
      </w:r>
      <w:r w:rsidR="00FB5180">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FB5180">
        <w:fldChar w:fldCharType="separate"/>
      </w:r>
      <w:r w:rsidR="007A475F" w:rsidRPr="007A475F">
        <w:rPr>
          <w:noProof/>
        </w:rPr>
        <w:t>(Hayton et al. 2008)</w:t>
      </w:r>
      <w:r w:rsidR="00FB5180">
        <w:fldChar w:fldCharType="end"/>
      </w:r>
      <w:r>
        <w:t xml:space="preserve">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FB5180">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FB5180">
        <w:fldChar w:fldCharType="separate"/>
      </w:r>
      <w:r w:rsidR="00334433" w:rsidRPr="00334433">
        <w:rPr>
          <w:noProof/>
        </w:rPr>
        <w:t>(Kozarewa et al. 2009)</w:t>
      </w:r>
      <w:r w:rsidR="00FB5180">
        <w:fldChar w:fldCharType="end"/>
      </w:r>
      <w:r w:rsidR="0072106A">
        <w:t>.</w:t>
      </w:r>
      <w:r>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7"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7220F1">
        <w:t xml:space="preserve"> </w:t>
      </w:r>
      <w:r w:rsidR="00EE0300" w:rsidRPr="008F4EA1">
        <w:rPr>
          <w:i/>
        </w:rPr>
        <w:t>var</w:t>
      </w:r>
      <w:r w:rsidR="007220F1">
        <w:t xml:space="preserve"> </w:t>
      </w:r>
      <w:r w:rsidR="005D178D">
        <w:t>family</w:t>
      </w:r>
      <w:r w:rsidR="00AD509E">
        <w:t xml:space="preserve">, which are known to undergo </w:t>
      </w:r>
      <w:r w:rsidR="00A55587">
        <w:t>frequent</w:t>
      </w:r>
      <w:r w:rsidR="00AD509E">
        <w:t xml:space="preserve"> non-allelic recombination during mitosis </w:t>
      </w:r>
      <w:r w:rsidR="00FB5180">
        <w:fldChar w:fldCharType="begin" w:fldLock="1"/>
      </w:r>
      <w:r w:rsidR="001C68E4">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"author" : [ { "dropping-particle" : "", "family" : "Antoine Claessens, William L. Hamilton, Mihir Kekre, Thomas D. Otto, Adnan Faizullabhoy, Julian C. Rayner", "given" : "Dominic Kwiatkowski", "non-dropping-particle" : "", "parse-names" : false, "suffix" : "" } ], "container-title" : "PLoS genetics", "id" : "ITEM-2",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Antoine Claessens, William L. Hamilton, Mihir Kekre, Thomas D. Otto, Adnan Faizullabhoy, Julian C. Rayner 2014)", "manualFormatting" : "(Bopp et al. 2013; Claessens, Hamilton et al., 2014)", "plainTextFormattedCitation" : "(Bopp et al. 2013; Antoine Claessens, William L. Hamilton, Mihir Kekre, Thomas D. Otto, Adnan Faizullabhoy, Julian C. Rayner 2014)", "previouslyFormattedCitation" : "(Bopp et al. 2013; Antoine Claessens, William L. Hamilton, Mihir Kekre, Thomas D. Otto, Adnan Faizullabhoy, Julian C. Rayner 2014)" }, "properties" : { "noteIndex" : 0 }, "schema" : "https://github.com/citation-style-language/schema/raw/master/csl-citation.json" }</w:instrText>
      </w:r>
      <w:r w:rsidR="00FB5180">
        <w:fldChar w:fldCharType="separate"/>
      </w:r>
      <w:r w:rsidR="001C68E4">
        <w:rPr>
          <w:noProof/>
        </w:rPr>
        <w:t xml:space="preserve">(Bopp et al. 2013; </w:t>
      </w:r>
      <w:r w:rsidR="001C68E4" w:rsidRPr="001C68E4">
        <w:rPr>
          <w:noProof/>
        </w:rPr>
        <w:t>Claessens, Hamilton</w:t>
      </w:r>
      <w:r w:rsidR="001C68E4">
        <w:rPr>
          <w:noProof/>
        </w:rPr>
        <w:t xml:space="preserve"> et al.,</w:t>
      </w:r>
      <w:r w:rsidR="001C68E4" w:rsidRPr="001C68E4">
        <w:rPr>
          <w:noProof/>
        </w:rPr>
        <w:t xml:space="preserve"> 2014)</w:t>
      </w:r>
      <w:r w:rsidR="00FB5180">
        <w:fldChar w:fldCharType="end"/>
      </w:r>
      <w:r w:rsidR="00F23B0D">
        <w:t>,</w:t>
      </w:r>
      <w:r w:rsidR="005D178D">
        <w:t xml:space="preserve"> and almost all genes in the </w:t>
      </w:r>
      <w:r w:rsidR="00AD509E">
        <w:t xml:space="preserve">associated </w:t>
      </w:r>
      <w:r w:rsidR="00EE0300" w:rsidRPr="008F4EA1">
        <w:rPr>
          <w:i/>
        </w:rPr>
        <w:t>rif</w:t>
      </w:r>
      <w:r w:rsidR="005D178D">
        <w:t xml:space="preserve"> and </w:t>
      </w:r>
      <w:r w:rsidR="00EE0300" w:rsidRPr="008F4EA1">
        <w:rPr>
          <w:i/>
        </w:rPr>
        <w:t>stevor</w:t>
      </w:r>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FB5180">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FB5180">
        <w:fldChar w:fldCharType="separate"/>
      </w:r>
      <w:r w:rsidR="001C68E4" w:rsidRPr="001C68E4">
        <w:rPr>
          <w:noProof/>
        </w:rPr>
        <w:t>(Flueck et al. 2009)</w:t>
      </w:r>
      <w:r w:rsidR="00FB5180">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w:t>
      </w:r>
      <w:r w:rsidR="0010383D">
        <w:t xml:space="preserve">immunologically </w:t>
      </w:r>
      <w:r>
        <w:t>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FB5180">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FB5180">
        <w:fldChar w:fldCharType="separate"/>
      </w:r>
      <w:r w:rsidR="008509AB" w:rsidRPr="008509AB">
        <w:rPr>
          <w:noProof/>
        </w:rPr>
        <w:t>(DePristo et al. 2011; Li &amp; Durbin 2009)</w:t>
      </w:r>
      <w:r w:rsidR="00FB5180">
        <w:fldChar w:fldCharType="end"/>
      </w:r>
      <w:r>
        <w:t xml:space="preserve">, the other based on partial assembly of sequence reads and comparison of assembled contigs </w:t>
      </w:r>
      <w:r w:rsidR="00FB5180">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FB5180">
        <w:fldChar w:fldCharType="separate"/>
      </w:r>
      <w:r w:rsidR="0077147F" w:rsidRPr="0077147F">
        <w:rPr>
          <w:noProof/>
        </w:rPr>
        <w:t>(Iqbal et al. 2012)</w:t>
      </w:r>
      <w:r w:rsidR="00FB5180">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w:t>
      </w:r>
      <w:r w:rsidR="004177B6">
        <w:lastRenderedPageBreak/>
        <w:t xml:space="preserve">variant calling methods. </w:t>
      </w:r>
      <w:r w:rsidR="003F0D40">
        <w:t xml:space="preserve">Many variants were discovered by both methods,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w:t>
      </w:r>
      <w:r w:rsidR="008B66D9">
        <w:t>art of a separate project</w:t>
      </w:r>
      <w:r w:rsidR="008B66D9">
        <w:rPr>
          <w:rStyle w:val="FootnoteReference"/>
        </w:rPr>
        <w:footnoteReference w:id="10"/>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w:t>
      </w:r>
      <w:r w:rsidR="00F23B0D">
        <w:t>variant</w:t>
      </w:r>
      <w:r w:rsidR="00995125">
        <w:t xml:space="preserve"> calls can be downloade</w:t>
      </w:r>
      <w:r w:rsidR="008B66D9">
        <w:t>d from a public FTP site</w:t>
      </w:r>
      <w:r w:rsidR="00995125">
        <w:t xml:space="preserve"> or browsed via the web application at </w:t>
      </w:r>
      <w:hyperlink r:id="rId8" w:history="1">
        <w:r w:rsidR="00995125" w:rsidRPr="000B39EA">
          <w:rPr>
            <w:rStyle w:val="Hyperlink"/>
          </w:rPr>
          <w:t>http://www.malariagen.net/apps/pf-crosses</w:t>
        </w:r>
      </w:hyperlink>
      <w:r w:rsidR="0010383D">
        <w:t>.</w:t>
      </w:r>
    </w:p>
    <w:p w:rsidR="00840C8B" w:rsidRDefault="00A0596E" w:rsidP="00831572">
      <w:r>
        <w:t xml:space="preserve">The </w:t>
      </w:r>
      <w:r w:rsidR="00B139F3">
        <w:t xml:space="preserve">near-perfect reproducibility of these variant calls, in addition to </w:t>
      </w:r>
      <w:r>
        <w:t>the highly plausible patterns of recombination (see below), suggests that all discovered variants mark some genuine haplotypic difference between parental clones.</w:t>
      </w:r>
      <w:r w:rsidR="007B45FA">
        <w:t xml:space="preserve"> </w:t>
      </w:r>
      <w:r>
        <w:t xml:space="preserve">However, some variants may be false discoveries, in the sense that the variant allele is not correctly ascertained. </w:t>
      </w:r>
      <w:r w:rsidR="0010383D">
        <w:t xml:space="preserve">To estimate false discovery and sensitivity rates we compared variant calls </w:t>
      </w:r>
      <w:r w:rsidR="00013797">
        <w:t xml:space="preserve">obtained </w:t>
      </w:r>
      <w:r w:rsidR="00B139F3">
        <w:t xml:space="preserve">for clone HB3 </w:t>
      </w:r>
      <w:r w:rsidR="00013797">
        <w:t>from</w:t>
      </w:r>
      <w:r w:rsidR="00843650">
        <w:t xml:space="preserve"> </w:t>
      </w:r>
      <w:r w:rsidR="00B139F3">
        <w:t xml:space="preserve">the </w:t>
      </w:r>
      <w:r w:rsidR="00843650">
        <w:t xml:space="preserve">high throughput sequence data </w:t>
      </w:r>
      <w:r w:rsidR="0010383D">
        <w:t xml:space="preserve">with </w:t>
      </w:r>
      <w:r w:rsidR="00E23718">
        <w:t xml:space="preserve">the HB3 draft </w:t>
      </w:r>
      <w:r w:rsidR="00843650">
        <w:t xml:space="preserve">genome </w:t>
      </w:r>
      <w:r w:rsidR="00E23718">
        <w:t xml:space="preserve">assembly </w:t>
      </w:r>
      <w:r w:rsidR="00FB5180">
        <w:fldChar w:fldCharType="begin" w:fldLock="1"/>
      </w:r>
      <w:r w:rsidR="009D296D">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"http://www.mendeley.com/documents/?uuid=a9fb526e-9f0c-4c10-a6a8-8adc387a9d3c", "http://www.mendeley.com/documents/?uuid=d5611798-eaa8-42d9-9833-1d69a9aeed51" ] } ], "mendeley" : { "formattedCitation" : "(Birren et al. 2006)", "plainTextFormattedCitation" : "(Birren et al. 2006)", "previouslyFormattedCitation" : "(Birren et al. 2006)" }, "properties" : { "noteIndex" : 0 }, "schema" : "https://github.com/citation-style-language/schema/raw/master/csl-citation.json" }</w:instrText>
      </w:r>
      <w:r w:rsidR="00FB5180">
        <w:fldChar w:fldCharType="separate"/>
      </w:r>
      <w:r w:rsidR="00843650" w:rsidRPr="00E23718">
        <w:rPr>
          <w:noProof/>
        </w:rPr>
        <w:t>(Birren et al. 2006)</w:t>
      </w:r>
      <w:r w:rsidR="00FB5180">
        <w:fldChar w:fldCharType="end"/>
      </w:r>
      <w:r w:rsidR="00843650">
        <w:t xml:space="preserve"> and </w:t>
      </w:r>
      <w:r w:rsidR="00676EC4">
        <w:t xml:space="preserve">publicly available HB3 </w:t>
      </w:r>
      <w:r w:rsidR="00843650">
        <w:t xml:space="preserve">gene </w:t>
      </w:r>
      <w:r w:rsidR="00E23718">
        <w:t>sequences</w:t>
      </w:r>
      <w:r w:rsidR="00843650">
        <w:t xml:space="preserve"> </w:t>
      </w:r>
      <w:r w:rsidR="00E23718">
        <w:t xml:space="preserve">(supplementary information). </w:t>
      </w:r>
      <w:r w:rsidR="004C01D4">
        <w:t>W</w:t>
      </w:r>
      <w:r w:rsidR="00843650">
        <w:t xml:space="preserve">e restricted the analysis to a subset of 32 genes where </w:t>
      </w:r>
      <w:r w:rsidR="00676EC4">
        <w:t xml:space="preserve">both </w:t>
      </w:r>
      <w:r w:rsidR="00843650">
        <w:t xml:space="preserve">a single contig </w:t>
      </w:r>
      <w:r w:rsidR="004C01D4">
        <w:t xml:space="preserve">from the </w:t>
      </w:r>
      <w:r w:rsidR="00877689">
        <w:t xml:space="preserve">draft </w:t>
      </w:r>
      <w:r w:rsidR="004C01D4">
        <w:t>assembly and a single</w:t>
      </w:r>
      <w:r w:rsidR="00676EC4">
        <w:t xml:space="preserve"> HB3 gene sequence </w:t>
      </w:r>
      <w:r w:rsidR="00B139F3">
        <w:t>could be</w:t>
      </w:r>
      <w:r w:rsidR="00676EC4">
        <w:t xml:space="preserve"> unambiguously</w:t>
      </w:r>
      <w:r w:rsidR="00843650">
        <w:t xml:space="preserve"> </w:t>
      </w:r>
      <w:r w:rsidR="00676EC4">
        <w:t>aligned</w:t>
      </w:r>
      <w:r w:rsidR="00D57147">
        <w:t xml:space="preserve"> to the 3D7 reference</w:t>
      </w:r>
      <w:r w:rsidR="00676EC4">
        <w:t xml:space="preserve"> spanning the entire gene</w:t>
      </w:r>
      <w:r w:rsidR="00843650">
        <w:t>.</w:t>
      </w:r>
      <w:r w:rsidR="00676EC4">
        <w:t xml:space="preserve"> Even within this </w:t>
      </w:r>
      <w:r w:rsidR="00D07F33">
        <w:t xml:space="preserve">limited </w:t>
      </w:r>
      <w:r w:rsidR="00676EC4">
        <w:t xml:space="preserve">subset we </w:t>
      </w:r>
      <w:r w:rsidR="00071215">
        <w:t>found</w:t>
      </w:r>
      <w:r w:rsidR="00676EC4">
        <w:t xml:space="preserve"> discordances between the </w:t>
      </w:r>
      <w:r w:rsidR="00071215">
        <w:t>draft assembly and the gene sequences</w:t>
      </w:r>
      <w:r w:rsidR="00676EC4">
        <w:t>, particularly involving INDELs</w:t>
      </w:r>
      <w:r w:rsidR="00D07F33">
        <w:t xml:space="preserve"> (supplementary figure @@N)</w:t>
      </w:r>
      <w:r w:rsidR="00071215">
        <w:t>, suggesting</w:t>
      </w:r>
      <w:r w:rsidR="00D07F33">
        <w:t xml:space="preserve"> that both </w:t>
      </w:r>
      <w:r w:rsidR="0001017A">
        <w:t xml:space="preserve">pre-existing </w:t>
      </w:r>
      <w:r w:rsidR="00071215">
        <w:t xml:space="preserve">sources </w:t>
      </w:r>
      <w:r w:rsidR="00D07F33">
        <w:t>may be affected by errors</w:t>
      </w:r>
      <w:r w:rsidR="00877689">
        <w:t>.</w:t>
      </w:r>
      <w:r w:rsidR="00840C8B">
        <w:t xml:space="preserve"> </w:t>
      </w:r>
      <w:r w:rsidR="009F34F8">
        <w:t>@@N/@@M SNP</w:t>
      </w:r>
      <w:r w:rsidR="00840C8B">
        <w:t xml:space="preserve"> and @@N/</w:t>
      </w:r>
      <w:r w:rsidR="009F34F8">
        <w:t>@@M INDEL alleles</w:t>
      </w:r>
      <w:r w:rsidR="00840C8B">
        <w:t xml:space="preserve"> discovered in HB3(1) were not found in either the draft assembly or the gene sequences, giving an FDR of @@X% for SNPs and @@Y% for INDELs. FDRs were similar for </w:t>
      </w:r>
      <w:r w:rsidR="00013797">
        <w:t xml:space="preserve">the </w:t>
      </w:r>
      <w:r w:rsidR="00840C8B">
        <w:t>HB3(2)</w:t>
      </w:r>
      <w:r w:rsidR="00013797">
        <w:t xml:space="preserve"> replicate</w:t>
      </w:r>
      <w:r w:rsidR="00840C8B">
        <w:t xml:space="preserve"> (supplementary figure @@N). </w:t>
      </w:r>
      <w:r w:rsidR="003B428E">
        <w:t>@@N/@@M SNPs and @@N/@@M INDELs found in both the draft assembly and the gene sequences were not discovered in HB3(1), giving a sensitivity of @@X% for SNPs and @@Y% for INDELs. Sensitivity</w:t>
      </w:r>
      <w:r w:rsidR="00B139F3">
        <w:t xml:space="preserve"> was</w:t>
      </w:r>
      <w:r w:rsidR="003B428E">
        <w:t xml:space="preserve"> lower for HB3(2) because it was genotyped as part of the HB3xDd2 cross where many </w:t>
      </w:r>
      <w:r w:rsidR="00013797">
        <w:t>INDELs</w:t>
      </w:r>
      <w:r w:rsidR="003B428E">
        <w:t xml:space="preserve"> </w:t>
      </w:r>
      <w:r w:rsidR="00013797">
        <w:t>we</w:t>
      </w:r>
      <w:r w:rsidR="003B428E">
        <w:t xml:space="preserve">re multiallelic (parents have different non-reference alleles) but </w:t>
      </w:r>
      <w:r w:rsidR="00013797">
        <w:t xml:space="preserve">only the alignment </w:t>
      </w:r>
      <w:r w:rsidR="003B428E">
        <w:t xml:space="preserve">method was </w:t>
      </w:r>
      <w:r w:rsidR="00013797">
        <w:t xml:space="preserve">capable of </w:t>
      </w:r>
      <w:r w:rsidR="00B139F3">
        <w:t xml:space="preserve">genotyping </w:t>
      </w:r>
      <w:r w:rsidR="003B428E">
        <w:t xml:space="preserve">multiallelic variants. This </w:t>
      </w:r>
      <w:r w:rsidR="00013797">
        <w:t>technical limitation of the assembly method</w:t>
      </w:r>
      <w:r w:rsidR="0001017A">
        <w:t xml:space="preserve"> accounts </w:t>
      </w:r>
      <w:r w:rsidR="003B428E">
        <w:t xml:space="preserve">for the lower number of segregating INDELs discovered in the HB3xDd2 and 7G8xGB4 crosses compared with 3D7xHB3 (table 1). </w:t>
      </w:r>
      <w:r w:rsidR="00893C7A">
        <w:t xml:space="preserve">Additional details are given in supplementary table @@N and supplementary figure @@S, and interpretation of these results is discussed </w:t>
      </w:r>
      <w:bookmarkStart w:id="4" w:name="_GoBack"/>
      <w:bookmarkEnd w:id="4"/>
      <w:r w:rsidR="00893C7A">
        <w:t>below.</w:t>
      </w:r>
    </w:p>
    <w:p w:rsidR="00A4677A" w:rsidRDefault="00F230BE" w:rsidP="00A4677A">
      <w:pPr>
        <w:pStyle w:val="Heading4"/>
      </w:pPr>
      <w:r>
        <w:lastRenderedPageBreak/>
        <w:t>INDEL</w:t>
      </w:r>
      <w:r w:rsidR="00A4677A">
        <w:t>s are the most abundant form of polymorphism</w:t>
      </w:r>
    </w:p>
    <w:p w:rsidR="00FE0FEE" w:rsidRDefault="008A5CF4" w:rsidP="00601883">
      <w:r>
        <w:t xml:space="preserve">Analysis of the combined variant call sets revealed that, within the core genome, </w:t>
      </w:r>
      <w:r w:rsidR="0001017A">
        <w:t xml:space="preserve">segregating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F230BE">
        <w:t xml:space="preserve"> for which data are available</w:t>
      </w:r>
      <w:r w:rsidR="00601883">
        <w:t>, for example,</w:t>
      </w:r>
      <w:r w:rsidR="004D3DD9">
        <w:t xml:space="preserve"> in humans </w:t>
      </w:r>
      <w:r w:rsidR="00C208FD">
        <w:t>SNPs</w:t>
      </w:r>
      <w:r w:rsidR="004D3DD9">
        <w:t xml:space="preserve"> are approximately 30 times </w:t>
      </w:r>
      <w:r w:rsidR="00C208FD">
        <w:t xml:space="preserve">more </w:t>
      </w:r>
      <w:r w:rsidR="004D3DD9">
        <w:t xml:space="preserve">common than </w:t>
      </w:r>
      <w:r w:rsidR="00C208FD">
        <w:t>INDEL</w:t>
      </w:r>
      <w:r w:rsidR="004D3DD9">
        <w:t xml:space="preserve">s </w:t>
      </w:r>
      <w:r w:rsidR="00FB5180">
        <w:fldChar w:fldCharType="begin" w:fldLock="1"/>
      </w:r>
      <w:r w:rsidR="00E23718">
        <w:instrText>ADDIN CSL_CITATION { "citationItems" : [ { "id" : "ITEM-1", "itemData" : { "DOI" : "10.1038/nature11632", "ISSN" : "1476-4687", "PMID" : "23128226", "abstract" : "By characterizing the geographic and functional spectrum of human genetic variation, the 1000 Genomes Project aims to build a resource to help to understand the genetic contribution to disease. Here we describe the genomes of 1,092 individuals from 14 populations, constructed using a combination of low-coverage whole-genome and exome sequencing. By developing methods to integrate information across several algorithms and diverse data sources, we provide a validated haplotype map of 38 million single nucleotide polymorphisms, 1.4 million short insertions and deletions, and more than 14,000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contains hundreds of rare non-coding variants at conserved sites, such as motif-disrupting changes in transcription-factor-binding sites. This resource, which captures up to 98% of accessible single nucleotide polymorphisms at a frequency of 1% in related populations, enables analysis of common and low-frequency variants in individuals from diverse, including admixed, populations.", "author" : [ { "dropping-particle" : "", "family" : "Abecasis", "given" : "Goncalo R", "non-dropping-particle" : "", "parse-names" : false, "suffix" : "" }, { "dropping-particle" : "", "family" : "Auton", "given" : "Adam", "non-dropping-particle" : "", "parse-names" : false, "suffix" : "" }, { "dropping-particle" : "", "family" : "Brooks", "given" : "Lisa D", "non-dropping-particle" : "", "parse-names" : false, "suffix" : "" }, { "dropping-particle" : "", "family" : "DePristo", "given" : "Mark A", "non-dropping-particle" : "", "parse-names" : false, "suffix" : "" }, { "dropping-particle" : "", "family" : "Durbin", "given" : "Richard M", "non-dropping-particle" : "", "parse-names" : false, "suffix" : "" }, { "dropping-particle" : "", "family" : "Handsaker", "given" : "Robert E", "non-dropping-particle" : "", "parse-names" : false, "suffix" : "" }, { "dropping-particle" : "", "family" : "Kang", "given" : "Hyun Min", "non-dropping-particle" : "", "parse-names" : false, "suffix" : "" }, { "dropping-particle" : "", "family" : "Marth", "given" : "Gabor T", "non-dropping-particle" : "", "parse-names" : false, "suffix" : "" }, { "dropping-particle" : "", "family" : "McVean", "given" : "Gil A", "non-dropping-particle" : "", "parse-names" : false, "suffix" : "" } ], "container-title" : "Nature", "id" : "ITEM-1", "issue" : "7422", "issued" : { "date-parts" : [ [ "2012", "11", "1" ] ] }, "page" : "56-65", "publisher" : "Nature Publishing Group, a division of Macmillan Publishers Limited. All Rights Reserved.", "title" : "An integrated map of genetic variation from 1,092 human genomes.", "title-short" : "Nature", "type" : "article-journal", "volume" : "491" }, "uris" : [ "http://www.mendeley.com/documents/?uuid=232a487e-0d93-4330-a930-7781da23367b" ] } ], "mendeley" : { "formattedCitation" : "(Abecasis et al. 2012)", "plainTextFormattedCitation" : "(Abecasis et al. 2012)", "previouslyFormattedCitation" : "(Abecasis et al. 2012)" }, "properties" : { "noteIndex" : 0 }, "schema" : "https://github.com/citation-style-language/schema/raw/master/csl-citation.json" }</w:instrText>
      </w:r>
      <w:r w:rsidR="00FB5180">
        <w:fldChar w:fldCharType="separate"/>
      </w:r>
      <w:r w:rsidR="0016550F" w:rsidRPr="0016550F">
        <w:rPr>
          <w:noProof/>
        </w:rPr>
        <w:t>(Abecasis et al. 2012)</w:t>
      </w:r>
      <w:r w:rsidR="00FB5180">
        <w:fldChar w:fldCharType="end"/>
      </w:r>
      <w:r w:rsidR="00601883">
        <w:t>.</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poly(AT) repeats. In coding regions 77% of </w:t>
      </w:r>
      <w:r w:rsidR="00F230BE">
        <w:t>INDEL</w:t>
      </w:r>
      <w:r w:rsidR="00FE0FEE">
        <w:t>s were STR variations, of which the majority were within poly(asparagine) tracts</w:t>
      </w:r>
      <w:r w:rsidR="00F23B0D">
        <w:t xml:space="preserve"> (figure 1B)</w:t>
      </w:r>
      <w:r w:rsidR="00FE0FEE">
        <w:t xml:space="preserve">. Tandem repeat sequences are prone to slipped strand mis-pairing during DNA replication </w:t>
      </w:r>
      <w:r w:rsidR="00FB5180">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FB5180">
        <w:fldChar w:fldCharType="separate"/>
      </w:r>
      <w:r w:rsidR="00E3669F" w:rsidRPr="00E3669F">
        <w:rPr>
          <w:noProof/>
        </w:rPr>
        <w:t>(Li et al. 2002; Lovett 2004)</w:t>
      </w:r>
      <w:r w:rsidR="00FB5180">
        <w:fldChar w:fldCharType="end"/>
      </w:r>
      <w:r w:rsidR="00FE0FEE">
        <w:t xml:space="preserve"> and are known to be associated with high rates of </w:t>
      </w:r>
      <w:r w:rsidR="00F230BE">
        <w:t>INDEL</w:t>
      </w:r>
      <w:r w:rsidR="00FE0FEE">
        <w:t xml:space="preserve"> mutat</w:t>
      </w:r>
      <w:r w:rsidR="00F230BE">
        <w:t xml:space="preserve">ion </w:t>
      </w:r>
      <w:r w:rsidR="00FB5180">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FB5180">
        <w:fldChar w:fldCharType="separate"/>
      </w:r>
      <w:r w:rsidR="00F230BE" w:rsidRPr="00F230BE">
        <w:rPr>
          <w:noProof/>
        </w:rPr>
        <w:t>(Montgomery et al. 2013)</w:t>
      </w:r>
      <w:r w:rsidR="00FB5180">
        <w:fldChar w:fldCharType="end"/>
      </w:r>
      <w:r w:rsidR="00FE0FEE">
        <w:t xml:space="preserve">. Poly(AT) repeats are very common in the non-coding regions of the </w:t>
      </w:r>
      <w:r w:rsidR="00FE0FEE" w:rsidRPr="00720774">
        <w:rPr>
          <w:i/>
        </w:rPr>
        <w:t>P. falciparum</w:t>
      </w:r>
      <w:r w:rsidR="00F230BE">
        <w:t xml:space="preserve"> genome </w:t>
      </w:r>
      <w:r w:rsidR="00FB5180">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FB5180">
        <w:fldChar w:fldCharType="separate"/>
      </w:r>
      <w:r w:rsidR="00F230BE" w:rsidRPr="00F230BE">
        <w:rPr>
          <w:noProof/>
        </w:rPr>
        <w:t>(Gardner et al. 2002)</w:t>
      </w:r>
      <w:r w:rsidR="00FB5180">
        <w:fldChar w:fldCharType="end"/>
      </w:r>
      <w:r w:rsidR="00F230BE">
        <w:t xml:space="preserve"> and poly(asparagine) </w:t>
      </w:r>
      <w:r w:rsidR="00FE0FEE">
        <w:t>repeats are unusually abundant within the exome</w:t>
      </w:r>
      <w:r w:rsidR="00F230BE">
        <w:t xml:space="preserve"> </w:t>
      </w:r>
      <w:r w:rsidR="00FB5180">
        <w:fldChar w:fldCharType="begin" w:fldLock="1"/>
      </w:r>
      <w:r w:rsidR="00334433">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"(Muralidharan &amp; Goldberg 2013)", "plainTextFormattedCitation" : "(Muralidharan &amp; Goldberg 2013)", "previouslyFormattedCitation" : "(Muralidharan &amp; Goldberg 2013)" }, "properties" : { "noteIndex" : 0 }, "schema" : "https://github.com/citation-style-language/schema/raw/master/csl-citation.json" }</w:instrText>
      </w:r>
      <w:r w:rsidR="00FB5180">
        <w:fldChar w:fldCharType="separate"/>
      </w:r>
      <w:r w:rsidR="00F230BE" w:rsidRPr="00F230BE">
        <w:rPr>
          <w:noProof/>
        </w:rPr>
        <w:t>(Muralidharan &amp; Goldberg 2013)</w:t>
      </w:r>
      <w:r w:rsidR="00FB5180">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FB5180">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FB5180">
        <w:fldChar w:fldCharType="separate"/>
      </w:r>
      <w:r w:rsidR="001C4C7D" w:rsidRPr="001C4C7D">
        <w:rPr>
          <w:noProof/>
        </w:rPr>
        <w:t xml:space="preserve">Brick et al. </w:t>
      </w:r>
      <w:r w:rsidR="0016550F">
        <w:rPr>
          <w:noProof/>
        </w:rPr>
        <w:t>(</w:t>
      </w:r>
      <w:r w:rsidR="001C4C7D" w:rsidRPr="001C4C7D">
        <w:rPr>
          <w:noProof/>
        </w:rPr>
        <w:t>2008)</w:t>
      </w:r>
      <w:r w:rsidR="00FB5180">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(figure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w:t>
      </w:r>
      <w:r w:rsidR="004403DA">
        <w:t>19</w:t>
      </w:r>
      <w:r>
        <w:t xml:space="preserve"> loci with highly diverged alleles, where local diversity over a region up to 2kb was </w:t>
      </w:r>
      <w:r w:rsidR="001C4C7D">
        <w:t>up to</w:t>
      </w:r>
      <w:r>
        <w:t xml:space="preserve"> 3 orders of magnitude greater (figure 2). These </w:t>
      </w:r>
      <w:r>
        <w:lastRenderedPageBreak/>
        <w:t>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EE0300" w:rsidRPr="00EE0300">
        <w:rPr>
          <w:i/>
        </w:rPr>
        <w:t>msp</w:t>
      </w:r>
      <w:r w:rsidR="00ED25D2" w:rsidRPr="00EE0300">
        <w:rPr>
          <w:i/>
        </w:rPr>
        <w:t>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FB5180">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FB5180">
        <w:fldChar w:fldCharType="separate"/>
      </w:r>
      <w:r w:rsidR="00ED25D2" w:rsidRPr="00ED25D2">
        <w:rPr>
          <w:noProof/>
        </w:rPr>
        <w:t>(Ferreira et al. 2003)</w:t>
      </w:r>
      <w:r w:rsidR="00FB5180">
        <w:fldChar w:fldCharType="end"/>
      </w:r>
      <w:r>
        <w:t xml:space="preserve">. The complex variation at these loci could not be accessed by the alignment method, because sequences were two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FB5180">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FB5180">
        <w:fldChar w:fldCharType="separate"/>
      </w:r>
      <w:r w:rsidR="00ED25D2" w:rsidRPr="00ED25D2">
        <w:rPr>
          <w:noProof/>
        </w:rPr>
        <w:t>(Ferreira et al. 2003)</w:t>
      </w:r>
      <w:r w:rsidR="00FB5180">
        <w:fldChar w:fldCharType="end"/>
      </w:r>
      <w:r>
        <w:t xml:space="preserve">) as </w:t>
      </w:r>
      <w:r w:rsidR="009255D4">
        <w:t xml:space="preserve">verified </w:t>
      </w:r>
      <w:r>
        <w:t>by comparison with capillary sequence data (</w:t>
      </w:r>
      <w:r w:rsidR="001C4C7D">
        <w:t>supplementary information</w:t>
      </w:r>
      <w:r>
        <w:t>).</w:t>
      </w:r>
      <w:r w:rsidR="009255D4">
        <w:t xml:space="preserve"> Other genes where peaks of diversity were found and alleles could be assembled include merozoite surface proteins in 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r w:rsidR="00EE0300" w:rsidRPr="00EE0300">
        <w:rPr>
          <w:i/>
        </w:rPr>
        <w:t>dblmsp</w:t>
      </w:r>
      <w:r w:rsidR="009255D4">
        <w:t xml:space="preserve">, </w:t>
      </w:r>
      <w:r w:rsidR="00EE0300" w:rsidRPr="00EE0300">
        <w:rPr>
          <w:i/>
        </w:rPr>
        <w:t>dblmsp</w:t>
      </w:r>
      <w:r w:rsidR="009255D4" w:rsidRPr="00EE0300">
        <w:rPr>
          <w:i/>
        </w:rPr>
        <w:t>2</w:t>
      </w:r>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xml:space="preserve">) and PF3D7_0113800 (a DBL-containing protein with unknown function on chromosome 1). A notable exception to the pattern of merozoite expression is PF3D7_0104100 which is transcribed by the sporozoite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FB5180">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FB5180">
        <w:fldChar w:fldCharType="separate"/>
      </w:r>
      <w:r w:rsidR="006018E2" w:rsidRPr="006018E2">
        <w:rPr>
          <w:noProof/>
        </w:rPr>
        <w:t>(Lasonder et al. 2008)</w:t>
      </w:r>
      <w:r w:rsidR="00FB5180">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C03BD9">
        <w:t xml:space="preserve"> (table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FB5180">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FB5180">
        <w:fldChar w:fldCharType="separate"/>
      </w:r>
      <w:r w:rsidR="004357C6" w:rsidRPr="004357C6">
        <w:rPr>
          <w:noProof/>
        </w:rPr>
        <w:t>(Jiang et al. 2011)</w:t>
      </w:r>
      <w:r w:rsidR="00FB5180">
        <w:fldChar w:fldCharType="end"/>
      </w:r>
      <w:r w:rsidR="00936076">
        <w:t>. In eukaryotes, programmed double strand breaks (DSBs) during meiosis are resolved by either crossover (CO) or non-crossover (NCO) between</w:t>
      </w:r>
      <w:r w:rsidR="004357C6">
        <w:t xml:space="preserve"> homologous chromosomes </w:t>
      </w:r>
      <w:r w:rsidR="00FB5180">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FB5180">
        <w:fldChar w:fldCharType="separate"/>
      </w:r>
      <w:r w:rsidR="00C03BD9" w:rsidRPr="00C03BD9">
        <w:rPr>
          <w:noProof/>
        </w:rPr>
        <w:t xml:space="preserve">(Hastings 1992; Youds &amp; Boulton 2011; </w:t>
      </w:r>
      <w:r w:rsidR="00C03BD9" w:rsidRPr="00C03BD9">
        <w:rPr>
          <w:noProof/>
        </w:rPr>
        <w:lastRenderedPageBreak/>
        <w:t>Mancera et al. 2008; Baudat &amp; de Massy 2007)</w:t>
      </w:r>
      <w:r w:rsidR="00FB5180">
        <w:fldChar w:fldCharType="end"/>
      </w:r>
      <w:r w:rsidR="00936076">
        <w:t>. A CO is a reciprocal exchange accompanied by a conversion tract, whereas an NCO is a conversion tract without reciprocal exchange</w:t>
      </w:r>
      <w:r w:rsidR="000840C7">
        <w:t xml:space="preserve"> (also known in the literature as a gene conversion, although NCO events can occur in either coding or non-coding regions)</w:t>
      </w:r>
      <w:r w:rsidR="00936076">
        <w:t>.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and complex conversion tracts (see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kb/cM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r w:rsidR="00C82549">
        <w:t>Kruskal-Wallis H-test) (figure 3</w:t>
      </w:r>
      <w:r>
        <w:t>A). There was a strong linear correlation between chromosome size and CO recombination rate, with a rate of 0.55 predicted for t</w:t>
      </w:r>
      <w:r w:rsidR="00C82549">
        <w:t>he smallest chromosome (figure 3</w:t>
      </w:r>
      <w:r>
        <w:t xml:space="preserve">B) consistent with </w:t>
      </w:r>
      <w:r w:rsidR="00C03BD9">
        <w:t>~</w:t>
      </w:r>
      <w:r>
        <w:t>0.5 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FB5180">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FB5180">
        <w:fldChar w:fldCharType="separate"/>
      </w:r>
      <w:r w:rsidR="006469F3" w:rsidRPr="006469F3">
        <w:rPr>
          <w:noProof/>
        </w:rPr>
        <w:t>(Baudat &amp; de Massy 2007; Martinez-Perez &amp; Colaiácovo 2009; Mancera et al. 2008)</w:t>
      </w:r>
      <w:r w:rsidR="00FB5180">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FB5180">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FB5180">
        <w:fldChar w:fldCharType="separate"/>
      </w:r>
      <w:r w:rsidR="00811543" w:rsidRPr="00811543">
        <w:rPr>
          <w:noProof/>
        </w:rPr>
        <w:t>(Jiang et al. 2011)</w:t>
      </w:r>
      <w:r w:rsidR="00FB5180">
        <w:fldChar w:fldCharType="end"/>
      </w:r>
      <w:r w:rsidR="00DE05F9">
        <w:t xml:space="preserve">,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t>
      </w:r>
      <w:r w:rsidR="00F95A97">
        <w:t xml:space="preserve">within </w:t>
      </w:r>
      <w:r w:rsidR="00AD0B6C">
        <w:t xml:space="preserve">a </w:t>
      </w:r>
      <w:r>
        <w:t>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w:t>
      </w:r>
      <w:r w:rsidR="0016550F">
        <w:t>an exon</w:t>
      </w:r>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intragenic and </w:t>
      </w:r>
      <w:r>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lastRenderedPageBreak/>
        <w:t xml:space="preserve">within hotspots that preferentially occur near genes but outside of the transcribed domain </w:t>
      </w:r>
      <w:r w:rsidR="00FB5180">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FB5180">
        <w:fldChar w:fldCharType="separate"/>
      </w:r>
      <w:r w:rsidR="00667FE0" w:rsidRPr="00667FE0">
        <w:rPr>
          <w:noProof/>
        </w:rPr>
        <w:t>(Myers et al. 2005)</w:t>
      </w:r>
      <w:r w:rsidR="00FB5180">
        <w:fldChar w:fldCharType="end"/>
      </w:r>
      <w:r w:rsidR="00320E71">
        <w:t xml:space="preserve">. </w:t>
      </w:r>
      <w:r>
        <w:t xml:space="preserve"> </w:t>
      </w:r>
    </w:p>
    <w:p w:rsidR="005D73F0" w:rsidRDefault="00242B17" w:rsidP="005D73F0">
      <w:pPr>
        <w:pStyle w:val="Heading4"/>
      </w:pPr>
      <w:r>
        <w:t xml:space="preserve">Estimation of </w:t>
      </w:r>
      <w:r w:rsidR="00DA1B2C">
        <w:t>conversion tract</w:t>
      </w:r>
      <w:r>
        <w:t xml:space="preserve"> length</w:t>
      </w:r>
      <w:r w:rsidR="00C81D5D">
        <w:t xml:space="preserve"> and NCO recombination rate</w:t>
      </w:r>
    </w:p>
    <w:p w:rsidR="005D73F0" w:rsidRDefault="005D73F0" w:rsidP="005D73F0">
      <w:r>
        <w:t xml:space="preserve">Of the 331 conversion tracts observed, an outlying group of 7 very long (&gt;18kb) complex tracts was found, described further </w:t>
      </w:r>
      <w:r w:rsidR="00C44746">
        <w:t>below</w:t>
      </w:r>
      <w:r>
        <w:t>. Of the remaining 324 tracts, 94 were associated with a CO and 230 were assumed to be NCO conversion tracts. The majority of observed NCO conversion tracts had a minimal size less than 1kb, and 73%</w:t>
      </w:r>
      <w:r w:rsidR="00C97C07">
        <w:t xml:space="preserve"> were smaller than 2kb (figure 3</w:t>
      </w:r>
      <w:r>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t>tract length</w:t>
      </w:r>
      <w:r w:rsidR="00320E71">
        <w:t xml:space="preserve"> distribution</w:t>
      </w:r>
      <w:r>
        <w:t xml:space="preserve">, the incomplete discovery of NCO events and bias towards discovery of longer tracts has to be taken into account. In </w:t>
      </w:r>
      <w:r w:rsidR="00411E8E" w:rsidRPr="00411E8E">
        <w:rPr>
          <w:i/>
        </w:rPr>
        <w:t>Drosophila</w:t>
      </w:r>
      <w:r>
        <w:t xml:space="preserve"> the distribution of conversion tract lengths has been found to fit </w:t>
      </w:r>
      <w:r w:rsidR="0016550F">
        <w:t>a geometric model, with</w:t>
      </w:r>
      <w:r>
        <w:t xml:space="preserve"> parameter </w:t>
      </w:r>
      <w:r>
        <w:rPr>
          <w:i/>
        </w:rPr>
        <w:t>phi</w:t>
      </w:r>
      <w:r>
        <w:t xml:space="preserve"> determining the per-base-pair probabil</w:t>
      </w:r>
      <w:r w:rsidR="008C28A7">
        <w:t xml:space="preserve">ity of extending a tract </w:t>
      </w:r>
      <w:r w:rsidR="00FB5180">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FB5180">
        <w:fldChar w:fldCharType="separate"/>
      </w:r>
      <w:r w:rsidR="008C28A7" w:rsidRPr="008C28A7">
        <w:rPr>
          <w:noProof/>
        </w:rPr>
        <w:t>(Hilliker et al. 1994)</w:t>
      </w:r>
      <w:r w:rsidR="00FB5180">
        <w:fldChar w:fldCharType="end"/>
      </w:r>
      <w:r>
        <w:t xml:space="preserve">. </w:t>
      </w:r>
      <w:r w:rsidR="009F3C0F">
        <w:t>W</w:t>
      </w:r>
      <w:r>
        <w:t xml:space="preserve">e found that a geometric model also provided a good fit for the observed distribution of tract lengths in the present study with </w:t>
      </w:r>
      <w:r w:rsidRPr="002C1AE8">
        <w:rPr>
          <w:i/>
        </w:rPr>
        <w:t>phi</w:t>
      </w:r>
      <w:r>
        <w:t xml:space="preserve"> = 0.9993, although there was a small excess of tracts observed with minimal l</w:t>
      </w:r>
      <w:r w:rsidR="00C97C07">
        <w:t>ength greater than 3kb (figure 3</w:t>
      </w:r>
      <w:r>
        <w:t>D, figure</w:t>
      </w:r>
      <w:r w:rsidR="00C97C07">
        <w:t xml:space="preserve"> 3</w:t>
      </w:r>
      <w:r>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 xml:space="preserve">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 Two biological replicates of clone JF6 were sequenced and </w:t>
      </w:r>
      <w:r>
        <w:lastRenderedPageBreak/>
        <w:t>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FB5180">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FB5180">
        <w:fldChar w:fldCharType="separate"/>
      </w:r>
      <w:r w:rsidR="00C44746" w:rsidRPr="006469F3">
        <w:rPr>
          <w:noProof/>
        </w:rPr>
        <w:t>(Mancera et al. 2008)</w:t>
      </w:r>
      <w:r w:rsidR="00FB5180">
        <w:fldChar w:fldCharType="end"/>
      </w:r>
      <w:r w:rsidR="00C44746">
        <w:t xml:space="preserve"> </w:t>
      </w:r>
      <w:r>
        <w:t xml:space="preserve">and may have radical results in terms of </w:t>
      </w:r>
      <w:r w:rsidR="005F7DD3">
        <w:t xml:space="preserve">generating </w:t>
      </w:r>
      <w:r>
        <w:t>novel haplotypes.</w:t>
      </w:r>
    </w:p>
    <w:p w:rsidR="00901FE9" w:rsidRDefault="00901FE9" w:rsidP="00901FE9">
      <w:pPr>
        <w:pStyle w:val="Heading3"/>
      </w:pPr>
      <w:r>
        <w:t>Recombination with</w:t>
      </w:r>
      <w:r w:rsidR="00381C07">
        <w:t>in</w:t>
      </w:r>
      <w:r>
        <w:t xml:space="preserve">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sidR="00EE0300" w:rsidRPr="00DD329D">
        <w:rPr>
          <w:i/>
        </w:rPr>
        <w:t>mdr</w:t>
      </w:r>
      <w:r w:rsidR="0053348F" w:rsidRPr="00DD329D">
        <w:rPr>
          <w:i/>
        </w:rPr>
        <w:t>1</w:t>
      </w:r>
      <w:r>
        <w:t xml:space="preserve"> have been found in Dd2 and several proge</w:t>
      </w:r>
      <w:r w:rsidR="00FB69B5">
        <w:t xml:space="preserve">ny of the HB3xDd2 cross </w:t>
      </w:r>
      <w:r w:rsidR="00FB5180">
        <w:fldChar w:fldCharType="begin" w:fldLock="1"/>
      </w:r>
      <w:r w:rsidR="00C2465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"id" : "ITEM-3",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"ITEM-3",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"(Samarakoon, Gonzales, et al. 2011; Gonzales et al. 2008; Wellems et al. 1990)", "plainTextFormattedCitation" : "(Samarakoon, Gonzales, et al. 2011; Gonzales et al. 2008; Wellems et al. 1990)", "previouslyFormattedCitation" : "(Samarakoon, Gonzales, et al. 2011; Gonzales et al. 2008; Wellems et al. 1990)" }, "properties" : { "noteIndex" : 0 }, "schema" : "https://github.com/citation-style-language/schema/raw/master/csl-citation.json" }</w:instrText>
      </w:r>
      <w:r w:rsidR="00FB5180">
        <w:fldChar w:fldCharType="separate"/>
      </w:r>
      <w:r w:rsidR="003E3A10" w:rsidRPr="003E3A10">
        <w:rPr>
          <w:noProof/>
        </w:rPr>
        <w:t>(Samarakoon, Gonzales, et al. 2011; Gonzales et al. 2008; Wellems et al. 1990)</w:t>
      </w:r>
      <w:r w:rsidR="00FB5180">
        <w:fldChar w:fldCharType="end"/>
      </w:r>
      <w:r w:rsidR="00FB69B5">
        <w:t xml:space="preserve">. Amplifications spanning </w:t>
      </w:r>
      <w:r w:rsidR="00EE0300" w:rsidRPr="00DD329D">
        <w:rPr>
          <w:i/>
        </w:rPr>
        <w:t>mdr</w:t>
      </w:r>
      <w:r w:rsidR="0053348F" w:rsidRPr="00DD329D">
        <w:rPr>
          <w:i/>
        </w:rPr>
        <w:t>1</w:t>
      </w:r>
      <w:r w:rsidR="00FB69B5">
        <w:t xml:space="preserve"> are found in </w:t>
      </w:r>
      <w:r w:rsidR="00467EE6">
        <w:t xml:space="preserve">clinical </w:t>
      </w:r>
      <w:r>
        <w:t>isolates, particular</w:t>
      </w:r>
      <w:r w:rsidR="00FB69B5">
        <w:t>ly from South-East Asia, and b</w:t>
      </w:r>
      <w:r>
        <w:t xml:space="preserve">oth point mutations and amplifications of </w:t>
      </w:r>
      <w:r w:rsidR="00EE0300" w:rsidRPr="00DD329D">
        <w:rPr>
          <w:i/>
        </w:rPr>
        <w:t>mdr</w:t>
      </w:r>
      <w:r w:rsidR="0053348F" w:rsidRPr="00DD329D">
        <w:rPr>
          <w:i/>
        </w:rPr>
        <w:t>1</w:t>
      </w:r>
      <w:r>
        <w:t xml:space="preserve"> have been shown to </w:t>
      </w:r>
      <w:r w:rsidR="00467EE6">
        <w:t xml:space="preserve">alter </w:t>
      </w:r>
      <w:r>
        <w:t>sensitiv</w:t>
      </w:r>
      <w:r w:rsidR="00FB69B5">
        <w:t xml:space="preserve">ity to a range of drugs </w:t>
      </w:r>
      <w:r w:rsidR="00FB5180">
        <w:fldChar w:fldCharType="begin" w:fldLock="1"/>
      </w:r>
      <w:r w:rsidR="003E3A10">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rsidR="00FB5180">
        <w:fldChar w:fldCharType="separate"/>
      </w:r>
      <w:r w:rsidR="00FB69B5" w:rsidRPr="00FB69B5">
        <w:rPr>
          <w:noProof/>
        </w:rPr>
        <w:t>(Price et al. 2004; Anderson et al. 2009)</w:t>
      </w:r>
      <w:r w:rsidR="00FB5180">
        <w:fldChar w:fldCharType="end"/>
      </w:r>
      <w:r>
        <w:t xml:space="preserve">. On chromosome 12 amplifications spanning </w:t>
      </w:r>
      <w:r w:rsidR="00EE0300" w:rsidRPr="005833BA">
        <w:rPr>
          <w:i/>
        </w:rPr>
        <w:t>gch</w:t>
      </w:r>
      <w:r w:rsidR="007220F1" w:rsidRPr="005833BA">
        <w:rPr>
          <w:i/>
        </w:rPr>
        <w:t>1</w:t>
      </w:r>
      <w:r>
        <w:t xml:space="preserve">, </w:t>
      </w:r>
      <w:r w:rsidR="00381C07">
        <w:t xml:space="preserve">the gene encoding the </w:t>
      </w:r>
      <w:r>
        <w:t xml:space="preserve">first enzyme </w:t>
      </w:r>
      <w:r w:rsidR="00381C07">
        <w:t xml:space="preserve">of </w:t>
      </w:r>
      <w:r>
        <w:t xml:space="preserve">the folate biosynthesis pathway, have been found in </w:t>
      </w:r>
      <w:r w:rsidR="00C24654">
        <w:t>both lab and clinical isolates</w:t>
      </w:r>
      <w:r>
        <w:t xml:space="preserve"> and have been shown to confer resistance to anti-folate drugs </w:t>
      </w:r>
      <w:r w:rsidR="00FB5180">
        <w:fldChar w:fldCharType="begin" w:fldLock="1"/>
      </w:r>
      <w:r w:rsidR="00E1484F">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"ITEM-3",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"ITEM-4",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"ITEM-4",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"ITEM-5",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"ITEM-5", "issue" : "10", "issued" : { "date-parts" : [ [ "2008", "10" ] ] }, "page" : "e1000243", "title" : "Adaptive copy number evolution in malaria parasites.", "type" : "article-journal", "volume" : "4" }, "uris" : [ "http://www.mendeley.com/documents/?uuid=1cfdf1c6-4d16-4072-9cb1-41474b413d40" ] }, { "id" : "ITEM-6",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"ITEM-6",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Anderson et al. 2009; Heinberg et al. 2013; Samarakoon, Gonzales, et al. 2011; Nair et al. 2008; Sep\u00falveda et al. 2013)", "plainTextFormattedCitation" : "(Kidgell et al. 2006; Anderson et al. 2009; Heinberg et al. 2013; Samarakoon, Gonzales, et al. 2011; Nair et al. 2008; Sep\u00falveda et al. 2013)", "previouslyFormattedCitation" : "(Kidgell et al. 2006; Anderson et al. 2009; Heinberg et al. 2013; Samarakoon, Gonzales, et al. 2011; Nair et al. 2008; Sep\u00falveda et al. 2013)" }, "properties" : { "noteIndex" : 0 }, "schema" : "https://github.com/citation-style-language/schema/raw/master/csl-citation.json" }</w:instrText>
      </w:r>
      <w:r w:rsidR="00FB5180">
        <w:fldChar w:fldCharType="separate"/>
      </w:r>
      <w:r w:rsidR="00E1484F" w:rsidRPr="00E1484F">
        <w:rPr>
          <w:noProof/>
        </w:rPr>
        <w:t>(Kidgell et al. 2006; Anderson et al. 2009; Heinberg et al. 2013; Samarakoon, Gonzales, et al. 2011; Nair et al. 2008; Sepúlveda et al. 2013)</w:t>
      </w:r>
      <w:r w:rsidR="00FB5180">
        <w:fldChar w:fldCharType="end"/>
      </w:r>
      <w:r>
        <w:t xml:space="preserve">. A previous study of </w:t>
      </w:r>
      <w:r w:rsidR="00467EE6">
        <w:t xml:space="preserve">CNVs </w:t>
      </w:r>
      <w:r>
        <w:t xml:space="preserve">within the HB3xDd2 cross </w:t>
      </w:r>
      <w:r w:rsidR="00B32D1F">
        <w:t xml:space="preserve">using CGH technology </w:t>
      </w:r>
      <w:r>
        <w:t xml:space="preserve">observed Mendelian segregation of </w:t>
      </w:r>
      <w:r w:rsidR="00EE0300" w:rsidRPr="00EE0300">
        <w:rPr>
          <w:i/>
        </w:rPr>
        <w:t>gch</w:t>
      </w:r>
      <w:r w:rsidR="007220F1" w:rsidRPr="00EE0300">
        <w:rPr>
          <w:i/>
        </w:rPr>
        <w:t>1</w:t>
      </w:r>
      <w:r>
        <w:t xml:space="preserve"> </w:t>
      </w:r>
      <w:r w:rsidR="00467EE6">
        <w:t xml:space="preserve">amplifications </w:t>
      </w:r>
      <w:r>
        <w:t xml:space="preserve">in all </w:t>
      </w:r>
      <w:r w:rsidR="00467EE6">
        <w:t>progeny except CH3_61</w:t>
      </w:r>
      <w:r>
        <w:t xml:space="preserve"> where </w:t>
      </w:r>
      <w:r w:rsidR="00467EE6">
        <w:t>both parental alleles appeared to be inherited together, which can be explained if one or more meiotic recombination events had occurred within the amplified region</w:t>
      </w:r>
      <w:r w:rsidR="00C24654">
        <w:t xml:space="preserve"> </w:t>
      </w:r>
      <w:r w:rsidR="00FB5180">
        <w:fldChar w:fldCharType="begin" w:fldLock="1"/>
      </w:r>
      <w:r w:rsidR="00E65A8F">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FB5180">
        <w:fldChar w:fldCharType="separate"/>
      </w:r>
      <w:r w:rsidR="00C24654" w:rsidRPr="00C24654">
        <w:rPr>
          <w:noProof/>
        </w:rPr>
        <w:t>(Samarakoon, Gonzales, et al. 2011)</w:t>
      </w:r>
      <w:r w:rsidR="00FB5180">
        <w:fldChar w:fldCharType="end"/>
      </w:r>
      <w:r w:rsidR="00467EE6">
        <w:t xml:space="preserve">.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w:t>
      </w:r>
      <w:r w:rsidR="00E65A8F">
        <w:t xml:space="preserve"> depth of read coverage </w:t>
      </w:r>
      <w:r w:rsidR="00754F50">
        <w:t>and t</w:t>
      </w:r>
      <w:r w:rsidR="00B32D1F">
        <w:t xml:space="preserve">he relative </w:t>
      </w:r>
      <w:r w:rsidR="007827B2">
        <w:t xml:space="preserve">orientation and distance between </w:t>
      </w:r>
      <w:r w:rsidR="00B32D1F">
        <w:t xml:space="preserve">aligned </w:t>
      </w:r>
      <w:r w:rsidR="007827B2">
        <w:t xml:space="preserve">read pairs </w:t>
      </w:r>
      <w:r w:rsidR="00FB5180">
        <w:fldChar w:fldCharType="begin" w:fldLock="1"/>
      </w:r>
      <w:r w:rsidR="00E23718">
        <w:instrText>ADDIN CSL_CITATION { "citationItems" : [ { "id" : "ITEM-1", "itemData" : { "DOI" : "10.1038/nature09708", "ISSN" : "1476-4687", "PMID" : "21293372", "abstract" : "Genomic structural variants (SVs) are abundant in humans, differing from other forms of variation in extent, origin and functional impact. Despite progress in SV characterization, the nucleotide resolution architecture of most SVs remains unknown. We constructed a map of unbalanced SVs (that is, copy number variants) based on whole genome DNA sequencing data from 185 human genomes, integrating evidence from complementary SV discovery approaches with extensive experimental validations. Our map encompassed 22,025 deletions and 6,000 additional SVs, including insertions and tandem duplications. Most SVs (53%) were mapped to nucleotide resolution, which facilitated analysing their origin and functional impact. We examined numerous whole and partial gene deletions with a genotyping approach and observed a depletion of gene disruptions amongst high frequency deletions. Furthermore, we observed differences in the size spectra of SVs originating from distinct formation mechanisms, and constructed a map of SV hotspots formed by common mechanisms. Our analytical framework and SV map serves as a resource for sequencing-based association studies.", "author" : [ { "dropping-particle" : "", "family" : "Mills", "given" : "Ryan E", "non-dropping-particle" : "", "parse-names" : false, "suffix" : "" }, { "dropping-particle" : "", "family" : "Walter", "given" : "Klaudia", "non-dropping-particle" : "", "parse-names" : false, "suffix" : "" }, { "dropping-particle" : "", "family" : "Stewart", "given" : "Chip", "non-dropping-particle" : "", "parse-names" : false, "suffix" : "" }, { "dropping-particle" : "", "family" : "Handsaker", "given" : "Robert E", "non-dropping-particle" : "", "parse-names" : false, "suffix" : "" }, { "dropping-particle" : "", "family" : "Chen", "given" : "Ken", "non-dropping-particle" : "", "parse-names" : false, "suffix" : "" }, { "dropping-particle" : "", "family" : "Alkan", "given" : "Can", "non-dropping-particle" : "", "parse-names" : false, "suffix" : "" }, { "dropping-particle" : "", "family" : "Abyzov", "given" : "Alexej", "non-dropping-particle" : "", "parse-names" : false, "suffix" : "" }, { "dropping-particle" : "", "family" : "Yoon", "given" : "Seungtai Chris", "non-dropping-particle" : "", "parse-names" : false, "suffix" : "" }, { "dropping-particle" : "", "family" : "Ye", "given" : "Kai", "non-dropping-particle" : "", "parse-names" : false, "suffix" : "" }, { "dropping-particle" : "", "family" : "Cheetham", "given" : "R Keira", "non-dropping-particle" : "", "parse-names" : false, "suffix" : "" }, { "dropping-particle" : "", "family" : "Chinwalla", "given" : "Asif", "non-dropping-particle" : "", "parse-names" : false, "suffix" : "" }, { "dropping-particle" : "", "family" : "Conrad", "given" : "Donald F", "non-dropping-particle" : "", "parse-names" : false, "suffix" : "" }, { "dropping-particle" : "", "family" : "Fu", "given" : "Yutao", "non-dropping-particle" : "", "parse-names" : false, "suffix" : "" }, { "dropping-particle" : "", "family" : "Grubert", "given" : "Fabian", "non-dropping-particle" : "", "parse-names" : false, "suffix" : "" }, { "dropping-particle" : "", "family" : "Hajirasouliha", "given" : "Iman", "non-dropping-particle" : "", "parse-names" : false, "suffix" : "" }, { "dropping-particle" : "", "family" : "Hormozdiari", "given" : "Fereydoun", "non-dropping-particle" : "", "parse-names" : false, "suffix" : "" }, { "dropping-particle" : "", "family" : "Iakoucheva", "given" : "Lilia M", "non-dropping-particle" : "", "parse-names" : false, "suffix" : "" }, { "dropping-particle" : "", "family" : "Iqbal", "given" : "Zamin", "non-dropping-particle" : "", "parse-names" : false, "suffix" : "" }, { "dropping-particle" : "", "family" : "Kang", "given" : "Shuli", "non-dropping-particle" : "", "parse-names" : false, "suffix" : "" }, { "dropping-particle" : "", "family" : "Kidd", "given" : "Jeffrey M", "non-dropping-particle" : "", "parse-names" : false, "suffix" : "" }, { "dropping-particle" : "", "family" : "Konkel", "given" : "Miriam K", "non-dropping-particle" : "", "parse-names" : false, "suffix" : "" }, { "dropping-particle" : "", "family" : "Korn", "given" : "Joshua", "non-dropping-particle" : "", "parse-names" : false, "suffix" : "" }, { "dropping-particle" : "", "family" : "Khurana", "given" : "Ekta", "non-dropping-particle" : "", "parse-names" : false, "suffix" : "" }, { "dropping-particle" : "", "family" : "Kural", "given" : "Deniz", "non-dropping-particle" : "", "parse-names" : false, "suffix" : "" }, { "dropping-particle" : "", "family" : "Lam", "given" : "Hugo Y K", "non-dropping-particle" : "", "parse-names" : false, "suffix" : "" }, { "dropping-particle" : "", "family" : "Leng", "given" : "Jing", "non-dropping-particle" : "", "parse-names" : false, "suffix" : "" }, { "dropping-particle" : "", "family" : "Li", "given" : "Ruiqiang", "non-dropping-particle" : "", "parse-names" : false, "suffix" : "" }, { "dropping-particle" : "", "family" : "Li", "given" : "Yingrui", "non-dropping-particle" : "", "parse-names" : false, "suffix" : "" }, { "dropping-particle" : "", "family" : "Lin", "given" : "Chang-Yun", "non-dropping-particle" : "", "parse-names" : false, "suffix" : "" }, { "dropping-particle" : "", "family" : "Luo", "given" : "Ruibang", "non-dropping-particle" : "", "parse-names" : false, "suffix" : "" }, { "dropping-particle" : "", "family" : "Mu", "given" : "Xinmeng Jasmine", "non-dropping-particle" : "", "parse-names" : false, "suffix" : "" }, { "dropping-particle" : "", "family" : "Nemesh", "given" : "James", "non-dropping-particle" : "", "parse-names" : false, "suffix" : "" }, { "dropping-particle" : "", "family" : "Peckham", "given" : "Heather E", "non-dropping-particle" : "", "parse-names" : false, "suffix" : "" }, { "dropping-particle" : "", "family" : "Rausch", "given" : "Tobias", "non-dropping-particle" : "", "parse-names" : false, "suffix" : "" }, { "dropping-particle" : "", "family" : "Scally", "given" : "Aylwyn", "non-dropping-particle" : "", "parse-names" : false, "suffix" : "" }, { "dropping-particle" : "", "family" : "Shi", "given" : "Xinghua", "non-dropping-particle" : "", "parse-names" : false, "suffix" : "" }, { "dropping-particle" : "", "family" : "Stromberg", "given" : "Michael P", "non-dropping-particle" : "", "parse-names" : false, "suffix" : "" }, { "dropping-particle" : "", "family" : "St\u00fctz", "given" : "Adrian M", "non-dropping-particle" : "", "parse-names" : false, "suffix" : "" }, { "dropping-particle" : "", "family" : "Urban", "given" : "Alexander Eckehart", "non-dropping-particle" : "", "parse-names" : false, "suffix" : "" }, { "dropping-particle" : "", "family" : "Walker", "given" : "Jerilyn A", "non-dropping-particle" : "", "parse-names" : false, "suffix" : "" }, { "dropping-particle" : "", "family" : "Wu", "given" : "Jiantao", "non-dropping-particle" : "", "parse-names" : false, "suffix" : "" }, { "dropping-particle" : "", "family" : "Zhang", "given" : "Yujun", "non-dropping-particle" : "", "parse-names" : false, "suffix" : "" }, { "dropping-particle" : "", "family" : "Zhang", "given" : "Zhengdong D", "non-dropping-particle" : "", "parse-names" : false, "suffix" : "" }, { "dropping-particle" : "", "family" : "Batzer", "given" : "Mark A", "non-dropping-particle" : "", "parse-names" : false, "suffix" : "" }, { "dropping-particle" : "", "family" : "Ding", "given" : "Li", "non-dropping-particle" : "", "parse-names" : false, "suffix" : "" }, { "dropping-particle" : "", "family" : "Marth", "given" : "Gabor T", "non-dropping-particle" : "", "parse-names" : false, "suffix" : "" }, { "dropping-particle" : "", "family" : "McVean", "given" : "Gil", "non-dropping-particle" : "", "parse-names" : false, "suffix" : "" }, { "dropping-particle" : "", "family" : "Sebat", "given" : "Jonathan", "non-dropping-particle" : "", "parse-names" : false, "suffix" : "" }, { "dropping-particle" : "", "family" : "Snyder", "given" : "Michael", "non-dropping-particle" : "", "parse-names" : false, "suffix" : "" }, { "dropping-particle" : "", "family" : "Wang", "given" : "Jun", "non-dropping-particle" : "", "parse-names" : false, "suffix" : "" }, { "dropping-particle" : "", "family" : "Ye", "given" : "Kenny", "non-dropping-particle" : "", "parse-names" : false, "suffix" : "" }, { "dropping-particle" : "", "family" : "Eichler", "given" : "Evan E", "non-dropping-particle" : "", "parse-names" : false, "suffix" : "" }, { "dropping-particle" : "", "family" : "Gerstein", "given" : "Mark B", "non-dropping-particle" : "", "parse-names" : false, "suffix" : "" }, { "dropping-particle" : "", "family" : "Hurles", "given" : "Matthew E", "non-dropping-particle" : "", "parse-names" : false, "suffix" : "" }, { "dropping-particle" : "", "family" : "Lee", "given" : "Charles", "non-dropping-particle" : "", "parse-names" : false, "suffix" : "" }, { "dropping-particle" : "", "family" : "McCarroll", "given" : "Steven A", "non-dropping-particle" : "", "parse-names" : false, "suffix" : "" }, { "dropping-particle" : "", "family" : "Korbel", "given" : "Jan O", "non-dropping-particle" : "", "parse-names" : false, "suffix" : "" } ], "container-title" : "Nature", "id" : "ITEM-1", "issue" : "7332", "issued" : { "date-parts" : [ [ "2011", "2", "3" ] ] }, "page" : "59-65", "publisher" : "Nature Publishing Group, a division of Macmillan Publishers Limited. All Rights Reserved.", "title" : "Mapping copy number variation by population-scale genome sequencing.", "title-short" : "Nature", "type" : "article-journal", "volume" : "470" }, "uris" : [ "http://www.mendeley.com/documents/?uuid=989cddda-1d66-4b12-8e5c-2a7ade83a30c" ] }, { "id" : "ITEM-2", "itemData" : { "DOI" : "10.1186/1471-2105-14-S11-S1", "ISSN" : "1471-2105", "PMID" : "24564169", "abstract" : "Copy number variation (CNV) is a prevalent form of critical genetic variation that leads to an abnormal number of copies of large genomic regions in a cell. Microarray-based comparative genome hybridization (arrayCGH) or genotyping arrays have been standard technologies to detect large regions subject to copy number changes in genomes until most recently high-resolution sequence data can be analyzed by next-generation sequencing (NGS). During the last several years, NGS-based analysis has been widely applied to identify CNVs in both healthy and diseased individuals. Correspondingly, the strong demand for NGS-based CNV analyses has fuelled development of numerous computational methods and tools for CNV detection. In this article, we review the recent advances in computational methods pertaining to CNV detection using whole genome and whole exome sequencing data. Additionally, we discuss their strengths and weaknesses and suggest directions for future development.", "author" : [ { "dropping-particle" : "", "family" : "Zhao", "given" : "Min", "non-dropping-particle" : "", "parse-names" : false, "suffix" : "" }, { "dropping-particle" : "", "family" : "Wang", "given" : "Qingguo", "non-dropping-particle" : "", "parse-names" : false, "suffix" : "" }, { "dropping-particle" : "", "family" : "Wang", "given" : "Quan", "non-dropping-particle" : "", "parse-names" : false, "suffix" : "" }, { "dropping-particle" : "", "family" : "Jia", "given" : "Peilin", "non-dropping-particle" : "", "parse-names" : false, "suffix" : "" }, { "dropping-particle" : "", "family" : "Zhao", "given" : "Zhongming", "non-dropping-particle" : "", "parse-names" : false, "suffix" : "" } ], "container-title" : "BMC bioinformatics", "id" : "ITEM-2", "issue" : "Suppl 11", "issued" : { "date-parts" : [ [ "2013", "1" ] ] }, "page" : "S1", "title" : "Computational tools for copy number variation (CNV) detection using next-generation sequencing data: features and perspectives.", "type" : "article-journal", "volume" : "14 Suppl 1" }, "uris" : [ "http://www.mendeley.com/documents/?uuid=8a6e64c9-465e-49f2-81cb-1cbdba2197f4" ] } ], "mendeley" : { "formattedCitation" : "(Mills et al. 2011; Zhao et al. 2013)", "plainTextFormattedCitation" : "(Mills et al. 2011; Zhao et al. 2013)", "previouslyFormattedCitation" : "(Mills et al. 2011; Zhao et al. 2013)" }, "properties" : { "noteIndex" : 0 }, "schema" : "https://github.com/citation-style-language/schema/raw/master/csl-citation.json" }</w:instrText>
      </w:r>
      <w:r w:rsidR="00FB5180">
        <w:fldChar w:fldCharType="separate"/>
      </w:r>
      <w:r w:rsidR="00754F50" w:rsidRPr="00754F50">
        <w:rPr>
          <w:noProof/>
        </w:rPr>
        <w:t>(Mills et al. 2011; Zhao et al. 2013)</w:t>
      </w:r>
      <w:r w:rsidR="00FB5180">
        <w:fldChar w:fldCharType="end"/>
      </w:r>
      <w:r w:rsidR="007827B2">
        <w:t xml:space="preserve">. Here we present evidence for </w:t>
      </w:r>
      <w:r w:rsidR="00C24654">
        <w:t xml:space="preserve">core genome </w:t>
      </w:r>
      <w:r w:rsidR="007827B2">
        <w:t>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EE0300" w:rsidRPr="005833BA">
        <w:rPr>
          <w:i/>
        </w:rPr>
        <w:t>mdr</w:t>
      </w:r>
      <w:r w:rsidR="0053348F" w:rsidRPr="005833BA">
        <w:rPr>
          <w:i/>
        </w:rPr>
        <w:t>1</w:t>
      </w:r>
      <w:r w:rsidR="007827B2">
        <w:t xml:space="preserve"> and </w:t>
      </w:r>
      <w:r w:rsidR="00EE0300" w:rsidRPr="00EE0300">
        <w:rPr>
          <w:i/>
        </w:rPr>
        <w:t>gch</w:t>
      </w:r>
      <w:r w:rsidR="007220F1" w:rsidRPr="00EE0300">
        <w:rPr>
          <w:i/>
        </w:rPr>
        <w:t>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 xml:space="preserve">spanning drug resistance genes </w:t>
      </w:r>
      <w:r w:rsidR="00EE0300">
        <w:t>mdr</w:t>
      </w:r>
      <w:r w:rsidR="0053348F">
        <w:t>1</w:t>
      </w:r>
      <w:r w:rsidR="00043C58">
        <w:t xml:space="preserve"> and </w:t>
      </w:r>
      <w:r w:rsidR="00EE0300">
        <w:t>gch</w:t>
      </w:r>
      <w:r w:rsidR="007220F1">
        <w:t>1</w:t>
      </w:r>
      <w:r w:rsidR="00B32D1F">
        <w:t xml:space="preserve"> </w:t>
      </w:r>
    </w:p>
    <w:p w:rsidR="009E0D59" w:rsidRDefault="009E0D59" w:rsidP="00901FE9">
      <w:r>
        <w:t xml:space="preserve">Amplifications spanning </w:t>
      </w:r>
      <w:r w:rsidR="0039689D" w:rsidRPr="0039689D">
        <w:rPr>
          <w:i/>
        </w:rPr>
        <w:t>mdr1</w:t>
      </w:r>
      <w:r w:rsidR="0039689D">
        <w:t xml:space="preserve"> and </w:t>
      </w:r>
      <w:r w:rsidR="00EE0300" w:rsidRPr="00EE0300">
        <w:rPr>
          <w:i/>
        </w:rPr>
        <w:t>gch</w:t>
      </w:r>
      <w:r w:rsidR="007220F1" w:rsidRPr="00EE0300">
        <w:rPr>
          <w:i/>
        </w:rPr>
        <w:t>1</w:t>
      </w:r>
      <w:r>
        <w:t xml:space="preserve"> were clearly visible from depth of coverage of sequence reads aligned to th</w:t>
      </w:r>
      <w:r w:rsidR="00653393">
        <w:t>e 3D7 reference genome</w:t>
      </w:r>
      <w:r w:rsidR="0039689D">
        <w:t xml:space="preserve"> (figure 4; supplementary figure @@N)</w:t>
      </w:r>
      <w:r>
        <w:t xml:space="preserve">. Orientation of read pairs was also informative in most cases, providing evidence for either tandem duplication (paired reads aligned facing away from each other) or tandem inversion (paired reads aligned in the same direction). </w:t>
      </w:r>
      <w:r w:rsidR="00653393">
        <w:t xml:space="preserve">On chromosome 5 a three-fold amplification of an 82kb region spanning </w:t>
      </w:r>
      <w:r w:rsidR="00EE0300" w:rsidRPr="00DD329D">
        <w:rPr>
          <w:i/>
        </w:rPr>
        <w:t>mdr</w:t>
      </w:r>
      <w:r w:rsidR="0053348F" w:rsidRPr="00DD329D">
        <w:rPr>
          <w:i/>
        </w:rPr>
        <w:t>1</w:t>
      </w:r>
      <w:r w:rsidR="00653393">
        <w:t xml:space="preserve"> and </w:t>
      </w:r>
      <w:r w:rsidR="00653393">
        <w:lastRenderedPageBreak/>
        <w:t>13 other genes was evident in Dd2 and as either 2 or 3 copies in 14 progeny of HB3 x Dd2 (supplementary figure @@N)</w:t>
      </w:r>
      <w:r w:rsidR="00043C58">
        <w:t xml:space="preserve"> consistent with previous reports</w:t>
      </w:r>
      <w:r w:rsidR="00754F50">
        <w:t xml:space="preserve"> </w:t>
      </w:r>
      <w:r w:rsidR="00FB5180">
        <w:fldChar w:fldCharType="begin" w:fldLock="1"/>
      </w:r>
      <w:r w:rsidR="00E1484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"ITEM-3",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"ITEM-3",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"(Wellems et al. 1990; Samarakoon, Gonzales, et al. 2011; Sep\u00falveda et al. 2013)", "plainTextFormattedCitation" : "(Wellems et al. 1990; Samarakoon, Gonzales, et al. 2011; Sep\u00falveda et al. 2013)", "previouslyFormattedCitation" : "(Wellems et al. 1990; Samarakoon, Gonzales, et al. 2011; Sep\u00falveda et al. 2013)" }, "properties" : { "noteIndex" : 0 }, "schema" : "https://github.com/citation-style-language/schema/raw/master/csl-citation.json" }</w:instrText>
      </w:r>
      <w:r w:rsidR="00FB5180">
        <w:fldChar w:fldCharType="separate"/>
      </w:r>
      <w:r w:rsidR="00C42374" w:rsidRPr="00C42374">
        <w:rPr>
          <w:noProof/>
        </w:rPr>
        <w:t>(Wellems et al. 1990; Samarakoon, Gonzales, et al. 2011; Sepúlveda et al. 2013)</w:t>
      </w:r>
      <w:r w:rsidR="00FB5180">
        <w:fldChar w:fldCharType="end"/>
      </w:r>
      <w:r w:rsidR="00653393">
        <w:t xml:space="preserve">. On chromosome 12 all parent clones including 3D7 had evidence for some form of amplification relative to the 3D7 reference genome spanning </w:t>
      </w:r>
      <w:r w:rsidR="00EE0300" w:rsidRPr="00EE0300">
        <w:rPr>
          <w:i/>
        </w:rPr>
        <w:t>gch</w:t>
      </w:r>
      <w:r w:rsidR="007220F1" w:rsidRPr="00EE0300">
        <w:rPr>
          <w:i/>
        </w:rPr>
        <w:t>1</w:t>
      </w:r>
      <w:r w:rsidR="00653393">
        <w:rPr>
          <w:i/>
        </w:rPr>
        <w:t xml:space="preserve"> </w:t>
      </w:r>
      <w:r w:rsidR="00754F50">
        <w:t>(figure 4</w:t>
      </w:r>
      <w:r w:rsidR="00653393">
        <w:t xml:space="preserve">). The amplifications were different in each of the 5 parents in terms of the extent, copy number, and arrangement of amplified segments. The 3D7 clone had four copies of a 2kb segment spanning </w:t>
      </w:r>
      <w:r w:rsidR="00EE0300" w:rsidRPr="00EE0300">
        <w:rPr>
          <w:i/>
        </w:rPr>
        <w:t>gch</w:t>
      </w:r>
      <w:r w:rsidR="007220F1" w:rsidRPr="00EE0300">
        <w:rPr>
          <w:i/>
        </w:rPr>
        <w:t>1</w:t>
      </w:r>
      <w:r w:rsidR="00DE0EF1">
        <w:rPr>
          <w:i/>
        </w:rPr>
        <w:t xml:space="preserve"> </w:t>
      </w:r>
      <w:r w:rsidR="00653393">
        <w:t xml:space="preserve">only (the 3D7 reference genome to which all reads were aligned has only a single copy of </w:t>
      </w:r>
      <w:r w:rsidR="00EE0300" w:rsidRPr="00EE0300">
        <w:rPr>
          <w:i/>
        </w:rPr>
        <w:t>gch</w:t>
      </w:r>
      <w:r w:rsidR="007220F1" w:rsidRPr="00EE0300">
        <w:rPr>
          <w:i/>
        </w:rPr>
        <w:t>1</w:t>
      </w:r>
      <w:r w:rsidR="00653393">
        <w:t xml:space="preserve">) and read pair alignments were consistent with a tandem array. HB3(1) had two copies of a 161kb tandem duplication spanning </w:t>
      </w:r>
      <w:r w:rsidR="00EE0300" w:rsidRPr="00EE0300">
        <w:rPr>
          <w:i/>
        </w:rPr>
        <w:t>gch</w:t>
      </w:r>
      <w:r w:rsidR="007220F1" w:rsidRPr="00EE0300">
        <w:rPr>
          <w:i/>
        </w:rPr>
        <w:t>1</w:t>
      </w:r>
      <w:r w:rsidR="00653393">
        <w:t xml:space="preserve"> and 38 other genes. Dd2 had 3 copies of a 5kb segment spanning </w:t>
      </w:r>
      <w:r w:rsidR="00EE0300" w:rsidRPr="00EE0300">
        <w:rPr>
          <w:i/>
        </w:rPr>
        <w:t>gch</w:t>
      </w:r>
      <w:r w:rsidR="007220F1" w:rsidRPr="00EE0300">
        <w:rPr>
          <w:i/>
        </w:rPr>
        <w:t>1</w:t>
      </w:r>
      <w:r w:rsidR="00043C58">
        <w:t xml:space="preserve"> and 2 upstream genes and </w:t>
      </w:r>
      <w:r w:rsidR="00653393">
        <w:t xml:space="preserve">alignments indicated a tandem inversion. 7G8 had a 3-fold tandem amplification of a 31kb segment spanning </w:t>
      </w:r>
      <w:r w:rsidR="00EE0300" w:rsidRPr="00EE0300">
        <w:rPr>
          <w:i/>
        </w:rPr>
        <w:t>gch</w:t>
      </w:r>
      <w:r w:rsidR="007220F1" w:rsidRPr="00EE0300">
        <w:rPr>
          <w:i/>
        </w:rPr>
        <w:t>1</w:t>
      </w:r>
      <w:r w:rsidR="00653393">
        <w:t xml:space="preserve"> and 6 other genes. GB4 had 2 copies of a segment spanning </w:t>
      </w:r>
      <w:r w:rsidR="00EE0300" w:rsidRPr="005833BA">
        <w:rPr>
          <w:i/>
        </w:rPr>
        <w:t>gch</w:t>
      </w:r>
      <w:r w:rsidR="007220F1" w:rsidRPr="005833BA">
        <w:rPr>
          <w:i/>
        </w:rPr>
        <w:t>1</w:t>
      </w:r>
      <w:r w:rsidR="00653393">
        <w:t xml:space="preserve"> and 3 upstream genes, although the arrangement of segments could not be determined from read alignments. The HB3(2)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EE0300" w:rsidRPr="005833BA">
        <w:rPr>
          <w:i/>
        </w:rPr>
        <w:t>gch</w:t>
      </w:r>
      <w:r w:rsidR="007220F1" w:rsidRPr="005833BA">
        <w:rPr>
          <w:i/>
        </w:rPr>
        <w:t>1</w:t>
      </w:r>
      <w:r w:rsidR="00653393">
        <w:t xml:space="preserve"> CNVs segregated in the progeny of all three crosses except for two progeny of 3D7 x HB3 (C</w:t>
      </w:r>
      <w:r w:rsidR="00754F50">
        <w:t>05</w:t>
      </w:r>
      <w:r w:rsidR="00653393">
        <w:t>, C</w:t>
      </w:r>
      <w:r w:rsidR="00754F50">
        <w:t>06</w:t>
      </w:r>
      <w:r w:rsidR="00653393">
        <w:t xml:space="preserve">)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w:t>
      </w:r>
      <w:r w:rsidR="00DD329D" w:rsidRPr="00DD329D">
        <w:rPr>
          <w:i/>
        </w:rPr>
        <w:t>clag</w:t>
      </w:r>
      <w:r w:rsidRPr="00DD329D">
        <w:rPr>
          <w:i/>
        </w:rPr>
        <w:t>3</w:t>
      </w:r>
      <w:r>
        <w:t xml:space="preserve"> paralogs and the two intervening pseudogenes (one of which is a </w:t>
      </w:r>
      <w:r>
        <w:rPr>
          <w:i/>
        </w:rPr>
        <w:t>var</w:t>
      </w:r>
      <w:r>
        <w:t xml:space="preserve">) was evident in GB4 and 13 progeny of 7G8 x GB4 (supplementary figure @@N) consistent with the previously reported absence of </w:t>
      </w:r>
      <w:r w:rsidR="00DD329D">
        <w:rPr>
          <w:i/>
        </w:rPr>
        <w:t>clag</w:t>
      </w:r>
      <w:r w:rsidRPr="00DD329D">
        <w:rPr>
          <w:i/>
        </w:rPr>
        <w:t>3.2</w:t>
      </w:r>
      <w:r>
        <w:t xml:space="preserve"> in GB4 and other clones </w:t>
      </w:r>
      <w:r w:rsidR="00FB5180">
        <w:fldChar w:fldCharType="begin" w:fldLock="1"/>
      </w:r>
      <w:r w:rsidR="00C42374">
        <w:instrText>ADDIN CSL_CITATION { "citationItems" : [ { "id" : "ITEM-1",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"ITEM-1", "issued" : { "date-parts" : [ [ "2013", "1" ] ] }, "page" : "128", "title" : "A Poisson hierarchical modelling approach to detecting copy number variation in sequence coverage data.", "type" : "article-journal", "volume" : "14" }, "uris" : [ "http://www.mendeley.com/documents/?uuid=7896c66d-4085-4722-b898-0da8fb1e5346" ] }, { "id" : "ITEM-2", "itemData" : { "DOI" : "10.1016/j.molbiopara.2006.11.004", "ISSN" : "0166-6851", "PMID" : "17166605", "author" : [ { "dropping-particle" : "", "family" : "Chung", "given" : "Wendy Y", "non-dropping-particle" : "", "parse-names" : false, "suffix" : "" }, { "dropping-particle" : "", "family" : "Gardiner", "given" : "Donald L", "non-dropping-particle" : "", "parse-names" : false, "suffix" : "" }, { "dropping-particle" : "", "family" : "Anderson", "given" : "Karen A", "non-dropping-particle" : "", "parse-names" : false, "suffix" : "" }, { "dropping-particle" : "", "family" : "Hyland", "given" : "Catharine A", "non-dropping-particle" : "", "parse-names" : false, "suffix" : "" }, { "dropping-particle" : "", "family" : "Kemp", "given" : "David J", "non-dropping-particle" : "", "parse-names" : false, "suffix" : "" }, { "dropping-particle" : "", "family" : "Trenholme", "given" : "Katharine R", "non-dropping-particle" : "", "parse-names" : false, "suffix" : "" } ], "container-title" : "Molecular and biochemical parasitology", "id" : "ITEM-2", "issue" : "2", "issued" : { "date-parts" : [ [ "2007", "2" ] ] }, "page" : "229-32", "title" : "The CLAG/RhopH1 locus on chromosome 3 of Plasmodium falciparum: two genes or two alleles of the same gene?", "type" : "article-journal", "volume" : "151" }, "uris" : [ "http://www.mendeley.com/documents/?uuid=6917b425-0873-47c3-b1aa-a1d0a6d58569" ] }, { "id" : "ITEM-3", "itemData" : { "DOI" : "10.1016/j.molbiopara.2007.11.004", "ISSN" : "0166-6851", "PMID" : "18155305", "abstract" : "A complex of high-molecular-mass proteins (PfRhopH) of the human malaria parasite Plasmodium falciparum induces host protective immunity and therefore is a candidate for vaccine development. Understanding the level of polymorphism and the evolutionary processes is important for advancements in both vaccine design and knowledge of the evolution of cell invasion in this parasite. In the present study, we sequenced the entire open reading frames of seven genes encoding the proteins of the PfRhopH complex (rhoph2, rhoph3, and five rhoph1/clag gene paralogs). We found that four rhoph1/clag genes (clag2, 3.1, 3.2, and 8) were highly polymorphic. Amino acid substitutions and indels are predominantly clustered around amino acid positions 1000-1200 of these four rhoph1/clag genes. An excess of nonsynonymous substitutions over synonymous substitutions was detected for clag8 and 9, indicating positive selection. The McDonald-Kreitman test with a Plasmodium reichenowi orthologous sequence also supports positive selection on clag8. Based on the ratio of interspecific genetic distance to intraspecific distance, the time to the most recent common ancestor of the clag2 and 8 polymorphisms was estimated to be 1.89 and 0.87 million years ago, respectively, assuming divergence of P. falciparum and P. reichenowi 6 million years ago. In addition to a copy number polymorphism, gene conversion events were detected for the rhoph1/clag genes on chromosome 3, which likely play a role in increasing the diversity of each locus. Our results indicate that a high diversity of the PfRhopH1/Clag multigene family is maintained by diversifying selection forces over a considerably long period.", "author" : [ { "dropping-particle" : "", "family" : "Iriko", "given" : "Hideyuki", "non-dropping-particle" : "", "parse-names" : false, "suffix" : "" }, { "dropping-particle" : "", "family" : "Kaneko", "given" : "Osamu", "non-dropping-particle" : "", "parse-names" : false, "suffix" : "" }, { "dropping-particle" : "", "family" : "Otsuki", "given" : "Hitoshi", "non-dropping-particle" : "", "parse-names" : false, "suffix" : "" }, { "dropping-particle" : "", "family" : "Tsuboi", "given" : "Takafumi", "non-dropping-particle" : "", "parse-names" : false, "suffix" : "" }, { "dropping-particle" : "", "family" : "Su", "given" : "Xin-Zhuan", "non-dropping-particle" : "", "parse-names" : false, "suffix" : "" }, { "dropping-particle" : "", "family" : "Tanabe", "given" : "Kazuyuki", "non-dropping-particle" : "", "parse-names" : false, "suffix" : "" }, { "dropping-particle" : "", "family" : "Torii", "given" : "Motomi", "non-dropping-particle" : "", "parse-names" : false, "suffix" : "" } ], "container-title" : "Molecular and biochemical parasitology", "id" : "ITEM-3", "issue" : "1", "issued" : { "date-parts" : [ [ "2008", "3" ] ] }, "page" : "11-21", "title" : "Diversity and evolution of the rhoph1/clag multigene family of Plasmodium falciparum.", "type" : "article-journal", "volume" : "158" }, "uris" : [ "http://www.mendeley.com/documents/?uuid=8e25ffb3-5d79-48f5-934c-252a2fd2631e" ] } ], "mendeley" : { "formattedCitation" : "(Sep\u00falveda et al. 2013; Chung et al. 2007; Iriko et al. 2008)", "plainTextFormattedCitation" : "(Sep\u00falveda et al. 2013; Chung et al. 2007; Iriko et al. 2008)", "previouslyFormattedCitation" : "(Sep\u00falveda et al. 2013; Chung et al. 2007; Iriko et al. 2008)" }, "properties" : { "noteIndex" : 0 }, "schema" : "https://github.com/citation-style-language/schema/raw/master/csl-citation.json" }</w:instrText>
      </w:r>
      <w:r w:rsidR="00FB5180">
        <w:fldChar w:fldCharType="separate"/>
      </w:r>
      <w:r w:rsidR="00754F50" w:rsidRPr="00754F50">
        <w:rPr>
          <w:noProof/>
        </w:rPr>
        <w:t>(Sepúlveda et al. 2013; Chung et al. 2007; Iriko et al. 2008)</w:t>
      </w:r>
      <w:r w:rsidR="00FB5180">
        <w:fldChar w:fldCharType="end"/>
      </w:r>
      <w:r>
        <w:t>. On chromosome 11 a 70kb segment spanning 12 genes was duplicated in both HB3 replicates and 5 progeny of HB3 x Dd2 (supplementary figure @@N). This amplification has been shown to involve a translocation of one copy of the region to chromosome 13</w:t>
      </w:r>
      <w:r w:rsidR="00E1484F">
        <w:t xml:space="preserve"> </w:t>
      </w:r>
      <w:r w:rsidR="00FB5180">
        <w:fldChar w:fldCharType="begin" w:fldLock="1"/>
      </w:r>
      <w:r w:rsidR="006C6A25">
        <w:instrText>ADDIN CSL_CITATION { "citationItems" : [ { "id" : "ITEM-1", "itemData" : { "ISSN" : "0261-4189", "PMID" : "8076613", "abstract" : "Duplications and interchromosomal transpositions of chromosome segments are implicated in the genetic variability of Plasmodium falciparum malaria parasites. One parasite clone, HB3, was shown to lack a subtelomeric region of chromosome 13 that normally carries a PfHRPIII gene. We show here that the chromosome 13 segment carrying PfHRPIII was replaced in HB3 by a duplicated terminal segment from chromosome 11. Mapping results indicate that the segment includes at least 100-200 kb of subtelomeric DNA and contains duplicated copies of the Pf332 and RESA-2 genes. We followed inheritance of this duplication in a genetic cross between the HB3 and another P.falciparum clone, Dd2, that is euploid for the Pf332, RESA-2 and PfHRPIII genes. Three types of progeny from the cross showed expected inheritance forms: a Dd2 euploid parent type, an HB3 aneuploid parent type, and a recombinant euploid type that carried PfHRPIII from Dd2 chromosome 13 and Pf332 from HB3 chromosome 11. However, a fourth euploid progeny type was also observed, in which the chromosome 13 segment from HB3 was transposed back to replace the terminus of chromosome 11. Three of 14 individual progeny were of this type. These findings suggest a mechanism of recombination from subtelomeric pairing and exchange between non-homologous chromosomes in meiosis.", "author" : [ { "dropping-particle" : "", "family" : "Hinterberg", "given" : "K", "non-dropping-particle" : "", "parse-names" : false, "suffix" : "" }, { "dropping-particle" : "", "family" : "Mattei", "given" : "D", "non-dropping-particle" : "", "parse-names" : false, "suffix" : "" }, { "dropping-particle" : "", "family" : "Wellems", "given" : "T E", "non-dropping-particle" : "", "parse-names" : false, "suffix" : "" }, { "dropping-particle" : "", "family" : "Scherf", "given" : "A", "non-dropping-particle" : "", "parse-names" : false, "suffix" : "" } ], "container-title" : "The EMBO journal", "id" : "ITEM-1", "issue" : "17", "issued" : { "date-parts" : [ [ "1994", "9", "1" ] ] }, "page" : "4174-80", "title" : "Interchromosomal exchange of a large subtelomeric segment in a Plasmodium falciparum cross.", "type" : "article-journal", "volume" : "13" }, "uris" : [ "http://www.mendeley.com/documents/?uuid=a74c99a1-5ff2-470d-89fd-5ed79aa9673b" ] } ], "mendeley" : { "formattedCitation" : "(Hinterberg et al. 1994)", "plainTextFormattedCitation" : "(Hinterberg et al. 1994)", "previouslyFormattedCitation" : "(Hinterberg et al. 1994)" }, "properties" : { "noteIndex" : 0 }, "schema" : "https://github.com/citation-style-language/schema/raw/master/csl-citation.json" }</w:instrText>
      </w:r>
      <w:r w:rsidR="00FB5180">
        <w:fldChar w:fldCharType="separate"/>
      </w:r>
      <w:r w:rsidR="00E1484F" w:rsidRPr="00E1484F">
        <w:rPr>
          <w:noProof/>
        </w:rPr>
        <w:t>(Hinterberg et al. 1994)</w:t>
      </w:r>
      <w:r w:rsidR="00FB5180">
        <w:fldChar w:fldCharType="end"/>
      </w:r>
      <w:r>
        <w:t xml:space="preserve">.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sidR="00EE0300" w:rsidRPr="005833BA">
        <w:rPr>
          <w:i/>
        </w:rPr>
        <w:t>gch</w:t>
      </w:r>
      <w:r w:rsidR="007220F1" w:rsidRPr="005833BA">
        <w:rPr>
          <w:i/>
        </w:rPr>
        <w:t>1</w:t>
      </w:r>
      <w:r w:rsidR="003E6777">
        <w:t xml:space="preserve"> locus</w:t>
      </w:r>
      <w:r>
        <w:t xml:space="preserve"> and some of the progeny clones appeared to inherit both par</w:t>
      </w:r>
      <w:r w:rsidR="00242BE4">
        <w:t>ental amplifications (figure 4</w:t>
      </w:r>
      <w:r>
        <w:t>).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w:t>
      </w:r>
      <w:r w:rsidR="00242BE4">
        <w:t xml:space="preserve"> the amplified region (figure 5</w:t>
      </w:r>
      <w:r>
        <w:t xml:space="preserve">). Within such a segment a haploid individual </w:t>
      </w:r>
      <w:r w:rsidR="003E6777">
        <w:t>is</w:t>
      </w:r>
      <w:r>
        <w:t xml:space="preserve"> effectively </w:t>
      </w:r>
      <w:r>
        <w:lastRenderedPageBreak/>
        <w:t xml:space="preserve">diploid and also becomes effectively heterozygous for any SNP, </w:t>
      </w:r>
      <w:r w:rsidR="00F230BE">
        <w:t>INDEL</w:t>
      </w:r>
      <w:r>
        <w:t xml:space="preserve"> or smaller CNV variants within the segment that segregate between the two parents. In the analyses of genome variation and recombination described in the preceding sections, all SNP and </w:t>
      </w:r>
      <w:r w:rsidR="00F230BE">
        <w:t>INDEL</w:t>
      </w:r>
      <w:r>
        <w:t xml:space="preserve"> variants within regions of copy number variation were filtered, because both of the variant calling methods used here assumed that samples are haploid and therefore genotypes are not correctly modelled where 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w:t>
      </w:r>
      <w:r w:rsidR="008579AE">
        <w:t xml:space="preserve">or the other </w:t>
      </w:r>
      <w:r>
        <w:t xml:space="preserve">parental allele </w:t>
      </w:r>
      <w:r w:rsidR="002B5CBF">
        <w:t xml:space="preserve">should </w:t>
      </w:r>
      <w:r>
        <w:t xml:space="preserve">be found </w:t>
      </w:r>
      <w:r w:rsidR="003E6777">
        <w:t xml:space="preserve">almost </w:t>
      </w:r>
      <w:r>
        <w:t xml:space="preserve">exclusively.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 C06</w:t>
      </w:r>
      <w:r w:rsidR="0043059A">
        <w:t xml:space="preserve"> had a region of</w:t>
      </w:r>
      <w:r>
        <w:t xml:space="preserve"> heterozygosity spanning the leftmost 130kb of the region duplicated in HB3, but was apparently homozygous for the rema</w:t>
      </w:r>
      <w:r w:rsidR="00242BE4">
        <w:t>inder of this region (figure 4</w:t>
      </w:r>
      <w:r>
        <w:t>). The most parsimonious explanation is that a single crossover occurred within the reg</w:t>
      </w:r>
      <w:r w:rsidR="00242BE4">
        <w:t>ion duplicated in HB3</w:t>
      </w:r>
      <w:r w:rsidR="008579AE">
        <w:t xml:space="preserve"> (figure 5)</w:t>
      </w:r>
      <w:r w:rsidR="00242BE4">
        <w:t>.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(figure 4</w:t>
      </w:r>
      <w:r>
        <w:t>). This is harder to explain, as it would require two crossover events at or close to the borders of the duplicated region</w:t>
      </w:r>
      <w:r w:rsidR="008579AE">
        <w:t xml:space="preserve"> (supplementary figure @@N)</w:t>
      </w:r>
      <w:r>
        <w:t xml:space="preserve">, which seems improbable unless the CNV breakpoints are also </w:t>
      </w:r>
      <w:r w:rsidR="002B5CBF">
        <w:t xml:space="preserve">particularly </w:t>
      </w:r>
      <w:r>
        <w:t>p</w:t>
      </w:r>
      <w:r w:rsidR="002B5CBF">
        <w:t>rone to meiotic crossover</w:t>
      </w:r>
      <w:r w:rsidR="000C3978">
        <w:t xml:space="preserve"> </w:t>
      </w:r>
      <w:r w:rsidR="00FB5180">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FB5180">
        <w:fldChar w:fldCharType="separate"/>
      </w:r>
      <w:r w:rsidR="00194EE4" w:rsidRPr="00194EE4">
        <w:rPr>
          <w:noProof/>
        </w:rPr>
        <w:t>(Völker et al. 2010)</w:t>
      </w:r>
      <w:r w:rsidR="00FB5180">
        <w:fldChar w:fldCharType="end"/>
      </w:r>
      <w:r>
        <w:t>. An alternative explanation is that the CNV is not a tandem duplication and one copy of the region has been translocated to a different chromosome, however read orientation evidence clearly indicated that the region is tand</w:t>
      </w:r>
      <w:r w:rsidR="00242BE4">
        <w:t>emly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242BE4">
        <w:t xml:space="preserve"> (figure 4</w:t>
      </w:r>
      <w:r>
        <w:t>). Two separate regions of heterozygosity were visible at either ends of the HB3 duplicated region, which can be explained if two crossover events occurred</w:t>
      </w:r>
      <w:r w:rsidR="008579AE">
        <w:t xml:space="preserve"> (supplementary figure @@N)</w:t>
      </w:r>
      <w:r>
        <w:t xml:space="preserve">.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In addition to these three cases, we found two further progeny of HB3 x Dd2 where crossovers occurred within the 82kb region spanning </w:t>
      </w:r>
      <w:r w:rsidR="00EE0300" w:rsidRPr="00DD329D">
        <w:rPr>
          <w:i/>
        </w:rPr>
        <w:t>mdr</w:t>
      </w:r>
      <w:r w:rsidR="0053348F" w:rsidRPr="00DD329D">
        <w:rPr>
          <w:i/>
        </w:rPr>
        <w:t>1</w:t>
      </w:r>
      <w:r w:rsidR="002B5CBF">
        <w:rPr>
          <w:i/>
        </w:rPr>
        <w:t xml:space="preserve">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 xml:space="preserve">itself, both of which are consistent with a single crossover having occurred within the amplified region. </w:t>
      </w:r>
      <w:r w:rsidR="002B5CBF">
        <w:lastRenderedPageBreak/>
        <w:t>These data show that crossover recombination within amplified regions can lead to effective 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9"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rsidR="008579AE">
        <w:t>recombination within each</w:t>
      </w:r>
      <w:r>
        <w:t xml:space="preserve"> cross; a tool for browsing the genome, allowing the location of variants to </w:t>
      </w:r>
      <w:r w:rsidR="00FC2174">
        <w:t xml:space="preserve">be </w:t>
      </w:r>
      <w:r>
        <w:t xml:space="preserve">viewed in the context of genome features and </w:t>
      </w:r>
      <w:r w:rsidR="003E6777">
        <w:t>alignment metrics</w:t>
      </w:r>
      <w:r>
        <w:t>; and a browser for visualising the sequence alignments themselves, implemented by embedding the LookSeq software</w:t>
      </w:r>
      <w:r w:rsidR="006C6A25">
        <w:t xml:space="preserve"> </w:t>
      </w:r>
      <w:r w:rsidR="00FB5180">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FB5180">
        <w:fldChar w:fldCharType="separate"/>
      </w:r>
      <w:r w:rsidR="006C6A25" w:rsidRPr="006C6A25">
        <w:rPr>
          <w:noProof/>
        </w:rPr>
        <w:t>(Manske &amp; Kwiatkowski 2009)</w:t>
      </w:r>
      <w:r w:rsidR="00FB5180">
        <w:fldChar w:fldCharType="end"/>
      </w:r>
      <w:r>
        <w:t>. 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11"/>
      </w:r>
      <w:r>
        <w:t xml:space="preserve"> that will be described in detail elsewhere.</w:t>
      </w:r>
    </w:p>
    <w:p w:rsidR="009E1600" w:rsidRDefault="009E1600" w:rsidP="009E1600">
      <w:pPr>
        <w:pStyle w:val="Heading2"/>
      </w:pPr>
      <w:r>
        <w:t>Discussion</w:t>
      </w:r>
    </w:p>
    <w:p w:rsidR="00097BD4" w:rsidRDefault="00097BD4" w:rsidP="009E1600">
      <w:r>
        <w:t>@@TODO discuss apparent preference for recombination in coding regions, due to higher GC?</w:t>
      </w:r>
    </w:p>
    <w:p w:rsidR="00097BD4" w:rsidRDefault="00097BD4" w:rsidP="009E1600"/>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w:t>
      </w:r>
      <w:r w:rsidR="00381C07">
        <w:t>resource</w:t>
      </w:r>
      <w:r w:rsidR="00C81D5D">
        <w:t xml:space="preserve"> for experimental </w:t>
      </w:r>
      <w:r w:rsidR="00381C07">
        <w:t xml:space="preserve">and genome </w:t>
      </w:r>
      <w:r w:rsidR="00C81D5D">
        <w:t xml:space="preserve">biology.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w:t>
      </w:r>
      <w:r w:rsidR="00381C07">
        <w:t xml:space="preserve">Meanwhile, </w:t>
      </w:r>
      <w:r w:rsidR="00760802">
        <w:t xml:space="preserve">these data </w:t>
      </w:r>
      <w:r w:rsidR="00381C07">
        <w:t xml:space="preserve">are </w:t>
      </w:r>
      <w:r w:rsidR="00760802">
        <w:t xml:space="preserve">a valuable foundation for studies </w:t>
      </w:r>
      <w:r w:rsidR="00381C07">
        <w:t xml:space="preserve">that use </w:t>
      </w:r>
      <w:r w:rsidR="00760802">
        <w:t xml:space="preserve">current sequencing technology to </w:t>
      </w:r>
      <w:r w:rsidR="00381C07">
        <w:t xml:space="preserve">investigate </w:t>
      </w:r>
      <w:r w:rsidR="00760802" w:rsidRPr="00760802">
        <w:rPr>
          <w:i/>
        </w:rPr>
        <w:t>P. falciparum</w:t>
      </w:r>
      <w:r w:rsidR="00760802">
        <w:t xml:space="preserve"> in the lab and the field, </w:t>
      </w:r>
      <w:r w:rsidR="00381C07">
        <w:t xml:space="preserve">and provide </w:t>
      </w:r>
      <w:r w:rsidR="00760802">
        <w:t>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w:t>
      </w:r>
      <w:r w:rsidR="00381C07">
        <w:t xml:space="preserve">verified </w:t>
      </w:r>
      <w:r w:rsidR="00E224EF">
        <w:t xml:space="preserve">using sequencing of biological replicates, and thus represent a well-validated resource. They demonstrate that </w:t>
      </w:r>
      <w:r w:rsidR="00F230BE">
        <w:t>INDEL</w:t>
      </w:r>
      <w:r w:rsidR="00E224EF">
        <w:t xml:space="preserve">s are </w:t>
      </w:r>
      <w:r w:rsidR="00DF2176">
        <w:t xml:space="preserve">the most abundant form of </w:t>
      </w:r>
      <w:r w:rsidR="00DF2176">
        <w:lastRenderedPageBreak/>
        <w:t xml:space="preserve">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w:t>
      </w:r>
      <w:r w:rsidR="00381C07">
        <w:t>considering</w:t>
      </w:r>
      <w:r w:rsidR="00943113">
        <w:t xml:space="preserve"> the abundance of tandem repeats and </w:t>
      </w:r>
      <w:r w:rsidR="00142C02">
        <w:t xml:space="preserve">other </w:t>
      </w:r>
      <w:r w:rsidR="00943113">
        <w:t>low complexity sequence</w:t>
      </w:r>
      <w:r w:rsidR="00142C02">
        <w:t>s</w:t>
      </w:r>
      <w:r w:rsidR="00943113">
        <w:t xml:space="preserve"> in both coding and non-coding regions of the </w:t>
      </w:r>
      <w:r w:rsidR="00943113" w:rsidRPr="00943113">
        <w:rPr>
          <w:i/>
        </w:rPr>
        <w:t>P. falciparum</w:t>
      </w:r>
      <w:r w:rsidR="00943113">
        <w:t xml:space="preserve"> genome </w:t>
      </w:r>
      <w:r w:rsidR="00FB5180">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FB5180">
        <w:fldChar w:fldCharType="separate"/>
      </w:r>
      <w:r w:rsidR="00114AB5" w:rsidRPr="00114AB5">
        <w:rPr>
          <w:noProof/>
        </w:rPr>
        <w:t>(Gardner et al. 2002; DePristo et al. 2006; Zilversmit et al. 2010; Muralidharan &amp; Goldberg 2013)</w:t>
      </w:r>
      <w:r w:rsidR="00FB5180">
        <w:fldChar w:fldCharType="end"/>
      </w:r>
      <w:r w:rsidR="00943113">
        <w:t xml:space="preserve"> and </w:t>
      </w:r>
      <w:r w:rsidR="00381C07">
        <w:t xml:space="preserve">the evidence that replication slippage causes high variability in </w:t>
      </w:r>
      <w:r w:rsidR="00943113">
        <w:t xml:space="preserve">short tandem repeats </w:t>
      </w:r>
      <w:r w:rsidR="00FB5180">
        <w:fldChar w:fldCharType="begin" w:fldLock="1"/>
      </w:r>
      <w:r w:rsidR="00142C02">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Tan et al. 2010)" }, "properties" : { "noteIndex" : 0 }, "schema" : "https://github.com/citation-style-language/schema/raw/master/csl-citation.json" }</w:instrText>
      </w:r>
      <w:r w:rsidR="00FB5180">
        <w:fldChar w:fldCharType="separate"/>
      </w:r>
      <w:r w:rsidR="00114AB5" w:rsidRPr="00114AB5">
        <w:rPr>
          <w:noProof/>
        </w:rPr>
        <w:t>(Lovett 2004; Li et al. 2002; Tan et al. 2010)</w:t>
      </w:r>
      <w:r w:rsidR="00FB5180">
        <w:fldChar w:fldCharType="end"/>
      </w:r>
      <w:r w:rsidR="00943113">
        <w:t xml:space="preserve">. Nevertheless, </w:t>
      </w:r>
      <w:r w:rsidR="00381C07">
        <w:t xml:space="preserve">the </w:t>
      </w:r>
      <w:r w:rsidR="00943113">
        <w:t xml:space="preserve">comprehensive data on </w:t>
      </w:r>
      <w:r w:rsidR="00F230BE">
        <w:t>INDEL</w:t>
      </w:r>
      <w:r w:rsidR="00943113">
        <w:t xml:space="preserve"> variation </w:t>
      </w:r>
      <w:r w:rsidR="00381C07">
        <w:t xml:space="preserve">presented here fill </w:t>
      </w:r>
      <w:r w:rsidR="00943113">
        <w:t xml:space="preserve">an important </w:t>
      </w:r>
      <w:r w:rsidR="00381C07">
        <w:t>gap in current knowledge.  The</w:t>
      </w:r>
      <w:r w:rsidR="00943113">
        <w:t xml:space="preserve"> data</w:t>
      </w:r>
      <w:r w:rsidR="00DF2176">
        <w:t xml:space="preserve"> also provide the first genome-wide view of non-coding variation, which is almost completely unexplored in </w:t>
      </w:r>
      <w:r w:rsidR="00DF2176" w:rsidRPr="00DF2176">
        <w:rPr>
          <w:i/>
        </w:rPr>
        <w:t>P. falciparum</w:t>
      </w:r>
      <w:r w:rsidR="00DF2176">
        <w:t>, yet could have important phenotypic consequences</w:t>
      </w:r>
      <w:r w:rsidR="00C95BB5">
        <w:t xml:space="preserve"> </w:t>
      </w:r>
      <w:r w:rsidR="00FB5180">
        <w:fldChar w:fldCharType="begin" w:fldLock="1"/>
      </w:r>
      <w:r w:rsidR="007A13ED">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FB5180">
        <w:fldChar w:fldCharType="separate"/>
      </w:r>
      <w:r w:rsidR="007A13ED" w:rsidRPr="007A13ED">
        <w:rPr>
          <w:noProof/>
        </w:rPr>
        <w:t>(Mok et al. 2014)</w:t>
      </w:r>
      <w:r w:rsidR="00FB5180">
        <w:fldChar w:fldCharType="end"/>
      </w:r>
      <w:r w:rsidR="00DF2176">
        <w:t>.</w:t>
      </w:r>
      <w:r w:rsidR="007A13ED">
        <w:t xml:space="preserve"> </w:t>
      </w:r>
      <w:r w:rsidR="00C95BB5">
        <w:t>I</w:t>
      </w:r>
      <w:r w:rsidR="00DF2176">
        <w:t>ncreased expression of genes through copy number amplification is known to be an important component of resistance to anti-malarial compounds</w:t>
      </w:r>
      <w:r w:rsidR="00142C02">
        <w:t xml:space="preserve"> </w:t>
      </w:r>
      <w:r w:rsidR="00FB5180">
        <w:fldChar w:fldCharType="begin" w:fldLock="1"/>
      </w:r>
      <w:r w:rsidR="00C95BB5">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"(Price et al. 2004; Heinberg et al. 2013)", "plainTextFormattedCitation" : "(Price et al. 2004; Heinberg et al. 2013)", "previouslyFormattedCitation" : "(Price et al. 2004; Heinberg et al. 2013)" }, "properties" : { "noteIndex" : 0 }, "schema" : "https://github.com/citation-style-language/schema/raw/master/csl-citation.json" }</w:instrText>
      </w:r>
      <w:r w:rsidR="00FB5180">
        <w:fldChar w:fldCharType="separate"/>
      </w:r>
      <w:r w:rsidR="00142C02" w:rsidRPr="00142C02">
        <w:rPr>
          <w:noProof/>
        </w:rPr>
        <w:t>(Price et al. 2004; Heinberg et al. 2013)</w:t>
      </w:r>
      <w:r w:rsidR="00FB5180">
        <w:fldChar w:fldCharType="end"/>
      </w:r>
      <w:r w:rsidR="00381C07">
        <w:t xml:space="preserve"> although</w:t>
      </w:r>
      <w:r w:rsidR="00DF2176">
        <w:t xml:space="preserve"> comparable increases </w:t>
      </w:r>
      <w:r w:rsidR="00381C07">
        <w:t xml:space="preserve">of </w:t>
      </w:r>
      <w:r w:rsidR="00DF2176">
        <w:t>expression can also be obtained through variation in promoter and regulatory elements</w:t>
      </w:r>
      <w:r w:rsidR="007C506F">
        <w:t xml:space="preserve"> </w:t>
      </w:r>
      <w:r w:rsidR="00FB5180">
        <w:fldChar w:fldCharType="begin" w:fldLock="1"/>
      </w:r>
      <w:r w:rsidR="00622F1D">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"(Li et al. 2002; Anderson et al. 2009)", "plainTextFormattedCitation" : "(Li et al. 2002; Anderson et al. 2009)", "previouslyFormattedCitation" : "(Li et al. 2002; Anderson et al. 2009)" }, "properties" : { "noteIndex" : 0 }, "schema" : "https://github.com/citation-style-language/schema/raw/master/csl-citation.json" }</w:instrText>
      </w:r>
      <w:r w:rsidR="00FB5180">
        <w:fldChar w:fldCharType="separate"/>
      </w:r>
      <w:r w:rsidR="001301E2" w:rsidRPr="001301E2">
        <w:rPr>
          <w:noProof/>
        </w:rPr>
        <w:t>(Li et al. 2002; Anderson et al. 2009)</w:t>
      </w:r>
      <w:r w:rsidR="00FB5180">
        <w:fldChar w:fldCharType="end"/>
      </w:r>
      <w:r w:rsidR="00DF2176">
        <w:t xml:space="preserve">. </w:t>
      </w:r>
      <w:r w:rsidR="007A13ED">
        <w:t xml:space="preserve">In particular, short tandem repeat length variations within regulatory elements are known to affect gene activity across a number of species </w:t>
      </w:r>
      <w:r w:rsidR="00FB5180">
        <w:fldChar w:fldCharType="begin" w:fldLock="1"/>
      </w:r>
      <w:r w:rsidR="001301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FB5180">
        <w:fldChar w:fldCharType="separate"/>
      </w:r>
      <w:r w:rsidR="007A13ED" w:rsidRPr="007A13ED">
        <w:rPr>
          <w:noProof/>
        </w:rPr>
        <w:t>(Li et al. 2002)</w:t>
      </w:r>
      <w:r w:rsidR="00FB5180">
        <w:fldChar w:fldCharType="end"/>
      </w:r>
      <w:r w:rsidR="007A13ED">
        <w:t xml:space="preserve">. </w:t>
      </w:r>
      <w:r w:rsidR="00DF2176">
        <w:t xml:space="preserve">We </w:t>
      </w:r>
      <w:r w:rsidR="00DF77B0">
        <w:t>found</w:t>
      </w:r>
      <w:r w:rsidR="00DF2176">
        <w:t xml:space="preserve"> </w:t>
      </w:r>
      <w:r w:rsidR="007A13ED">
        <w:t xml:space="preserve">that INDELs are exceptionally abundant in non-coding regions within </w:t>
      </w:r>
      <w:r w:rsidR="007A13ED" w:rsidRPr="007A13ED">
        <w:rPr>
          <w:i/>
        </w:rPr>
        <w:t>P. falciparum</w:t>
      </w:r>
      <w:r w:rsidR="007A13ED">
        <w:t xml:space="preserve">, and </w:t>
      </w:r>
      <w:r w:rsidR="00FC2174">
        <w:t xml:space="preserve">furthermore </w:t>
      </w:r>
      <w:r w:rsidR="00DF2176">
        <w:t xml:space="preserve">that </w:t>
      </w:r>
      <w:r w:rsidR="00F230BE">
        <w:t>INDEL</w:t>
      </w:r>
      <w:r w:rsidR="00DF2176">
        <w:t xml:space="preserve"> diversity has a particular architecture in relat</w:t>
      </w:r>
      <w:r w:rsidR="001301E2">
        <w:t>ion to predicted core promoters, which may indicate that these mutations are non-neutral. Experimental work is now required to investigate the phenotypic consequences of these mutations.</w:t>
      </w:r>
    </w:p>
    <w:p w:rsidR="00943113" w:rsidRDefault="00291C00" w:rsidP="009E1600">
      <w:r>
        <w:t xml:space="preserve">It </w:t>
      </w:r>
      <w:r w:rsidR="00607AA0">
        <w:t xml:space="preserve">has </w:t>
      </w:r>
      <w:r w:rsidR="004C7856">
        <w:t xml:space="preserve">previously </w:t>
      </w:r>
      <w:r w:rsidR="00943113">
        <w:t xml:space="preserve">been difficult to </w:t>
      </w:r>
      <w:r>
        <w:t>perform high throughput studies of</w:t>
      </w:r>
      <w:r w:rsidR="004C7856">
        <w:t xml:space="preserve"> </w:t>
      </w:r>
      <w:r w:rsidR="00943113">
        <w:t xml:space="preserve">complex polymorphisms observed in genes expressed at the merozoite surface, including </w:t>
      </w:r>
      <w:r w:rsidR="00EE0300" w:rsidRPr="0017234E">
        <w:rPr>
          <w:i/>
        </w:rPr>
        <w:t>msp</w:t>
      </w:r>
      <w:r w:rsidR="00943113" w:rsidRPr="0017234E">
        <w:rPr>
          <w:i/>
        </w:rPr>
        <w:t>1</w:t>
      </w:r>
      <w:r w:rsidR="00943113">
        <w:t xml:space="preserve"> </w:t>
      </w:r>
      <w:r w:rsidR="00FB5180">
        <w:fldChar w:fldCharType="begin" w:fldLock="1"/>
      </w:r>
      <w:r w:rsidR="00622F1D">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"id" : "ITEM-2",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"ITEM-2",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"(Roy et al. 2008; Ferreira et al. 2003)", "plainTextFormattedCitation" : "(Roy et al. 2008; Ferreira et al. 2003)", "previouslyFormattedCitation" : "(Roy et al. 2008; Ferreira et al. 2003)" }, "properties" : { "noteIndex" : 0 }, "schema" : "https://github.com/citation-style-language/schema/raw/master/csl-citation.json" }</w:instrText>
      </w:r>
      <w:r w:rsidR="00FB5180">
        <w:fldChar w:fldCharType="separate"/>
      </w:r>
      <w:r w:rsidR="00622F1D" w:rsidRPr="00622F1D">
        <w:rPr>
          <w:noProof/>
        </w:rPr>
        <w:t>(Roy et al. 2008; Ferreira et al. 2003)</w:t>
      </w:r>
      <w:r w:rsidR="00FB5180">
        <w:fldChar w:fldCharType="end"/>
      </w:r>
      <w:r w:rsidR="00622F1D">
        <w:t xml:space="preserve"> </w:t>
      </w:r>
      <w:r w:rsidR="00943113">
        <w:t xml:space="preserve">and members of the </w:t>
      </w:r>
      <w:r w:rsidR="00EE0300" w:rsidRPr="0017234E">
        <w:rPr>
          <w:i/>
        </w:rPr>
        <w:t>msp</w:t>
      </w:r>
      <w:r w:rsidR="00943113" w:rsidRPr="0017234E">
        <w:rPr>
          <w:i/>
        </w:rPr>
        <w:t>3</w:t>
      </w:r>
      <w:r w:rsidR="00943113">
        <w:t xml:space="preserve"> family</w:t>
      </w:r>
      <w:r w:rsidR="00622F1D">
        <w:t xml:space="preserve"> </w:t>
      </w:r>
      <w:r w:rsidR="00FB5180">
        <w:fldChar w:fldCharType="begin" w:fldLock="1"/>
      </w:r>
      <w:r w:rsidR="00EE0300">
        <w:instrText>ADDIN CSL_CITATION { "citationItems" : [ { "id" : "ITEM-1", "itemData" : { "DOI" : "10.1371/journal.pone.0005410", "ISSN" : "1932-6203", "PMID" : "19404387", "abstract" : "BACKGROUND: Two related merozoite surface proteins, MSP3 and MSP6, have previously been identified as targets of antibody-dependent cellular inhibition (ADCI), a protective mechanism against Plasmodium falciparum malaria. Both MSP3 and MSP6 share a common characteristic small N-terminal signature amino-acid stretch (NLRNA/G), a feature similar to MSP3-like orthologs identified in other human and primate malaria parasites. METHODS/RESULTS: This signature amino-acid sequence led to the identification of eight ORFs contiguously located on P. falciparum chromosome 10. Our subsequent investigations on their expression, localization, sequence conservation, epitope sharing, immunogenicity and the functional role of antibodies in defense are reported here. Six members of P. falciparum MSP3-multigene family share similar sequence organization within their C-terminal regions, are simultaneously expressed as merozoite surface proteins and are highly conserved among parasite isolates. Each of these proteins is a target of naturally occurring antibodies effective at parasite killing in ADCI assays. Moreover, both naturally occurring antibodies and those generated by immunization display cross-reactivity with other members of the family and exhibit varied binding avidities. CONCLUSIONS/SIGNIFICANCE: The unusual characteristics of the MSP3 multi-gene family lead us to hypothesize that the simultaneous expression of targets eliciting cross-reactive antibody responses capable of controlling parasite densities could represent an immune process selected through evolution to maintain homeostasis between P. falciparum and human hosts; a process that allows the continuous transmission of the parasite without killing the host. Our observations also have practical consequences for vaccine development by suggesting MSP3 vaccine efficacy might be improved when combined with the various C-terminus regions of the MSP3 family members to generate a wider range of antibodies acting and to increase vaccine immunogenicity in varied human genetic backgrounds.", "author" : [ { "dropping-particle" : "", "family" : "Singh", "given" : "Subhash", "non-dropping-particle" : "", "parse-names" : false, "suffix" : "" }, { "dropping-particle" : "", "family" : "Soe", "given" : "Soe", "non-dropping-particle" : "", "parse-names" : false, "suffix" : "" }, { "dropping-particle" : "", "family" : "Weisman", "given" : "Simon", "non-dropping-particle" : "", "parse-names" : false, "suffix" : "" }, { "dropping-particle" : "", "family" : "Barnwell", "given" : "John W", "non-dropping-particle" : "", "parse-names" : false, "suffix" : "" }, { "dropping-particle" : "", "family" : "P\u00e9rignon", "given" : "Jean Louis", "non-dropping-particle" : "", "parse-names" : false, "suffix" : "" }, { "dropping-particle" : "", "family" : "Druilhe", "given" : "Pierre", "non-dropping-particle" : "", "parse-names" : false, "suffix" : "" } ], "container-title" : "PloS one", "editor" : [ { "dropping-particle" : "", "family" : "Moorthy", "given" : "Vasee", "non-dropping-particle" : "", "parse-names" : false, "suffix" : "" } ], "id" : "ITEM-1", "issue" : "4", "issued" : { "date-parts" : [ [ "2009", "1" ] ] }, "page" : "e5410", "publisher" : "Public Library of Science", "title" : "A conserved multi-gene family induces cross-reactive antibodies effective in defense against Plasmodium falciparum.", "type" : "article-journal", "volume" : "4" }, "uris" : [ "http://www.mendeley.com/documents/?uuid=477ff86a-dbbd-492b-828b-597ddd08b558" ] } ], "mendeley" : { "formattedCitation" : "(Singh et al. 2009)", "plainTextFormattedCitation" : "(Singh et al. 2009)", "previouslyFormattedCitation" : "(Singh et al. 2009)" }, "properties" : { "noteIndex" : 0 }, "schema" : "https://github.com/citation-style-language/schema/raw/master/csl-citation.json" }</w:instrText>
      </w:r>
      <w:r w:rsidR="00FB5180">
        <w:fldChar w:fldCharType="separate"/>
      </w:r>
      <w:r w:rsidR="00EE0300" w:rsidRPr="00EE0300">
        <w:rPr>
          <w:noProof/>
        </w:rPr>
        <w:t>(Singh et al. 2009)</w:t>
      </w:r>
      <w:r w:rsidR="00FB5180">
        <w:fldChar w:fldCharType="end"/>
      </w:r>
      <w:r w:rsidR="00943113">
        <w:t xml:space="preserve">. </w:t>
      </w:r>
      <w:r w:rsidR="00094913">
        <w:t xml:space="preserve">High levels of variability have also been reported </w:t>
      </w:r>
      <w:r w:rsidR="004C7856">
        <w:t>in</w:t>
      </w:r>
      <w:r w:rsidR="00094913">
        <w:t xml:space="preserve"> other genes associated with the merozoite stage, such as the </w:t>
      </w:r>
      <w:r w:rsidR="00EE0300" w:rsidRPr="00EE0300">
        <w:rPr>
          <w:i/>
        </w:rPr>
        <w:t>surf</w:t>
      </w:r>
      <w:r w:rsidR="00094913">
        <w:t xml:space="preserve"> family </w:t>
      </w:r>
      <w:r w:rsidR="00FB5180">
        <w:fldChar w:fldCharType="begin" w:fldLock="1"/>
      </w:r>
      <w:r w:rsidR="0076105D">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"10.1084/jem.20041392", "ISSN" : "0022-1007", "PMID" : "15939796", "abstract" : "The surfaces of the infected erythrocyte (IE) and the merozoite, two developmental stages of malaria parasites, expose antigenic determinants to the host immune system. We report on surface-associated interspersed genes (surf genes), which encode a novel polymorphic protein family, SURFINs, present on both IEs and merozoites. A SURFIN expressed in 3D7 parasites, SURFIN4.2, was identified by mass spectrometric analysis of peptides cleaved off the surface of live IEs with trypsin. SURFINs are encoded by a family of 10 surf genes, including three predicted pseudogenes, located within or close to the subtelomeres of five of the chromosomes. SURFINs show structural and sequence similarities with exported surface-exposed proteins (PvSTP1, PkSICAvar, PvVIR, Pf332, and PfEMP1) of several Plasmodium species. SURFIN4.2 of a parasite other than 3D7 (FCR3S1.2) showed polymorphisms in the extracellular domain, suggesting sequence variability between genotypes. SURFIN4.2 not only was found cotransported with PfEMP1 and RIFIN to the IE surface, but also accumulated in the parasitophorous vacuole. In released merozoites, SURFIN4.2 was present in an amorphous cap at the parasite apex, where it may be involved in the invasion of erythrocytes. By exposing shared polymorphic antigens on IEs and merozoites, the parasite may coordinate the antigenic composition of these attachment surfaces during growth in the bloodstream.", "author" : [ { "dropping-particle" : "", "family" : "Winter", "given" : "Gerhard", "non-dropping-particle" : "", "parse-names" : false, "suffix" : "" }, { "dropping-particle" : "", "family" : "Kawai", "given" : "Satoru", "non-dropping-particle" : "", "parse-names" : false, "suffix" : "" }, { "dropping-particle" : "", "family" : "Haeggstr\u00f6m", "given" : "Malin", "non-dropping-particle" : "", "parse-names" : false, "suffix" : "" }, { "dropping-particle" : "", "family" : "Kaneko", "given" : "Osamu", "non-dropping-particle" : "", "parse-names" : false, "suffix" : "" }, { "dropping-particle" : "", "family" : "Euler", "given" : "Anne", "non-dropping-particle" : "von", "parse-names" : false, "suffix" : "" }, { "dropping-particle" : "", "family" : "Kawazu", "given" : "Shin-ichiro", "non-dropping-particle" : "", "parse-names" : false, "suffix" : "" }, { "dropping-particle" : "", "family" : "Palm", "given" : "Daniel", "non-dropping-particle" : "", "parse-names" : false, "suffix" : "" }, { "dropping-particle" : "", "family" : "Fernandez", "given" : "Victor", "non-dropping-particle" : "", "parse-names" : false, "suffix" : "" }, { "dropping-particle" : "", "family" : "Wahlgren", "given" : "Mats", "non-dropping-particle" : "", "parse-names" : false, "suffix" : "" } ], "container-title" : "The Journal of experimental medicine", "id" : "ITEM-2", "issue" : "11", "issued" : { "date-parts" : [ [ "2005", "6", "6" ] ] }, "page" : "1853-63", "title" : "SURFIN is a polymorphic antigen expressed on Plasmodium falciparum merozoites and infected erythrocytes.", "type" : "article-journal", "volume" : "201" }, "uris" : [ "http://www.mendeley.com/documents/?uuid=4391e3dd-40c5-4bc2-bf85-e00ba5ec5999" ] } ], "mendeley" : { "formattedCitation" : "(Kidgell et al. 2006; Winter et al. 2005)", "plainTextFormattedCitation" : "(Kidgell et al. 2006; Winter et al. 2005)", "previouslyFormattedCitation" : "(Kidgell et al. 2006; Winter et al. 2005)" }, "properties" : { "noteIndex" : 0 }, "schema" : "https://github.com/citation-style-language/schema/raw/master/csl-citation.json" }</w:instrText>
      </w:r>
      <w:r w:rsidR="00FB5180">
        <w:fldChar w:fldCharType="separate"/>
      </w:r>
      <w:r w:rsidR="00DD329D" w:rsidRPr="00DD329D">
        <w:rPr>
          <w:noProof/>
        </w:rPr>
        <w:t>(Kidgell et al. 2006; Winter et al. 2005)</w:t>
      </w:r>
      <w:r w:rsidR="00FB5180">
        <w:fldChar w:fldCharType="end"/>
      </w:r>
      <w:r w:rsidR="004C7856">
        <w:t xml:space="preserve">, although it is not clear whether these loci exhibit deep </w:t>
      </w:r>
      <w:r w:rsidR="009A32D6">
        <w:t xml:space="preserve">allelic dimorphism as seen in </w:t>
      </w:r>
      <w:r w:rsidR="00EE0300" w:rsidRPr="00DD329D">
        <w:rPr>
          <w:i/>
        </w:rPr>
        <w:t>msp</w:t>
      </w:r>
      <w:r w:rsidR="009A32D6" w:rsidRPr="00DD329D">
        <w:rPr>
          <w:i/>
        </w:rPr>
        <w:t>1</w:t>
      </w:r>
      <w:r w:rsidR="00094913">
        <w:t>. The presence of diverged allelic forms and the fact that many of these genes appear to be und</w:t>
      </w:r>
      <w:r w:rsidR="00622F1D">
        <w:t xml:space="preserve">er balancing selection </w:t>
      </w:r>
      <w:r w:rsidR="00094913">
        <w:t xml:space="preserve">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w:t>
      </w:r>
      <w:r w:rsidR="00EE0300" w:rsidRPr="00EE0300">
        <w:rPr>
          <w:i/>
        </w:rPr>
        <w:t>msp</w:t>
      </w:r>
      <w:r w:rsidR="004C7856" w:rsidRPr="00EE0300">
        <w:rPr>
          <w:i/>
        </w:rPr>
        <w:t>1</w:t>
      </w:r>
      <w:r w:rsidR="004C7856">
        <w:t xml:space="preserve"> and members of the</w:t>
      </w:r>
      <w:r w:rsidR="00094913">
        <w:t xml:space="preserve"> </w:t>
      </w:r>
      <w:r w:rsidR="00EE0300" w:rsidRPr="00EE0300">
        <w:rPr>
          <w:i/>
        </w:rPr>
        <w:t>msp</w:t>
      </w:r>
      <w:r w:rsidR="00094913" w:rsidRPr="00EE0300">
        <w:rPr>
          <w:i/>
        </w:rPr>
        <w:t>3</w:t>
      </w:r>
      <w:r w:rsidR="00094913">
        <w:t xml:space="preserve"> </w:t>
      </w:r>
      <w:r w:rsidR="004C7856">
        <w:t xml:space="preserve">and </w:t>
      </w:r>
      <w:r w:rsidR="00EE0300" w:rsidRPr="00EE0300">
        <w:rPr>
          <w:i/>
        </w:rPr>
        <w:t>surf</w:t>
      </w:r>
      <w:r w:rsidR="004C7856">
        <w:t xml:space="preserve"> families</w:t>
      </w:r>
      <w:r w:rsidR="00094913">
        <w:t xml:space="preserve">. </w:t>
      </w:r>
      <w:r w:rsidR="00607AA0">
        <w:t>S</w:t>
      </w:r>
      <w:r w:rsidR="009A32D6">
        <w:t xml:space="preserve">ome known divergent loci, including </w:t>
      </w:r>
      <w:r w:rsidR="00EE0300" w:rsidRPr="00EE0300">
        <w:rPr>
          <w:i/>
        </w:rPr>
        <w:t>msp</w:t>
      </w:r>
      <w:r w:rsidR="009A32D6" w:rsidRPr="00EE0300">
        <w:rPr>
          <w:i/>
        </w:rPr>
        <w:t>2</w:t>
      </w:r>
      <w:r w:rsidR="009A32D6">
        <w:t xml:space="preserve"> and </w:t>
      </w:r>
      <w:r w:rsidR="009A32D6" w:rsidRPr="00EE0300">
        <w:rPr>
          <w:i/>
        </w:rPr>
        <w:t>S-antigen</w:t>
      </w:r>
      <w:r w:rsidR="009A32D6">
        <w:t xml:space="preserve">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w:t>
      </w:r>
      <w:r w:rsidR="004C7856">
        <w:lastRenderedPageBreak/>
        <w:t xml:space="preserve">adapt these methods for use on clinical isolates which may comprise </w:t>
      </w:r>
      <w:r w:rsidR="009A32D6">
        <w:t>a 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t xml:space="preserve"> that parasites undergo meiotic recombination </w:t>
      </w:r>
      <w:r w:rsidR="0043059A">
        <w:t>whilst in the mosquito</w:t>
      </w:r>
      <w:r w:rsidR="00622F1D">
        <w:t xml:space="preserve"> </w:t>
      </w:r>
      <w:r w:rsidR="00FB5180">
        <w:fldChar w:fldCharType="begin" w:fldLock="1"/>
      </w:r>
      <w:r w:rsidR="00DF6A03">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FB5180">
        <w:fldChar w:fldCharType="separate"/>
      </w:r>
      <w:r w:rsidR="00622F1D" w:rsidRPr="00622F1D">
        <w:rPr>
          <w:noProof/>
        </w:rPr>
        <w:t>(Walliker et al. 1987)</w:t>
      </w:r>
      <w:r w:rsidR="00FB5180">
        <w:fldChar w:fldCharType="end"/>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DF6A03">
        <w:t xml:space="preserve"> </w:t>
      </w:r>
      <w:r w:rsidR="00FB5180">
        <w:fldChar w:fldCharType="begin" w:fldLock="1"/>
      </w:r>
      <w:r w:rsidR="007A5FFB">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"mendeley" : { "formattedCitation" : "(Su et al. 1999; Jiang et al. 2011)", "plainTextFormattedCitation" : "(Su et al. 1999; Jiang et al. 2011)", "previouslyFormattedCitation" : "(Su et al. 1999; Jiang et al. 2011)" }, "properties" : { "noteIndex" : 0 }, "schema" : "https://github.com/citation-style-language/schema/raw/master/csl-citation.json" }</w:instrText>
      </w:r>
      <w:r w:rsidR="00FB5180">
        <w:fldChar w:fldCharType="separate"/>
      </w:r>
      <w:r w:rsidR="00DF6A03" w:rsidRPr="00DF6A03">
        <w:rPr>
          <w:noProof/>
        </w:rPr>
        <w:t>(Su et al. 1999; Jiang et al. 2011)</w:t>
      </w:r>
      <w:r w:rsidR="00FB5180">
        <w:fldChar w:fldCharType="end"/>
      </w:r>
      <w:r w:rsidR="00605B08">
        <w:t xml:space="preserve"> being approximately 50 times greater than the average recombination rate in humans.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and the distribution of conversion tract lengths. We confirm a CO recom</w:t>
      </w:r>
      <w:r w:rsidR="002169DD">
        <w:t>bination rate in the range 12.7-14.3 kb/cM</w:t>
      </w:r>
      <w:r w:rsidR="00605B08">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 xml:space="preserve">comparable to yeast </w:t>
      </w:r>
      <w:r w:rsidR="00FB5180">
        <w:fldChar w:fldCharType="begin" w:fldLock="1"/>
      </w:r>
      <w:r w:rsidR="00E91A85">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FB5180">
        <w:fldChar w:fldCharType="separate"/>
      </w:r>
      <w:r w:rsidR="00D5776C" w:rsidRPr="00D5776C">
        <w:rPr>
          <w:noProof/>
        </w:rPr>
        <w:t>(Mancera et al. 2008)</w:t>
      </w:r>
      <w:r w:rsidR="00FB5180">
        <w:fldChar w:fldCharType="end"/>
      </w:r>
      <w:r w:rsidR="002169DD">
        <w:t xml:space="preserve"> </w:t>
      </w:r>
      <w:r w:rsidR="00605B08">
        <w:t xml:space="preserve">but longer than humans </w:t>
      </w:r>
      <w:r w:rsidR="00FB5180">
        <w:fldChar w:fldCharType="begin" w:fldLock="1"/>
      </w:r>
      <w:r w:rsidR="00077681">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FB5180">
        <w:fldChar w:fldCharType="separate"/>
      </w:r>
      <w:r w:rsidR="0076105D" w:rsidRPr="0076105D">
        <w:rPr>
          <w:noProof/>
        </w:rPr>
        <w:t>(Jeffreys &amp; May 2004)</w:t>
      </w:r>
      <w:r w:rsidR="00FB5180">
        <w:fldChar w:fldCharType="end"/>
      </w:r>
      <w:r w:rsidR="0076105D">
        <w:t xml:space="preserve"> </w:t>
      </w:r>
      <w:r w:rsidR="00605B08">
        <w:t xml:space="preserve">and </w:t>
      </w:r>
      <w:r w:rsidR="007A5FFB" w:rsidRPr="007A5FFB">
        <w:rPr>
          <w:i/>
        </w:rPr>
        <w:t>Drosophila</w:t>
      </w:r>
      <w:r w:rsidR="00605B08">
        <w:t xml:space="preserve"> </w:t>
      </w:r>
      <w:r w:rsidR="00FB5180">
        <w:fldChar w:fldCharType="begin" w:fldLock="1"/>
      </w:r>
      <w:r w:rsidR="006469F3">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FB5180">
        <w:fldChar w:fldCharType="separate"/>
      </w:r>
      <w:r w:rsidR="007A5FFB" w:rsidRPr="007A5FFB">
        <w:rPr>
          <w:noProof/>
        </w:rPr>
        <w:t>(Hilliker et al. 1994)</w:t>
      </w:r>
      <w:r w:rsidR="00FB5180">
        <w:fldChar w:fldCharType="end"/>
      </w:r>
      <w:r w:rsidR="00DF77B0">
        <w:t xml:space="preserve"> and </w:t>
      </w:r>
      <w:r w:rsidR="0043059A">
        <w:t xml:space="preserve">the observation of </w:t>
      </w:r>
      <w:r w:rsidR="00DF77B0">
        <w:t xml:space="preserve">long-range complex </w:t>
      </w:r>
      <w:r w:rsidR="0017234E">
        <w:t>recombination</w:t>
      </w:r>
      <w:r w:rsidR="00DF77B0">
        <w:t xml:space="preserve"> events </w:t>
      </w:r>
      <w:r w:rsidR="00B65E4B">
        <w:t xml:space="preserve">spanning &gt;60kb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t>
      </w:r>
      <w:r w:rsidR="00FB5180">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FB5180">
        <w:fldChar w:fldCharType="separate"/>
      </w:r>
      <w:r w:rsidR="00E91A85" w:rsidRPr="00E91A85">
        <w:rPr>
          <w:noProof/>
        </w:rPr>
        <w:t>(Myers et al. 2005)</w:t>
      </w:r>
      <w:r w:rsidR="00FB5180">
        <w:fldChar w:fldCharType="end"/>
      </w:r>
      <w:r w:rsidR="00A42F7A">
        <w:t xml:space="preserve">. Previous work on the 7G8xGB4 cross suggested that the rate of recombination may not be uniform over the </w:t>
      </w:r>
      <w:r w:rsidR="00A42F7A" w:rsidRPr="00A42F7A">
        <w:rPr>
          <w:i/>
        </w:rPr>
        <w:t>P. falciparum</w:t>
      </w:r>
      <w:r w:rsidR="00A42F7A">
        <w:t xml:space="preserve"> genome</w:t>
      </w:r>
      <w:r w:rsidR="00E91A85">
        <w:t xml:space="preserve"> </w:t>
      </w:r>
      <w:r w:rsidR="00FB5180">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FB5180">
        <w:fldChar w:fldCharType="separate"/>
      </w:r>
      <w:r w:rsidR="00E91A85" w:rsidRPr="00E91A85">
        <w:rPr>
          <w:noProof/>
        </w:rPr>
        <w:t>(Jiang et al. 2011)</w:t>
      </w:r>
      <w:r w:rsidR="00FB5180">
        <w:fldChar w:fldCharType="end"/>
      </w:r>
      <w:r w:rsidR="00A42F7A">
        <w:t>.</w:t>
      </w:r>
      <w:r w:rsidR="00A44E52">
        <w:t xml:space="preserve"> Here we </w:t>
      </w:r>
      <w:r w:rsidR="00E91A85">
        <w:t>confirmed</w:t>
      </w:r>
      <w:r w:rsidR="00A42F7A">
        <w:t xml:space="preserve"> </w:t>
      </w:r>
      <w:r w:rsidR="00A44E52">
        <w:t>that the CO recombination rate wa</w:t>
      </w:r>
      <w:r w:rsidR="00A42F7A">
        <w:t>s lower within a highly localised reg</w:t>
      </w:r>
      <w:r w:rsidR="00E91A85">
        <w:t>i</w:t>
      </w:r>
      <w:r w:rsidR="0017234E">
        <w:t xml:space="preserve">on surrounding the centromeres, and </w:t>
      </w:r>
      <w:r w:rsidR="00E91A85">
        <w:t>found</w:t>
      </w:r>
      <w:r w:rsidR="00A42F7A">
        <w:t xml:space="preserve"> that CO events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w:t>
      </w:r>
      <w:r w:rsidR="0017234E">
        <w:t xml:space="preserve"> </w:t>
      </w:r>
      <w:r w:rsidR="00FB5180">
        <w:fldChar w:fldCharType="begin" w:fldLock="1"/>
      </w:r>
      <w:r w:rsidR="0017234E">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FB5180">
        <w:fldChar w:fldCharType="separate"/>
      </w:r>
      <w:r w:rsidR="0017234E" w:rsidRPr="0017234E">
        <w:rPr>
          <w:noProof/>
        </w:rPr>
        <w:t>(Claessens, Hamilton</w:t>
      </w:r>
      <w:r w:rsidR="0017234E">
        <w:rPr>
          <w:noProof/>
        </w:rPr>
        <w:t xml:space="preserve">, et al. </w:t>
      </w:r>
      <w:r w:rsidR="0017234E" w:rsidRPr="0017234E">
        <w:rPr>
          <w:noProof/>
        </w:rPr>
        <w:t>2014)</w:t>
      </w:r>
      <w:r w:rsidR="00FB5180">
        <w:fldChar w:fldCharType="end"/>
      </w:r>
      <w:r w:rsidR="00D329C7">
        <w:t xml:space="preserve">.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rsidR="00FB5180">
        <w:fldChar w:fldCharType="begin" w:fldLock="1"/>
      </w:r>
      <w:r w:rsidR="00E23718">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"ITEM-3", "issue" : "10", "issued" : { "date-parts" : [ [ "2008", "10" ] ] }, "page" : "e1000243", "title" : "Adaptive copy number evolution in malaria parasites.", "type" : "article-journal", "volume" : "4" }, "uris" : [ "http://www.mendeley.com/documents/?uuid=1cfdf1c6-4d16-4072-9cb1-41474b413d40" ] }, { "id" : "ITEM-4",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"ITEM-4",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"ITEM-5",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"ITEM-5",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"ITEM-6", "itemData" : { "ISSN" : "0270-7306", "PMID" : "1922044", "abstract" : "The multidrug resistance (MDR) phenotype in mammalian tumor cells can involve amplification of mdr genes that results in overexpression of the protein product termed P-glycoprotein. Chloroquine resistance (CQR) in Plasmodium falciparum has similarities with the MDR phenotype in tumor cells, and some isolates of P. falciparum have amplified levels of the pfmdr1 gene. To investigate the nature and origin of pfmdr1 amplicons, we have cloned large regions of a 110-kb amplicon from the CQR cloned isolate B8 by using the yeast artificial chromosome system. We have identified and sequenced the breakpoints of the amplicon by a novel method employing inverted polymerase chain reaction that is applicable to analysis of any large-scale repeat. We show that the five copies of the amplicon in this isolate are in a head to tail configuration. A string of 30 A's flank the breakpoints on each side of the amplified segment, suggesting a mechanism for the origin of the tandem amplification. Polymerase chain reaction analysis with oligonucleotides that cross the B8 breakpoint has shown in 26 independent CQR isolates, 16 of which contain amplified copies of pfmdr1, that amplification of the pfmdr1 gene in P. falciparum has arisen as multiple independent events. These results suggest that this region of the genome is under strong selective pressure.", "author" : [ { "dropping-particle" : "", "family" : "Triglia", "given" : "T", "non-dropping-particle" : "", "parse-names" : false, "suffix" : "" }, { "dropping-particle" : "", "family" : "Foote", "given" : "S J", "non-dropping-particle" : "", "parse-names" : false, "suffix" : "" }, { "dropping-particle" : "", "family" : "Kemp", "given" : "D J", "non-dropping-particle" : "", "parse-names" : false, "suffix" : "" }, { "dropping-particle" : "", "family" : "Cowman", "given" : "A F", "non-dropping-particle" : "", "parse-names" : false, "suffix" : "" } ], "container-title" : "Molecular and cellular biology", "id" : "ITEM-6", "issue" : "10", "issued" : { "date-parts" : [ [ "1991", "10" ] ] }, "page" : "5244-50", "title" : "Amplification of the multidrug resistance gene pfmdr1 in Plasmodium falciparum has arisen as multiple independent events.", "type" : "article-journal", "volume" : "11" }, "uris" : [ "http://www.mendeley.com/documents/?uuid=1891d0a0-7725-4c77-bab8-f18b329b7c44" ] }, { "id" : "ITEM-7",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"ITEM-7",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"(Price et al. 2004; Anderson et al. 2009; Nair et al. 2008; Kidgell et al. 2006; Heinberg et al. 2013; Triglia et al. 1991; Cowman et al. 1994)", "plainTextFormattedCitation" : "(Price et al. 2004; Anderson et al. 2009; Nair et al. 2008; Kidgell et al. 2006; Heinberg et al. 2013; Triglia et al. 1991; Cowman et al. 1994)", "previouslyFormattedCitation" : "(Price et al. 2004; Anderson et al. 2009; Nair et al. 2008; Kidgell et al. 2006; Heinberg et al. 2013; Triglia et al. 1991; Cowman et al. 1994)" }, "properties" : { "noteIndex" : 0 }, "schema" : "https://github.com/citation-style-language/schema/raw/master/csl-citation.json" }</w:instrText>
      </w:r>
      <w:r w:rsidR="00FB5180">
        <w:fldChar w:fldCharType="separate"/>
      </w:r>
      <w:r w:rsidR="00AC053E" w:rsidRPr="00AC053E">
        <w:rPr>
          <w:noProof/>
        </w:rPr>
        <w:t xml:space="preserve">(Price et al. 2004; Anderson et al. 2009; Nair et al. 2008; Kidgell et al. </w:t>
      </w:r>
      <w:r w:rsidR="00AC053E" w:rsidRPr="00AC053E">
        <w:rPr>
          <w:noProof/>
        </w:rPr>
        <w:lastRenderedPageBreak/>
        <w:t>2006; Heinberg et al. 2013; Triglia et al. 1991; Cowman et al. 1994)</w:t>
      </w:r>
      <w:r w:rsidR="00FB5180">
        <w:fldChar w:fldCharType="end"/>
      </w:r>
      <w:r w:rsidR="00B32D1F">
        <w:t>.</w:t>
      </w:r>
      <w:r>
        <w:t xml:space="preserve"> </w:t>
      </w:r>
      <w:r w:rsidR="00AC053E">
        <w:t xml:space="preserve"> We have confirmed that a</w:t>
      </w:r>
      <w:r>
        <w:t xml:space="preserve">mplifications spanning the multi-drug resistance gene </w:t>
      </w:r>
      <w:r w:rsidR="00EE0300" w:rsidRPr="00DD329D">
        <w:rPr>
          <w:i/>
        </w:rPr>
        <w:t>mdr</w:t>
      </w:r>
      <w:r w:rsidR="0053348F" w:rsidRPr="00DD329D">
        <w:rPr>
          <w:i/>
        </w:rPr>
        <w:t>1</w:t>
      </w:r>
      <w:r>
        <w:t xml:space="preserve"> segregate in the HB3xDd2 cross, and </w:t>
      </w:r>
      <w:r w:rsidR="00AC053E">
        <w:t xml:space="preserve">shown that </w:t>
      </w:r>
      <w:r>
        <w:t xml:space="preserve">pleiomorphic amplifications spanning the anti-folate resistance gene </w:t>
      </w:r>
      <w:r w:rsidR="00EE0300" w:rsidRPr="005833BA">
        <w:rPr>
          <w:i/>
        </w:rPr>
        <w:t>gch</w:t>
      </w:r>
      <w:r w:rsidR="007220F1" w:rsidRPr="005833BA">
        <w:rPr>
          <w:i/>
        </w:rPr>
        <w:t>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FB5180">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FB5180">
        <w:fldChar w:fldCharType="separate"/>
      </w:r>
      <w:r w:rsidR="00AC053E" w:rsidRPr="00AC053E">
        <w:rPr>
          <w:noProof/>
        </w:rPr>
        <w:t>(Samarakoon, Gonzales, et al. 2011)</w:t>
      </w:r>
      <w:r w:rsidR="00FB5180">
        <w:fldChar w:fldCharType="end"/>
      </w:r>
      <w:r>
        <w:t xml:space="preserve">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w:t>
      </w:r>
      <w:r w:rsidR="00AC053E">
        <w:t xml:space="preserve"> absence of drug pressure </w:t>
      </w:r>
      <w:r w:rsidR="00FB5180">
        <w:fldChar w:fldCharType="begin" w:fldLock="1"/>
      </w:r>
      <w:r w:rsidR="008C5FF4">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"(Kondrashov 2012; Anderson et al. 2009)", "plainTextFormattedCitation" : "(Kondrashov 2012; Anderson et al. 2009)", "previouslyFormattedCitation" : "(Kondrashov 2012; Anderson et al. 2009)" }, "properties" : { "noteIndex" : 0 }, "schema" : "https://github.com/citation-style-language/schema/raw/master/csl-citation.json" }</w:instrText>
      </w:r>
      <w:r w:rsidR="00FB5180">
        <w:fldChar w:fldCharType="separate"/>
      </w:r>
      <w:r w:rsidR="008C5FF4" w:rsidRPr="008C5FF4">
        <w:rPr>
          <w:noProof/>
        </w:rPr>
        <w:t>(Kondrashov 2012; Anderson et al. 2009)</w:t>
      </w:r>
      <w:r w:rsidR="00FB5180">
        <w:fldChar w:fldCharType="end"/>
      </w:r>
      <w:r w:rsidR="00D329C7">
        <w:t xml:space="preserve"> and can also confer both resistance to one class of drugs and sensitivity to another</w:t>
      </w:r>
      <w:r w:rsidR="008C5FF4">
        <w:t xml:space="preserve"> </w:t>
      </w:r>
      <w:r w:rsidR="00FB5180">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FB5180">
        <w:fldChar w:fldCharType="separate"/>
      </w:r>
      <w:r w:rsidR="008C5FF4" w:rsidRPr="008C5FF4">
        <w:rPr>
          <w:noProof/>
        </w:rPr>
        <w:t>(Anderson et al. 2009)</w:t>
      </w:r>
      <w:r w:rsidR="00FB5180">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t>
      </w:r>
      <w:r w:rsidR="008C5FF4">
        <w:t xml:space="preserve">wed by unequal crossover </w:t>
      </w:r>
      <w:r w:rsidR="00FB5180">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FB5180">
        <w:fldChar w:fldCharType="separate"/>
      </w:r>
      <w:r w:rsidR="008C5FF4" w:rsidRPr="008C5FF4">
        <w:rPr>
          <w:noProof/>
        </w:rPr>
        <w:t>(Nair et al. 2007)</w:t>
      </w:r>
      <w:r w:rsidR="00FB5180">
        <w:fldChar w:fldCharType="end"/>
      </w:r>
      <w:r w:rsidR="00D70420">
        <w:t xml:space="preserve">. The abundance of tandem repeats in the </w:t>
      </w:r>
      <w:r w:rsidR="00FF6BE6" w:rsidRPr="00FF6BE6">
        <w:rPr>
          <w:i/>
        </w:rPr>
        <w:t>P. falciparum</w:t>
      </w:r>
      <w:r w:rsidR="00FF6BE6">
        <w:t xml:space="preserve"> </w:t>
      </w:r>
      <w:r w:rsidR="00D70420">
        <w:t xml:space="preserve">core genome creates a rich network of </w:t>
      </w:r>
      <w:r w:rsidR="00291C00">
        <w:t>non-allelic sequence</w:t>
      </w:r>
      <w:r w:rsidR="00D70420">
        <w:t xml:space="preserve"> homology and thus potential 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a</w:t>
      </w:r>
      <w:r w:rsidR="00FF6BE6">
        <w:t>n amplification has occurred</w:t>
      </w:r>
      <w:r w:rsidR="0017234E">
        <w:t xml:space="preserve"> and </w:t>
      </w:r>
      <w:r w:rsidR="00D70420">
        <w:t xml:space="preserve">persisted long enough for parasites to be taken up </w:t>
      </w:r>
      <w:r w:rsidR="003C72B7">
        <w:t>by a mosquito</w:t>
      </w:r>
      <w:r w:rsidR="00D70420">
        <w:t xml:space="preserve">, meiotic recombination provides an opportunity for copies of the amplified region </w:t>
      </w:r>
      <w:r w:rsidR="008C5FF4">
        <w:t xml:space="preserve">from different </w:t>
      </w:r>
      <w:r w:rsidR="0017234E">
        <w:t>lineages</w:t>
      </w:r>
      <w:r w:rsidR="008C5FF4">
        <w:t xml:space="preserve"> </w:t>
      </w:r>
      <w:r w:rsidR="00D70420">
        <w:t>to be acquired within the same genome</w:t>
      </w:r>
      <w:r w:rsidR="008C5FF4">
        <w:t xml:space="preserve">, creating a </w:t>
      </w:r>
      <w:r w:rsidR="008C5FF4">
        <w:lastRenderedPageBreak/>
        <w:t>region of pseudo-heterozygosity</w:t>
      </w:r>
      <w:r w:rsidR="00D70420">
        <w:t>. Both the initial amplification and the acquisition of 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stable yet poised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w:t>
      </w:r>
      <w:r w:rsidR="00291C00">
        <w:t>indicate</w:t>
      </w:r>
      <w:r w:rsidR="00CB2ADC">
        <w:t xml:space="preserve"> </w:t>
      </w:r>
      <w:r w:rsidR="0017234E">
        <w:t>that</w:t>
      </w:r>
      <w:r w:rsidR="00CB2ADC">
        <w:t xml:space="preserve"> </w:t>
      </w:r>
      <w:r w:rsidR="00291C00">
        <w:t xml:space="preserve">all known </w:t>
      </w:r>
      <w:r w:rsidR="00D51DCC">
        <w:t xml:space="preserve">modes of mutation and recombination </w:t>
      </w:r>
      <w:r w:rsidR="00291C00">
        <w:t xml:space="preserve">should be integrated when modelling </w:t>
      </w:r>
      <w:r w:rsidR="009778CE">
        <w:t>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say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w:t>
      </w:r>
      <w:r w:rsidR="00457090">
        <w:t xml:space="preserve"> </w:t>
      </w:r>
      <w:r w:rsidR="00FB5180">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FB5180">
        <w:fldChar w:fldCharType="separate"/>
      </w:r>
      <w:r w:rsidR="00457090" w:rsidRPr="00457090">
        <w:rPr>
          <w:noProof/>
        </w:rPr>
        <w:t>(Manske et al. 2012)</w:t>
      </w:r>
      <w:r w:rsidR="00FB5180">
        <w:fldChar w:fldCharType="end"/>
      </w:r>
      <w:r w:rsidR="00457090">
        <w:t xml:space="preserve"> </w:t>
      </w:r>
      <w:r>
        <w:t xml:space="preserve">except that the PCR-free method of library preparation as described in </w:t>
      </w:r>
      <w:r w:rsidR="00FB5180">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FB5180">
        <w:fldChar w:fldCharType="separate"/>
      </w:r>
      <w:r w:rsidR="00457090" w:rsidRPr="00457090">
        <w:rPr>
          <w:noProof/>
        </w:rPr>
        <w:t>(Kozarewa et al. 2009)</w:t>
      </w:r>
      <w:r w:rsidR="00FB5180">
        <w:fldChar w:fldCharType="end"/>
      </w:r>
      <w:r>
        <w:t xml:space="preserve"> was used.</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FB5180">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FB5180">
        <w:fldChar w:fldCharType="separate"/>
      </w:r>
      <w:r w:rsidR="00CD5EC1" w:rsidRPr="00CD5EC1">
        <w:rPr>
          <w:noProof/>
        </w:rPr>
        <w:t>(Li &amp; Durbin 2009)</w:t>
      </w:r>
      <w:r w:rsidR="00FB5180">
        <w:fldChar w:fldCharType="end"/>
      </w:r>
      <w:r w:rsidR="00CD5EC1">
        <w:t xml:space="preserve"> </w:t>
      </w:r>
      <w:r w:rsidR="00077681">
        <w:t xml:space="preserve">to align reads to the 3D7 version 3 reference genome, then applied GATK </w:t>
      </w:r>
      <w:r w:rsidR="00FB5180">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FB5180">
        <w:fldChar w:fldCharType="separate"/>
      </w:r>
      <w:r w:rsidR="00077681" w:rsidRPr="00077681">
        <w:rPr>
          <w:noProof/>
        </w:rPr>
        <w:t>(McKenna et al. 2010)</w:t>
      </w:r>
      <w:r w:rsidR="00FB5180">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FB5180">
        <w:fldChar w:fldCharType="begin" w:fldLock="1"/>
      </w:r>
      <w:r w:rsidR="00E23718">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"number-of-pages"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FB5180">
        <w:fldChar w:fldCharType="separate"/>
      </w:r>
      <w:r w:rsidR="00077681" w:rsidRPr="00077681">
        <w:rPr>
          <w:noProof/>
        </w:rPr>
        <w:t>(DePristo et al. 2011; Van der Auwera et al. 2002)</w:t>
      </w:r>
      <w:r w:rsidR="00FB5180">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FB5180">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FB5180">
        <w:fldChar w:fldCharType="separate"/>
      </w:r>
      <w:r w:rsidR="00CD5EC1" w:rsidRPr="00CD5EC1">
        <w:rPr>
          <w:noProof/>
        </w:rPr>
        <w:t>(Iqbal et al. 2012)</w:t>
      </w:r>
      <w:r w:rsidR="00FB5180">
        <w:fldChar w:fldCharType="end"/>
      </w:r>
      <w:r w:rsidR="00536C74">
        <w:t xml:space="preserve"> following the 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77582B">
      <w:pPr>
        <w:pStyle w:val="Heading3"/>
      </w:pPr>
      <w:r>
        <w:lastRenderedPageBreak/>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BE0BCD">
        <w:t>inheritance</w:t>
      </w:r>
      <w:r w:rsidR="00502205">
        <w:t xml:space="preserv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pysamstats</w:t>
      </w:r>
      <w:r w:rsidR="00FE3235">
        <w:t xml:space="preserve"> (@@REF)</w:t>
      </w:r>
      <w:r w:rsidR="00D7475C">
        <w:t xml:space="preserve">. Copy number state was predicted in all samples by fitting a Gaussian hidden Markov model to </w:t>
      </w:r>
      <w:r w:rsidR="00BE0BCD">
        <w:t>the normalised coverage data.</w:t>
      </w:r>
    </w:p>
    <w:p w:rsidR="009E1600" w:rsidRDefault="009E1600" w:rsidP="009E1600">
      <w:pPr>
        <w:pStyle w:val="Heading2"/>
      </w:pPr>
      <w:r>
        <w:lastRenderedPageBreak/>
        <w:t>References</w:t>
      </w:r>
    </w:p>
    <w:p w:rsidR="00097BD4" w:rsidRPr="00097BD4" w:rsidRDefault="00FB5180">
      <w:pPr>
        <w:pStyle w:val="NormalWeb"/>
        <w:ind w:left="480" w:hanging="480"/>
        <w:divId w:val="1489901363"/>
        <w:rPr>
          <w:rFonts w:ascii="Calibri" w:hAnsi="Calibri"/>
          <w:noProof/>
          <w:sz w:val="22"/>
        </w:rPr>
      </w:pPr>
      <w:r>
        <w:fldChar w:fldCharType="begin" w:fldLock="1"/>
      </w:r>
      <w:r w:rsidR="00CB6C32">
        <w:instrText xml:space="preserve">ADDIN Mendeley Bibliography CSL_BIBLIOGRAPHY </w:instrText>
      </w:r>
      <w:r>
        <w:fldChar w:fldCharType="separate"/>
      </w:r>
      <w:r w:rsidR="00097BD4" w:rsidRPr="00097BD4">
        <w:rPr>
          <w:rFonts w:ascii="Calibri" w:hAnsi="Calibri"/>
          <w:noProof/>
          <w:sz w:val="22"/>
        </w:rPr>
        <w:t xml:space="preserve">Abecasis, G.R. et al., 2012. An integrated map of genetic variation from 1,092 human genomes. </w:t>
      </w:r>
      <w:r w:rsidR="00097BD4" w:rsidRPr="00097BD4">
        <w:rPr>
          <w:rFonts w:ascii="Calibri" w:hAnsi="Calibri"/>
          <w:i/>
          <w:iCs/>
          <w:noProof/>
          <w:sz w:val="22"/>
        </w:rPr>
        <w:t>Nature</w:t>
      </w:r>
      <w:r w:rsidR="00097BD4" w:rsidRPr="00097BD4">
        <w:rPr>
          <w:rFonts w:ascii="Calibri" w:hAnsi="Calibri"/>
          <w:noProof/>
          <w:sz w:val="22"/>
        </w:rPr>
        <w:t>, 491(7422), pp.56–65. Available at: http://dx.doi.org/10.1038/nature11632 [Accessed July 9,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Anderson, T.J.C., Patel, J. &amp; Ferdig, M.T., 2009. Gene copy number and malaria biology. </w:t>
      </w:r>
      <w:r w:rsidRPr="00097BD4">
        <w:rPr>
          <w:rFonts w:ascii="Calibri" w:hAnsi="Calibri"/>
          <w:i/>
          <w:iCs/>
          <w:noProof/>
          <w:sz w:val="22"/>
        </w:rPr>
        <w:t>Trends in parasitology</w:t>
      </w:r>
      <w:r w:rsidRPr="00097BD4">
        <w:rPr>
          <w:rFonts w:ascii="Calibri" w:hAnsi="Calibri"/>
          <w:noProof/>
          <w:sz w:val="22"/>
        </w:rPr>
        <w:t>, 25(7), pp.336–43. Available at: http://www.pubmedcentral.nih.gov/articlerender.fcgi?artid=2839409&amp;tool=pmcentrez&amp;rendertype=abstract [Accessed November 17,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Antoine Claessens, William L. Hamilton, Mihir Kekre, Thomas D. Otto, Adnan Faizullabhoy, Julian C. Rayner, D.K., 2014. Generation of antigenic diversity in Plasmodium falciparum by structured rearrangement of var genes during mitosis. </w:t>
      </w:r>
      <w:r w:rsidRPr="00097BD4">
        <w:rPr>
          <w:rFonts w:ascii="Calibri" w:hAnsi="Calibri"/>
          <w:i/>
          <w:iCs/>
          <w:noProof/>
          <w:sz w:val="22"/>
        </w:rPr>
        <w:t>PLoS genetics</w:t>
      </w:r>
      <w:r w:rsidRPr="00097BD4">
        <w:rPr>
          <w:rFonts w:ascii="Calibri" w:hAnsi="Calibri"/>
          <w:noProof/>
          <w:sz w:val="22"/>
        </w:rPr>
        <w:t>.</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Ariey, F. et al., 2014. A molecular marker of artemisinin-resistant Plasmodium falciparum malaria. </w:t>
      </w:r>
      <w:r w:rsidRPr="00097BD4">
        <w:rPr>
          <w:rFonts w:ascii="Calibri" w:hAnsi="Calibri"/>
          <w:i/>
          <w:iCs/>
          <w:noProof/>
          <w:sz w:val="22"/>
        </w:rPr>
        <w:t>Nature</w:t>
      </w:r>
      <w:r w:rsidRPr="00097BD4">
        <w:rPr>
          <w:rFonts w:ascii="Calibri" w:hAnsi="Calibri"/>
          <w:noProof/>
          <w:sz w:val="22"/>
        </w:rPr>
        <w:t>, 505(7481), pp.50–5. Available at: http://www.ncbi.nlm.nih.gov/pubmed/24352242 [Accessed July 11,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Ashley, E.A. et al., 2014. Spread of Artemisinin Resistance in Plasmodium falciparum Malaria. </w:t>
      </w:r>
      <w:r w:rsidRPr="00097BD4">
        <w:rPr>
          <w:rFonts w:ascii="Calibri" w:hAnsi="Calibri"/>
          <w:i/>
          <w:iCs/>
          <w:noProof/>
          <w:sz w:val="22"/>
        </w:rPr>
        <w:t>New England Journal of Medicine</w:t>
      </w:r>
      <w:r w:rsidRPr="00097BD4">
        <w:rPr>
          <w:rFonts w:ascii="Calibri" w:hAnsi="Calibri"/>
          <w:noProof/>
          <w:sz w:val="22"/>
        </w:rPr>
        <w:t>, 371(5), pp.411–423. Available at: http://www.ncbi.nlm.nih.gov/pubmed/25075834 [Accessed July 31,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Van der Auwera, G.A. et al., 2002. </w:t>
      </w:r>
      <w:r w:rsidRPr="00097BD4">
        <w:rPr>
          <w:rFonts w:ascii="Calibri" w:hAnsi="Calibri"/>
          <w:i/>
          <w:iCs/>
          <w:noProof/>
          <w:sz w:val="22"/>
        </w:rPr>
        <w:t>Current Protocols in Bioinformatics</w:t>
      </w:r>
      <w:r w:rsidRPr="00097BD4">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Baudat, F. &amp; de Massy, B., 2007. Regulating double-stranded DNA break repair towards crossover or non-crossover during mammalian meiosis. </w:t>
      </w:r>
      <w:r w:rsidRPr="00097BD4">
        <w:rPr>
          <w:rFonts w:ascii="Calibri" w:hAnsi="Calibri"/>
          <w:i/>
          <w:iCs/>
          <w:noProof/>
          <w:sz w:val="22"/>
        </w:rPr>
        <w:t>Chromosome research : an international journal on the molecular, supramolecular and evolutionary aspects of chromosome biology</w:t>
      </w:r>
      <w:r w:rsidRPr="00097BD4">
        <w:rPr>
          <w:rFonts w:ascii="Calibri" w:hAnsi="Calibri"/>
          <w:noProof/>
          <w:sz w:val="22"/>
        </w:rPr>
        <w:t>, 15(5), pp.565–77. Available at: http://www.ncbi.nlm.nih.gov/pubmed/17674146 [Accessed December 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Birren, B. et al., 2006. Plasmodium falciparum HB3, whole genome shotgun sequencing project.</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Bopp, S.E.R. et al., 2013. Mitotic evolution of Plasmodium falciparum shows a stable core genome but recombination in antigen families. N. Maizels, ed. </w:t>
      </w:r>
      <w:r w:rsidRPr="00097BD4">
        <w:rPr>
          <w:rFonts w:ascii="Calibri" w:hAnsi="Calibri"/>
          <w:i/>
          <w:iCs/>
          <w:noProof/>
          <w:sz w:val="22"/>
        </w:rPr>
        <w:t>PLoS genetics</w:t>
      </w:r>
      <w:r w:rsidRPr="00097BD4">
        <w:rPr>
          <w:rFonts w:ascii="Calibri" w:hAnsi="Calibri"/>
          <w:noProof/>
          <w:sz w:val="22"/>
        </w:rPr>
        <w:t>, 9(2), p.e1003293. Available at: http://dx.plos.org/10.1371/journal.pgen.1003293 [Accessed December 15,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Brick, K., Watanabe, J. &amp; Pizzi, E., 2008. Core promoters are predicted by their distinct physicochemical properties in the genome of Plasmodium falciparum. </w:t>
      </w:r>
      <w:r w:rsidRPr="00097BD4">
        <w:rPr>
          <w:rFonts w:ascii="Calibri" w:hAnsi="Calibri"/>
          <w:i/>
          <w:iCs/>
          <w:noProof/>
          <w:sz w:val="22"/>
        </w:rPr>
        <w:t>Genome biology</w:t>
      </w:r>
      <w:r w:rsidRPr="00097BD4">
        <w:rPr>
          <w:rFonts w:ascii="Calibri" w:hAnsi="Calibri"/>
          <w:noProof/>
          <w:sz w:val="22"/>
        </w:rPr>
        <w:t>, 9(12), p.R178. Available at: http://genomebiology.com/2008/9/12/R178 [Accessed December 15,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Chung, W.Y. et al., 2007. The CLAG/RhopH1 locus on chromosome 3 of Plasmodium falciparum: two genes or two alleles of the same gene? </w:t>
      </w:r>
      <w:r w:rsidRPr="00097BD4">
        <w:rPr>
          <w:rFonts w:ascii="Calibri" w:hAnsi="Calibri"/>
          <w:i/>
          <w:iCs/>
          <w:noProof/>
          <w:sz w:val="22"/>
        </w:rPr>
        <w:t>Molecular and biochemical parasitology</w:t>
      </w:r>
      <w:r w:rsidRPr="00097BD4">
        <w:rPr>
          <w:rFonts w:ascii="Calibri" w:hAnsi="Calibri"/>
          <w:noProof/>
          <w:sz w:val="22"/>
        </w:rPr>
        <w:t>, 151(2), pp.229–32. Available at: http://www.ncbi.nlm.nih.gov/pubmed/17166605 [Accessed December 16,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lastRenderedPageBreak/>
        <w:t xml:space="preserve">Cowman, A.F., Galatis, D. &amp; Thompson, J.K., 1994. Selection for mefloquine resistance in Plasmodium falciparum is linked to amplification of the pfmdr1 gene and cross-resistance to halofantrine and quinine. </w:t>
      </w:r>
      <w:r w:rsidRPr="00097BD4">
        <w:rPr>
          <w:rFonts w:ascii="Calibri" w:hAnsi="Calibri"/>
          <w:i/>
          <w:iCs/>
          <w:noProof/>
          <w:sz w:val="22"/>
        </w:rPr>
        <w:t>Proceedings of the National Academy of Sciences of the United States of America</w:t>
      </w:r>
      <w:r w:rsidRPr="00097BD4">
        <w:rPr>
          <w:rFonts w:ascii="Calibri" w:hAnsi="Calibri"/>
          <w:noProof/>
          <w:sz w:val="22"/>
        </w:rPr>
        <w:t>, 91(3), pp.1143–7. Available at: http://www.pubmedcentral.nih.gov/articlerender.fcgi?artid=521470&amp;tool=pmcentrez&amp;rendertype=abstract [Accessed November 12,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DePristo, M.A. et al., 2011. A framework for variation discovery and genotyping using next-generation DNA sequencing data. </w:t>
      </w:r>
      <w:r w:rsidRPr="00097BD4">
        <w:rPr>
          <w:rFonts w:ascii="Calibri" w:hAnsi="Calibri"/>
          <w:i/>
          <w:iCs/>
          <w:noProof/>
          <w:sz w:val="22"/>
        </w:rPr>
        <w:t>Nature genetics</w:t>
      </w:r>
      <w:r w:rsidRPr="00097BD4">
        <w:rPr>
          <w:rFonts w:ascii="Calibri" w:hAnsi="Calibri"/>
          <w:noProof/>
          <w:sz w:val="22"/>
        </w:rPr>
        <w:t>, 43(5), pp.491–8. Available at: http://www.pubmedcentral.nih.gov/articlerender.fcgi?artid=3083463&amp;tool=pmcentrez&amp;rendertype=abstract [Accessed July 9,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DePristo, M.A., Zilversmit, M.M. &amp; Hartl, D.L., 2006. On the abundance, amino acid composition, and evolutionary dynamics of low-complexity regions in proteins. </w:t>
      </w:r>
      <w:r w:rsidRPr="00097BD4">
        <w:rPr>
          <w:rFonts w:ascii="Calibri" w:hAnsi="Calibri"/>
          <w:i/>
          <w:iCs/>
          <w:noProof/>
          <w:sz w:val="22"/>
        </w:rPr>
        <w:t>Gene</w:t>
      </w:r>
      <w:r w:rsidRPr="00097BD4">
        <w:rPr>
          <w:rFonts w:ascii="Calibri" w:hAnsi="Calibri"/>
          <w:noProof/>
          <w:sz w:val="22"/>
        </w:rPr>
        <w:t>, 378, pp.19–30. Available at: http://www.ncbi.nlm.nih.gov/pubmed/16806741 [Accessed November 3,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Ferreira, M.U. et al., 2003. Sequence diversity and evolution of the malaria vaccine candidate merozoite surface protein-1 (MSP-1) of Plasmodium falciparum. </w:t>
      </w:r>
      <w:r w:rsidRPr="00097BD4">
        <w:rPr>
          <w:rFonts w:ascii="Calibri" w:hAnsi="Calibri"/>
          <w:i/>
          <w:iCs/>
          <w:noProof/>
          <w:sz w:val="22"/>
        </w:rPr>
        <w:t>Gene</w:t>
      </w:r>
      <w:r w:rsidRPr="00097BD4">
        <w:rPr>
          <w:rFonts w:ascii="Calibri" w:hAnsi="Calibri"/>
          <w:noProof/>
          <w:sz w:val="22"/>
        </w:rPr>
        <w:t>, 304, pp.65–75. Available at: http://www.ncbi.nlm.nih.gov/pubmed/12568716 [Accessed November 19,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Flueck, C. et al., 2009. Plasmodium falciparum heterochromatin protein 1 marks genomic loci linked to phenotypic variation of exported virulence factors. </w:t>
      </w:r>
      <w:r w:rsidRPr="00097BD4">
        <w:rPr>
          <w:rFonts w:ascii="Calibri" w:hAnsi="Calibri"/>
          <w:i/>
          <w:iCs/>
          <w:noProof/>
          <w:sz w:val="22"/>
        </w:rPr>
        <w:t>PLoS pathogens</w:t>
      </w:r>
      <w:r w:rsidRPr="00097BD4">
        <w:rPr>
          <w:rFonts w:ascii="Calibri" w:hAnsi="Calibri"/>
          <w:noProof/>
          <w:sz w:val="22"/>
        </w:rPr>
        <w:t>, 5(9), p.e1000569. Available at: http://www.pubmedcentral.nih.gov/articlerender.fcgi?artid=2731224&amp;tool=pmcentrez&amp;rendertype=abstract [Accessed November 11,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Freitas-Junior, L.H. et al., 2000. Frequent ectopic recombination of virulence factor genes in telomeric chromosome clusters of P. falciparum. </w:t>
      </w:r>
      <w:r w:rsidRPr="00097BD4">
        <w:rPr>
          <w:rFonts w:ascii="Calibri" w:hAnsi="Calibri"/>
          <w:i/>
          <w:iCs/>
          <w:noProof/>
          <w:sz w:val="22"/>
        </w:rPr>
        <w:t>Nature</w:t>
      </w:r>
      <w:r w:rsidRPr="00097BD4">
        <w:rPr>
          <w:rFonts w:ascii="Calibri" w:hAnsi="Calibri"/>
          <w:noProof/>
          <w:sz w:val="22"/>
        </w:rPr>
        <w:t>, 407(6807), pp.1018–22. Available at: http://www.ncbi.nlm.nih.gov/pubmed/11069183 [Accessed December 15,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Gardner, M.J. et al., 2002. Genome sequence of the human malaria parasite Plasmodium falciparum. </w:t>
      </w:r>
      <w:r w:rsidRPr="00097BD4">
        <w:rPr>
          <w:rFonts w:ascii="Calibri" w:hAnsi="Calibri"/>
          <w:i/>
          <w:iCs/>
          <w:noProof/>
          <w:sz w:val="22"/>
        </w:rPr>
        <w:t>Nature</w:t>
      </w:r>
      <w:r w:rsidRPr="00097BD4">
        <w:rPr>
          <w:rFonts w:ascii="Calibri" w:hAnsi="Calibri"/>
          <w:noProof/>
          <w:sz w:val="22"/>
        </w:rPr>
        <w:t>, 419(6906), pp.498–511. Available at: http://www.pubmedcentral.nih.gov/articlerender.fcgi?artid=3836256&amp;tool=pmcentrez&amp;rendertype=abstract [Accessed October 22,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Gonzales, J.M. et al., 2008. Regulatory hotspots in the malaria parasite genome dictate transcriptional variation. </w:t>
      </w:r>
      <w:r w:rsidRPr="00097BD4">
        <w:rPr>
          <w:rFonts w:ascii="Calibri" w:hAnsi="Calibri"/>
          <w:i/>
          <w:iCs/>
          <w:noProof/>
          <w:sz w:val="22"/>
        </w:rPr>
        <w:t>PLoS biology</w:t>
      </w:r>
      <w:r w:rsidRPr="00097BD4">
        <w:rPr>
          <w:rFonts w:ascii="Calibri" w:hAnsi="Calibri"/>
          <w:noProof/>
          <w:sz w:val="22"/>
        </w:rPr>
        <w:t>, 6(9), p.e238. Available at: http://www.pubmedcentral.nih.gov/articlerender.fcgi?artid=2553844&amp;tool=pmcentrez&amp;rendertype=abstract [Accessed November 17,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Haerty, W. &amp; Golding, G.B., 2011. Increased polymorphism near low-complexity sequences across the genomes of Plasmodium falciparum isolates. </w:t>
      </w:r>
      <w:r w:rsidRPr="00097BD4">
        <w:rPr>
          <w:rFonts w:ascii="Calibri" w:hAnsi="Calibri"/>
          <w:i/>
          <w:iCs/>
          <w:noProof/>
          <w:sz w:val="22"/>
        </w:rPr>
        <w:t>Genome biology and evolution</w:t>
      </w:r>
      <w:r w:rsidRPr="00097BD4">
        <w:rPr>
          <w:rFonts w:ascii="Calibri" w:hAnsi="Calibri"/>
          <w:noProof/>
          <w:sz w:val="22"/>
        </w:rPr>
        <w:t>, 3, pp.539–50. Available at: http://www.pubmedcentral.nih.gov/articlerender.fcgi?artid=3140889&amp;tool=pmcentrez&amp;rendertype=abstract [Accessed November 19,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Hastings, P.J., 1992. Mechanism and control of recombination in fungi. </w:t>
      </w:r>
      <w:r w:rsidRPr="00097BD4">
        <w:rPr>
          <w:rFonts w:ascii="Calibri" w:hAnsi="Calibri"/>
          <w:i/>
          <w:iCs/>
          <w:noProof/>
          <w:sz w:val="22"/>
        </w:rPr>
        <w:t>Mutation research</w:t>
      </w:r>
      <w:r w:rsidRPr="00097BD4">
        <w:rPr>
          <w:rFonts w:ascii="Calibri" w:hAnsi="Calibri"/>
          <w:noProof/>
          <w:sz w:val="22"/>
        </w:rPr>
        <w:t>, 284(1), pp.97–110. Available at: http://www.ncbi.nlm.nih.gov/pubmed/1279396 [Accessed November 19,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lastRenderedPageBreak/>
        <w:t xml:space="preserve">Hayton, K. et al., 2008. Erythrocyte binding protein PfRH5 polymorphisms determine species-specific pathways of Plasmodium falciparum invasion. </w:t>
      </w:r>
      <w:r w:rsidRPr="00097BD4">
        <w:rPr>
          <w:rFonts w:ascii="Calibri" w:hAnsi="Calibri"/>
          <w:i/>
          <w:iCs/>
          <w:noProof/>
          <w:sz w:val="22"/>
        </w:rPr>
        <w:t>Cell host &amp; microbe</w:t>
      </w:r>
      <w:r w:rsidRPr="00097BD4">
        <w:rPr>
          <w:rFonts w:ascii="Calibri" w:hAnsi="Calibri"/>
          <w:noProof/>
          <w:sz w:val="22"/>
        </w:rPr>
        <w:t>, 4(1), pp.40–51. Available at: http://www.pubmedcentral.nih.gov/articlerender.fcgi?artid=2677973&amp;tool=pmcentrez&amp;rendertype=abstract [Accessed November 11,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Heinberg, A. et al., 2013. Direct evidence for the adaptive role of copy number variation on antifolate susceptibility in Plasmodium falciparum. </w:t>
      </w:r>
      <w:r w:rsidRPr="00097BD4">
        <w:rPr>
          <w:rFonts w:ascii="Calibri" w:hAnsi="Calibri"/>
          <w:i/>
          <w:iCs/>
          <w:noProof/>
          <w:sz w:val="22"/>
        </w:rPr>
        <w:t>Molecular microbiology</w:t>
      </w:r>
      <w:r w:rsidRPr="00097BD4">
        <w:rPr>
          <w:rFonts w:ascii="Calibri" w:hAnsi="Calibri"/>
          <w:noProof/>
          <w:sz w:val="22"/>
        </w:rPr>
        <w:t>, 88(4), pp.702–12. Available at: http://www.pubmedcentral.nih.gov/articlerender.fcgi?artid=3654098&amp;tool=pmcentrez&amp;rendertype=abstract [Accessed November 11,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Hilliker, A.J. et al., 1994. Meiotic gene conversion tract length distribution within the rosy locus of Drosophila melanogaster. </w:t>
      </w:r>
      <w:r w:rsidRPr="00097BD4">
        <w:rPr>
          <w:rFonts w:ascii="Calibri" w:hAnsi="Calibri"/>
          <w:i/>
          <w:iCs/>
          <w:noProof/>
          <w:sz w:val="22"/>
        </w:rPr>
        <w:t>Genetics</w:t>
      </w:r>
      <w:r w:rsidRPr="00097BD4">
        <w:rPr>
          <w:rFonts w:ascii="Calibri" w:hAnsi="Calibri"/>
          <w:noProof/>
          <w:sz w:val="22"/>
        </w:rPr>
        <w:t>, 137(4), pp.1019–26. Available at: http://www.pubmedcentral.nih.gov/articlerender.fcgi?artid=1206049&amp;tool=pmcentrez&amp;rendertype=abstract [Accessed December 16,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Hinterberg, K. et al., 1994. Interchromosomal exchange of a large subtelomeric segment in a Plasmodium falciparum cross. </w:t>
      </w:r>
      <w:r w:rsidRPr="00097BD4">
        <w:rPr>
          <w:rFonts w:ascii="Calibri" w:hAnsi="Calibri"/>
          <w:i/>
          <w:iCs/>
          <w:noProof/>
          <w:sz w:val="22"/>
        </w:rPr>
        <w:t>The EMBO journal</w:t>
      </w:r>
      <w:r w:rsidRPr="00097BD4">
        <w:rPr>
          <w:rFonts w:ascii="Calibri" w:hAnsi="Calibri"/>
          <w:noProof/>
          <w:sz w:val="22"/>
        </w:rPr>
        <w:t>, 13(17), pp.4174–80. Available at: http://www.pubmedcentral.nih.gov/articlerender.fcgi?artid=395340&amp;tool=pmcentrez&amp;rendertype=abstract [Accessed November 11,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Iqbal, Z. et al., 2012. De novo assembly and genotyping of variants using colored de Bruijn graphs. </w:t>
      </w:r>
      <w:r w:rsidRPr="00097BD4">
        <w:rPr>
          <w:rFonts w:ascii="Calibri" w:hAnsi="Calibri"/>
          <w:i/>
          <w:iCs/>
          <w:noProof/>
          <w:sz w:val="22"/>
        </w:rPr>
        <w:t>Nature genetics</w:t>
      </w:r>
      <w:r w:rsidRPr="00097BD4">
        <w:rPr>
          <w:rFonts w:ascii="Calibri" w:hAnsi="Calibri"/>
          <w:noProof/>
          <w:sz w:val="22"/>
        </w:rPr>
        <w:t>, 44(2), pp.226–32. Available at: http://dx.doi.org/10.1038/ng.1028 [Accessed July 9,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Iriko, H. et al., 2008. Diversity and evolution of the rhoph1/clag multigene family of Plasmodium falciparum. </w:t>
      </w:r>
      <w:r w:rsidRPr="00097BD4">
        <w:rPr>
          <w:rFonts w:ascii="Calibri" w:hAnsi="Calibri"/>
          <w:i/>
          <w:iCs/>
          <w:noProof/>
          <w:sz w:val="22"/>
        </w:rPr>
        <w:t>Molecular and biochemical parasitology</w:t>
      </w:r>
      <w:r w:rsidRPr="00097BD4">
        <w:rPr>
          <w:rFonts w:ascii="Calibri" w:hAnsi="Calibri"/>
          <w:noProof/>
          <w:sz w:val="22"/>
        </w:rPr>
        <w:t>, 158(1), pp.11–21. Available at: http://www.pubmedcentral.nih.gov/articlerender.fcgi?artid=2268843&amp;tool=pmcentrez&amp;rendertype=abstract [Accessed December 16,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Jeffares, D.C. et al., 2007. Genome variation and evolution of the malaria parasite Plasmodium falciparum. </w:t>
      </w:r>
      <w:r w:rsidRPr="00097BD4">
        <w:rPr>
          <w:rFonts w:ascii="Calibri" w:hAnsi="Calibri"/>
          <w:i/>
          <w:iCs/>
          <w:noProof/>
          <w:sz w:val="22"/>
        </w:rPr>
        <w:t>Nature genetics</w:t>
      </w:r>
      <w:r w:rsidRPr="00097BD4">
        <w:rPr>
          <w:rFonts w:ascii="Calibri" w:hAnsi="Calibri"/>
          <w:noProof/>
          <w:sz w:val="22"/>
        </w:rPr>
        <w:t>, 39(1), pp.120–5. Available at: http://www.pubmedcentral.nih.gov/articlerender.fcgi?artid=2663918&amp;tool=pmcentrez&amp;rendertype=abstract [Accessed November 13,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Jeffreys, A.J. &amp; May, C.A., 2004. Intense and highly localized gene conversion activity in human meiotic crossover hot spots. </w:t>
      </w:r>
      <w:r w:rsidRPr="00097BD4">
        <w:rPr>
          <w:rFonts w:ascii="Calibri" w:hAnsi="Calibri"/>
          <w:i/>
          <w:iCs/>
          <w:noProof/>
          <w:sz w:val="22"/>
        </w:rPr>
        <w:t>Nature genetics</w:t>
      </w:r>
      <w:r w:rsidRPr="00097BD4">
        <w:rPr>
          <w:rFonts w:ascii="Calibri" w:hAnsi="Calibri"/>
          <w:noProof/>
          <w:sz w:val="22"/>
        </w:rPr>
        <w:t>, 36(2), pp.151–6. Available at: http://www.ncbi.nlm.nih.gov/pubmed/14704667 [Accessed December 17,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Jiang, H. et al., 2011. High recombination rates and hotspots in a Plasmodium falciparum genetic cross. </w:t>
      </w:r>
      <w:r w:rsidRPr="00097BD4">
        <w:rPr>
          <w:rFonts w:ascii="Calibri" w:hAnsi="Calibri"/>
          <w:i/>
          <w:iCs/>
          <w:noProof/>
          <w:sz w:val="22"/>
        </w:rPr>
        <w:t>Genome biology</w:t>
      </w:r>
      <w:r w:rsidRPr="00097BD4">
        <w:rPr>
          <w:rFonts w:ascii="Calibri" w:hAnsi="Calibri"/>
          <w:noProof/>
          <w:sz w:val="22"/>
        </w:rPr>
        <w:t>, 12(4), p.R33. Available at: http://genomebiology.com/2011/12/4/R33 [Accessed November 11,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Kerr, P.J., Ranford-Cartwright, L.C. &amp; Walliker, D., 1994. Proof of intragenic recombination in Plasmodium falciparum. </w:t>
      </w:r>
      <w:r w:rsidRPr="00097BD4">
        <w:rPr>
          <w:rFonts w:ascii="Calibri" w:hAnsi="Calibri"/>
          <w:i/>
          <w:iCs/>
          <w:noProof/>
          <w:sz w:val="22"/>
        </w:rPr>
        <w:t>Molecular and biochemical parasitology</w:t>
      </w:r>
      <w:r w:rsidRPr="00097BD4">
        <w:rPr>
          <w:rFonts w:ascii="Calibri" w:hAnsi="Calibri"/>
          <w:noProof/>
          <w:sz w:val="22"/>
        </w:rPr>
        <w:t>, 66(2), pp.241–8. Available at: http://www.ncbi.nlm.nih.gov/pubmed/7808474 [Accessed November 19,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Kidgell, C. et al., 2006. A systematic map of genetic variation in Plasmodium falciparum. </w:t>
      </w:r>
      <w:r w:rsidRPr="00097BD4">
        <w:rPr>
          <w:rFonts w:ascii="Calibri" w:hAnsi="Calibri"/>
          <w:i/>
          <w:iCs/>
          <w:noProof/>
          <w:sz w:val="22"/>
        </w:rPr>
        <w:t>PLoS pathogens</w:t>
      </w:r>
      <w:r w:rsidRPr="00097BD4">
        <w:rPr>
          <w:rFonts w:ascii="Calibri" w:hAnsi="Calibri"/>
          <w:noProof/>
          <w:sz w:val="22"/>
        </w:rPr>
        <w:t>, 2(6), p.e57. Available at: http://www.pubmedcentral.nih.gov/articlerender.fcgi?artid=1480597&amp;tool=pmcentrez&amp;rendertype=abstract [Accessed November 11,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lastRenderedPageBreak/>
        <w:t xml:space="preserve">Kondrashov, F.A., 2012. Gene duplication as a mechanism of genomic adaptation to a changing environment. </w:t>
      </w:r>
      <w:r w:rsidRPr="00097BD4">
        <w:rPr>
          <w:rFonts w:ascii="Calibri" w:hAnsi="Calibri"/>
          <w:i/>
          <w:iCs/>
          <w:noProof/>
          <w:sz w:val="22"/>
        </w:rPr>
        <w:t>Proceedings. Biological sciences / The Royal Society</w:t>
      </w:r>
      <w:r w:rsidRPr="00097BD4">
        <w:rPr>
          <w:rFonts w:ascii="Calibri" w:hAnsi="Calibri"/>
          <w:noProof/>
          <w:sz w:val="22"/>
        </w:rPr>
        <w:t>, 279(1749), pp.5048–57. Available at: http://www.pubmedcentral.nih.gov/articlerender.fcgi?artid=3497230&amp;tool=pmcentrez&amp;rendertype=abstract [Accessed November 12,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Kozarewa, I. et al., 2009. Amplification-free Illumina sequencing-library preparation facilitates improved mapping and assembly of (G+C)-biased genomes. </w:t>
      </w:r>
      <w:r w:rsidRPr="00097BD4">
        <w:rPr>
          <w:rFonts w:ascii="Calibri" w:hAnsi="Calibri"/>
          <w:i/>
          <w:iCs/>
          <w:noProof/>
          <w:sz w:val="22"/>
        </w:rPr>
        <w:t>Nature methods</w:t>
      </w:r>
      <w:r w:rsidRPr="00097BD4">
        <w:rPr>
          <w:rFonts w:ascii="Calibri" w:hAnsi="Calibri"/>
          <w:noProof/>
          <w:sz w:val="22"/>
        </w:rPr>
        <w:t>, 6(4), pp.291–5. Available at: http://dx.doi.org/10.1038/nmeth.1311 [Accessed October 31,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Lasonder, E. et al., 2008. Proteomic profiling of Plasmodium sporozoite maturation identifies new proteins essential for parasite development and infectivity. D. E. Goldberg, ed. </w:t>
      </w:r>
      <w:r w:rsidRPr="00097BD4">
        <w:rPr>
          <w:rFonts w:ascii="Calibri" w:hAnsi="Calibri"/>
          <w:i/>
          <w:iCs/>
          <w:noProof/>
          <w:sz w:val="22"/>
        </w:rPr>
        <w:t>PLoS pathogens</w:t>
      </w:r>
      <w:r w:rsidRPr="00097BD4">
        <w:rPr>
          <w:rFonts w:ascii="Calibri" w:hAnsi="Calibri"/>
          <w:noProof/>
          <w:sz w:val="22"/>
        </w:rPr>
        <w:t>, 4(10), p.e1000195. Available at: http://dx.plos.org/10.1371/journal.ppat.1000195 [Accessed December 16,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Li, H. &amp; Durbin, R., 2009. Fast and accurate short read alignment with Burrows-Wheeler transform. </w:t>
      </w:r>
      <w:r w:rsidRPr="00097BD4">
        <w:rPr>
          <w:rFonts w:ascii="Calibri" w:hAnsi="Calibri"/>
          <w:i/>
          <w:iCs/>
          <w:noProof/>
          <w:sz w:val="22"/>
        </w:rPr>
        <w:t>Bioinformatics (Oxford, England)</w:t>
      </w:r>
      <w:r w:rsidRPr="00097BD4">
        <w:rPr>
          <w:rFonts w:ascii="Calibri" w:hAnsi="Calibri"/>
          <w:noProof/>
          <w:sz w:val="22"/>
        </w:rPr>
        <w:t>, 25(14), pp.1754–60. Available at: http://www.pubmedcentral.nih.gov/articlerender.fcgi?artid=2705234&amp;tool=pmcentrez&amp;rendertype=abstract [Accessed July 9,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Li, Y.-C. et al., 2002. Microsatellites: genomic distribution, putative functions and mutational mechanisms: a review. </w:t>
      </w:r>
      <w:r w:rsidRPr="00097BD4">
        <w:rPr>
          <w:rFonts w:ascii="Calibri" w:hAnsi="Calibri"/>
          <w:i/>
          <w:iCs/>
          <w:noProof/>
          <w:sz w:val="22"/>
        </w:rPr>
        <w:t>Molecular ecology</w:t>
      </w:r>
      <w:r w:rsidRPr="00097BD4">
        <w:rPr>
          <w:rFonts w:ascii="Calibri" w:hAnsi="Calibri"/>
          <w:noProof/>
          <w:sz w:val="22"/>
        </w:rPr>
        <w:t>, 11(12), pp.2453–65. Available at: http://www.ncbi.nlm.nih.gov/pubmed/12453231 [Accessed November 18,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Lovett, S.T., 2004. Encoded errors: mutations and rearrangements mediated by misalignment at repetitive DNA sequences. </w:t>
      </w:r>
      <w:r w:rsidRPr="00097BD4">
        <w:rPr>
          <w:rFonts w:ascii="Calibri" w:hAnsi="Calibri"/>
          <w:i/>
          <w:iCs/>
          <w:noProof/>
          <w:sz w:val="22"/>
        </w:rPr>
        <w:t>Molecular microbiology</w:t>
      </w:r>
      <w:r w:rsidRPr="00097BD4">
        <w:rPr>
          <w:rFonts w:ascii="Calibri" w:hAnsi="Calibri"/>
          <w:noProof/>
          <w:sz w:val="22"/>
        </w:rPr>
        <w:t>, 52(5), pp.1243–53. Available at: http://www.ncbi.nlm.nih.gov/pubmed/15165229 [Accessed November 19,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Mancera, E. et al., 2008. High-resolution mapping of meiotic crossovers and non-crossovers in yeast. </w:t>
      </w:r>
      <w:r w:rsidRPr="00097BD4">
        <w:rPr>
          <w:rFonts w:ascii="Calibri" w:hAnsi="Calibri"/>
          <w:i/>
          <w:iCs/>
          <w:noProof/>
          <w:sz w:val="22"/>
        </w:rPr>
        <w:t>Nature</w:t>
      </w:r>
      <w:r w:rsidRPr="00097BD4">
        <w:rPr>
          <w:rFonts w:ascii="Calibri" w:hAnsi="Calibri"/>
          <w:noProof/>
          <w:sz w:val="22"/>
        </w:rPr>
        <w:t>, 454(7203), pp.479–85. Available at: http://www.pubmedcentral.nih.gov/articlerender.fcgi?artid=2780006&amp;tool=pmcentrez&amp;rendertype=abstract [Accessed November 18,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Manske, H.M. &amp; Kwiatkowski, D.P., 2009. LookSeq: a browser-based viewer for deep sequencing data. </w:t>
      </w:r>
      <w:r w:rsidRPr="00097BD4">
        <w:rPr>
          <w:rFonts w:ascii="Calibri" w:hAnsi="Calibri"/>
          <w:i/>
          <w:iCs/>
          <w:noProof/>
          <w:sz w:val="22"/>
        </w:rPr>
        <w:t>Genome research</w:t>
      </w:r>
      <w:r w:rsidRPr="00097BD4">
        <w:rPr>
          <w:rFonts w:ascii="Calibri" w:hAnsi="Calibri"/>
          <w:noProof/>
          <w:sz w:val="22"/>
        </w:rPr>
        <w:t>, 19(11), pp.2125–32. Available at: http://www.pubmedcentral.nih.gov/articlerender.fcgi?artid=2775587&amp;tool=pmcentrez&amp;rendertype=abstract [Accessed December 5,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Manske, M. et al., 2012. Analysis of Plasmodium falciparum diversity in natural infections by deep sequencing. </w:t>
      </w:r>
      <w:r w:rsidRPr="00097BD4">
        <w:rPr>
          <w:rFonts w:ascii="Calibri" w:hAnsi="Calibri"/>
          <w:i/>
          <w:iCs/>
          <w:noProof/>
          <w:sz w:val="22"/>
        </w:rPr>
        <w:t>Nature</w:t>
      </w:r>
      <w:r w:rsidRPr="00097BD4">
        <w:rPr>
          <w:rFonts w:ascii="Calibri" w:hAnsi="Calibri"/>
          <w:noProof/>
          <w:sz w:val="22"/>
        </w:rPr>
        <w:t>, 487(7407), pp.375–9. Available at: http://www.pubmedcentral.nih.gov/articlerender.fcgi?artid=3738909&amp;tool=pmcentrez&amp;rendertype=abstract [Accessed November 11,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Martinez-Perez, E. &amp; Colaiácovo, M.P., 2009. Distribution of meiotic recombination events: talking to your neighbors. </w:t>
      </w:r>
      <w:r w:rsidRPr="00097BD4">
        <w:rPr>
          <w:rFonts w:ascii="Calibri" w:hAnsi="Calibri"/>
          <w:i/>
          <w:iCs/>
          <w:noProof/>
          <w:sz w:val="22"/>
        </w:rPr>
        <w:t>Current opinion in genetics &amp; development</w:t>
      </w:r>
      <w:r w:rsidRPr="00097BD4">
        <w:rPr>
          <w:rFonts w:ascii="Calibri" w:hAnsi="Calibri"/>
          <w:noProof/>
          <w:sz w:val="22"/>
        </w:rPr>
        <w:t>, 19(2), pp.105–12. Available at: http://www.pubmedcentral.nih.gov/articlerender.fcgi?artid=2729281&amp;tool=pmcentrez&amp;rendertype=abstract [Accessed December 16,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McKenna, A. et al., 2010. The Genome Analysis Toolkit: a MapReduce framework for analyzing next-generation DNA sequencing data. </w:t>
      </w:r>
      <w:r w:rsidRPr="00097BD4">
        <w:rPr>
          <w:rFonts w:ascii="Calibri" w:hAnsi="Calibri"/>
          <w:i/>
          <w:iCs/>
          <w:noProof/>
          <w:sz w:val="22"/>
        </w:rPr>
        <w:t>Genome research</w:t>
      </w:r>
      <w:r w:rsidRPr="00097BD4">
        <w:rPr>
          <w:rFonts w:ascii="Calibri" w:hAnsi="Calibri"/>
          <w:noProof/>
          <w:sz w:val="22"/>
        </w:rPr>
        <w:t xml:space="preserve">, 20(9), pp.1297–303. Available at: </w:t>
      </w:r>
      <w:r w:rsidRPr="00097BD4">
        <w:rPr>
          <w:rFonts w:ascii="Calibri" w:hAnsi="Calibri"/>
          <w:noProof/>
          <w:sz w:val="22"/>
        </w:rPr>
        <w:lastRenderedPageBreak/>
        <w:t>http://www.pubmedcentral.nih.gov/articlerender.fcgi?artid=2928508&amp;tool=pmcentrez&amp;rendertype=abstract [Accessed July 9,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Mills, R.E. et al., 2011. Mapping copy number variation by population-scale genome sequencing. </w:t>
      </w:r>
      <w:r w:rsidRPr="00097BD4">
        <w:rPr>
          <w:rFonts w:ascii="Calibri" w:hAnsi="Calibri"/>
          <w:i/>
          <w:iCs/>
          <w:noProof/>
          <w:sz w:val="22"/>
        </w:rPr>
        <w:t>Nature</w:t>
      </w:r>
      <w:r w:rsidRPr="00097BD4">
        <w:rPr>
          <w:rFonts w:ascii="Calibri" w:hAnsi="Calibri"/>
          <w:noProof/>
          <w:sz w:val="22"/>
        </w:rPr>
        <w:t>, 470(7332), pp.59–65. Available at: http://dx.doi.org/10.1038/nature09708 [Accessed July 9,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Miotto, O. et al., 2013. Multiple populations of artemisinin-resistant Plasmodium falciparum in Cambodia. </w:t>
      </w:r>
      <w:r w:rsidRPr="00097BD4">
        <w:rPr>
          <w:rFonts w:ascii="Calibri" w:hAnsi="Calibri"/>
          <w:i/>
          <w:iCs/>
          <w:noProof/>
          <w:sz w:val="22"/>
        </w:rPr>
        <w:t>Nature genetics</w:t>
      </w:r>
      <w:r w:rsidRPr="00097BD4">
        <w:rPr>
          <w:rFonts w:ascii="Calibri" w:hAnsi="Calibri"/>
          <w:noProof/>
          <w:sz w:val="22"/>
        </w:rPr>
        <w:t>, 45(6), pp.648–55. Available at: http://www.pubmedcentral.nih.gov/articlerender.fcgi?artid=3807790&amp;tool=pmcentrez&amp;rendertype=abstract [Accessed September 30,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Mok, S. et al., 2014. Structural polymorphism in the promoter of pfmrp2 confers Plasmodium falciparum tolerance to quinoline drugs. </w:t>
      </w:r>
      <w:r w:rsidRPr="00097BD4">
        <w:rPr>
          <w:rFonts w:ascii="Calibri" w:hAnsi="Calibri"/>
          <w:i/>
          <w:iCs/>
          <w:noProof/>
          <w:sz w:val="22"/>
        </w:rPr>
        <w:t>Molecular microbiology</w:t>
      </w:r>
      <w:r w:rsidRPr="00097BD4">
        <w:rPr>
          <w:rFonts w:ascii="Calibri" w:hAnsi="Calibri"/>
          <w:noProof/>
          <w:sz w:val="22"/>
        </w:rPr>
        <w:t>, 91(5), pp.918–34. Available at: http://www.ncbi.nlm.nih.gov/pubmed/24372851 [Accessed November 13,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Montgomery, S.B. et al., 2013. The origin, evolution, and functional impact of short insertion-deletion variants identified in 179 human genomes. </w:t>
      </w:r>
      <w:r w:rsidRPr="00097BD4">
        <w:rPr>
          <w:rFonts w:ascii="Calibri" w:hAnsi="Calibri"/>
          <w:i/>
          <w:iCs/>
          <w:noProof/>
          <w:sz w:val="22"/>
        </w:rPr>
        <w:t>Genome research</w:t>
      </w:r>
      <w:r w:rsidRPr="00097BD4">
        <w:rPr>
          <w:rFonts w:ascii="Calibri" w:hAnsi="Calibri"/>
          <w:noProof/>
          <w:sz w:val="22"/>
        </w:rPr>
        <w:t>, 23(5), pp.749–61. Available at: http://www.pubmedcentral.nih.gov/articlerender.fcgi?artid=3638132&amp;tool=pmcentrez&amp;rendertype=abstract [Accessed August 21,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Muralidharan, V. &amp; Goldberg, D.E., 2013. Asparagine repeats in Plasmodium falciparum proteins: good for nothing? L. J. Knoll, ed. </w:t>
      </w:r>
      <w:r w:rsidRPr="00097BD4">
        <w:rPr>
          <w:rFonts w:ascii="Calibri" w:hAnsi="Calibri"/>
          <w:i/>
          <w:iCs/>
          <w:noProof/>
          <w:sz w:val="22"/>
        </w:rPr>
        <w:t>PLoS pathogens</w:t>
      </w:r>
      <w:r w:rsidRPr="00097BD4">
        <w:rPr>
          <w:rFonts w:ascii="Calibri" w:hAnsi="Calibri"/>
          <w:noProof/>
          <w:sz w:val="22"/>
        </w:rPr>
        <w:t>, 9(8), p.e1003488. Available at: http://dx.plos.org/10.1371/journal.ppat.1003488 [Accessed December 8,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Myers, S. et al., 2005. A fine-scale map of recombination rates and hotspots across the human genome. </w:t>
      </w:r>
      <w:r w:rsidRPr="00097BD4">
        <w:rPr>
          <w:rFonts w:ascii="Calibri" w:hAnsi="Calibri"/>
          <w:i/>
          <w:iCs/>
          <w:noProof/>
          <w:sz w:val="22"/>
        </w:rPr>
        <w:t>Science (New York, N.Y.)</w:t>
      </w:r>
      <w:r w:rsidRPr="00097BD4">
        <w:rPr>
          <w:rFonts w:ascii="Calibri" w:hAnsi="Calibri"/>
          <w:noProof/>
          <w:sz w:val="22"/>
        </w:rPr>
        <w:t>, 310(5746), pp.321–4. Available at: http://www.sciencemag.org/content/310/5746/321 [Accessed July 23,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Nair, S. et al., 2008. Adaptive copy number evolution in malaria parasites. </w:t>
      </w:r>
      <w:r w:rsidRPr="00097BD4">
        <w:rPr>
          <w:rFonts w:ascii="Calibri" w:hAnsi="Calibri"/>
          <w:i/>
          <w:iCs/>
          <w:noProof/>
          <w:sz w:val="22"/>
        </w:rPr>
        <w:t>PLoS genetics</w:t>
      </w:r>
      <w:r w:rsidRPr="00097BD4">
        <w:rPr>
          <w:rFonts w:ascii="Calibri" w:hAnsi="Calibri"/>
          <w:noProof/>
          <w:sz w:val="22"/>
        </w:rPr>
        <w:t>, 4(10), p.e1000243. Available at: http://www.pubmedcentral.nih.gov/articlerender.fcgi?artid=2570623&amp;tool=pmcentrez&amp;rendertype=abstract [Accessed November 17,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Nair, S. et al., 2007. Recurrent gene amplification and soft selective sweeps during evolution of multidrug resistance in malaria parasites. </w:t>
      </w:r>
      <w:r w:rsidRPr="00097BD4">
        <w:rPr>
          <w:rFonts w:ascii="Calibri" w:hAnsi="Calibri"/>
          <w:i/>
          <w:iCs/>
          <w:noProof/>
          <w:sz w:val="22"/>
        </w:rPr>
        <w:t>Molecular biology and evolution</w:t>
      </w:r>
      <w:r w:rsidRPr="00097BD4">
        <w:rPr>
          <w:rFonts w:ascii="Calibri" w:hAnsi="Calibri"/>
          <w:noProof/>
          <w:sz w:val="22"/>
        </w:rPr>
        <w:t>, 24(2), pp.562–73. Available at: http://www.ncbi.nlm.nih.gov/pubmed/17124182 [Accessed November 12,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Price, R.N. et al., 2004. Mefloquine resistance in Plasmodium falciparum and increased pfmdr1 gene copy number. </w:t>
      </w:r>
      <w:r w:rsidRPr="00097BD4">
        <w:rPr>
          <w:rFonts w:ascii="Calibri" w:hAnsi="Calibri"/>
          <w:i/>
          <w:iCs/>
          <w:noProof/>
          <w:sz w:val="22"/>
        </w:rPr>
        <w:t>Lancet</w:t>
      </w:r>
      <w:r w:rsidRPr="00097BD4">
        <w:rPr>
          <w:rFonts w:ascii="Calibri" w:hAnsi="Calibri"/>
          <w:noProof/>
          <w:sz w:val="22"/>
        </w:rPr>
        <w:t>, 364(9432), pp.438–47. Available at: http://www.ncbi.nlm.nih.gov/pubmed/15288742 [Accessed November 11,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Robasky, K., Lewis, N.E. &amp; Church, G.M., 2014. The role of replicates for error mitigation in next-generation sequencing. </w:t>
      </w:r>
      <w:r w:rsidRPr="00097BD4">
        <w:rPr>
          <w:rFonts w:ascii="Calibri" w:hAnsi="Calibri"/>
          <w:i/>
          <w:iCs/>
          <w:noProof/>
          <w:sz w:val="22"/>
        </w:rPr>
        <w:t>Nature reviews. Genetics</w:t>
      </w:r>
      <w:r w:rsidRPr="00097BD4">
        <w:rPr>
          <w:rFonts w:ascii="Calibri" w:hAnsi="Calibri"/>
          <w:noProof/>
          <w:sz w:val="22"/>
        </w:rPr>
        <w:t>, 15(1), pp.56–62. Available at: http://dx.doi.org/10.1038/nrg3655 [Accessed July 15,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Roy, S.W., Ferreira, M.U. &amp; Hartl, D.L., 2008. Evolution of allelic dimorphism in malarial surface antigens. </w:t>
      </w:r>
      <w:r w:rsidRPr="00097BD4">
        <w:rPr>
          <w:rFonts w:ascii="Calibri" w:hAnsi="Calibri"/>
          <w:i/>
          <w:iCs/>
          <w:noProof/>
          <w:sz w:val="22"/>
        </w:rPr>
        <w:t>Heredity</w:t>
      </w:r>
      <w:r w:rsidRPr="00097BD4">
        <w:rPr>
          <w:rFonts w:ascii="Calibri" w:hAnsi="Calibri"/>
          <w:noProof/>
          <w:sz w:val="22"/>
        </w:rPr>
        <w:t>, 100(2), pp.103–10. Available at: http://www.ncbi.nlm.nih.gov/pubmed/17021615 [Accessed November 19,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lastRenderedPageBreak/>
        <w:t xml:space="preserve">Samarakoon, U., Regier, A., et al., 2011. High-throughput 454 resequencing for allele discovery and recombination mapping in Plasmodium falciparum. </w:t>
      </w:r>
      <w:r w:rsidRPr="00097BD4">
        <w:rPr>
          <w:rFonts w:ascii="Calibri" w:hAnsi="Calibri"/>
          <w:i/>
          <w:iCs/>
          <w:noProof/>
          <w:sz w:val="22"/>
        </w:rPr>
        <w:t>BMC genomics</w:t>
      </w:r>
      <w:r w:rsidRPr="00097BD4">
        <w:rPr>
          <w:rFonts w:ascii="Calibri" w:hAnsi="Calibri"/>
          <w:noProof/>
          <w:sz w:val="22"/>
        </w:rPr>
        <w:t>, 12, p.116. Available at: http://www.pubmedcentral.nih.gov/articlerender.fcgi?artid=3055840&amp;tool=pmcentrez&amp;rendertype=abstract [Accessed November 11,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Samarakoon, U., Gonzales, J.M., et al., 2011. The landscape of inherited and de novo copy number variants in a Plasmodium falciparum genetic cross. </w:t>
      </w:r>
      <w:r w:rsidRPr="00097BD4">
        <w:rPr>
          <w:rFonts w:ascii="Calibri" w:hAnsi="Calibri"/>
          <w:i/>
          <w:iCs/>
          <w:noProof/>
          <w:sz w:val="22"/>
        </w:rPr>
        <w:t>BMC genomics</w:t>
      </w:r>
      <w:r w:rsidRPr="00097BD4">
        <w:rPr>
          <w:rFonts w:ascii="Calibri" w:hAnsi="Calibri"/>
          <w:noProof/>
          <w:sz w:val="22"/>
        </w:rPr>
        <w:t>, 12, p.457. Available at: http://www.pubmedcentral.nih.gov/articlerender.fcgi?artid=3191341&amp;tool=pmcentrez&amp;rendertype=abstract [Accessed October 18,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Saunders, I.W., Brohede, J. &amp; Hannan, G.N., 2007. Estimating genotyping error rates from Mendelian errors in SNP array genotypes and their impact on inference. </w:t>
      </w:r>
      <w:r w:rsidRPr="00097BD4">
        <w:rPr>
          <w:rFonts w:ascii="Calibri" w:hAnsi="Calibri"/>
          <w:i/>
          <w:iCs/>
          <w:noProof/>
          <w:sz w:val="22"/>
        </w:rPr>
        <w:t>Genomics</w:t>
      </w:r>
      <w:r w:rsidRPr="00097BD4">
        <w:rPr>
          <w:rFonts w:ascii="Calibri" w:hAnsi="Calibri"/>
          <w:noProof/>
          <w:sz w:val="22"/>
        </w:rPr>
        <w:t>, 90(3), pp.291–6. Available at: http://www.sciencedirect.com/science/article/pii/S088875430700136X [Accessed December 15,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Sepúlveda, N. et al., 2013. A Poisson hierarchical modelling approach to detecting copy number variation in sequence coverage data. </w:t>
      </w:r>
      <w:r w:rsidRPr="00097BD4">
        <w:rPr>
          <w:rFonts w:ascii="Calibri" w:hAnsi="Calibri"/>
          <w:i/>
          <w:iCs/>
          <w:noProof/>
          <w:sz w:val="22"/>
        </w:rPr>
        <w:t>BMC genomics</w:t>
      </w:r>
      <w:r w:rsidRPr="00097BD4">
        <w:rPr>
          <w:rFonts w:ascii="Calibri" w:hAnsi="Calibri"/>
          <w:noProof/>
          <w:sz w:val="22"/>
        </w:rPr>
        <w:t>, 14, p.128. Available at: http://www.pubmedcentral.nih.gov/articlerender.fcgi?artid=3679970&amp;tool=pmcentrez&amp;rendertype=abstract [Accessed November 11,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Singh, S. et al., 2009. A conserved multi-gene family induces cross-reactive antibodies effective in defense against Plasmodium falciparum. V. Moorthy, ed. </w:t>
      </w:r>
      <w:r w:rsidRPr="00097BD4">
        <w:rPr>
          <w:rFonts w:ascii="Calibri" w:hAnsi="Calibri"/>
          <w:i/>
          <w:iCs/>
          <w:noProof/>
          <w:sz w:val="22"/>
        </w:rPr>
        <w:t>PloS one</w:t>
      </w:r>
      <w:r w:rsidRPr="00097BD4">
        <w:rPr>
          <w:rFonts w:ascii="Calibri" w:hAnsi="Calibri"/>
          <w:noProof/>
          <w:sz w:val="22"/>
        </w:rPr>
        <w:t>, 4(4), p.e5410. Available at: http://dx.plos.org/10.1371/journal.pone.0005410 [Accessed December 17,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Su, X. et al., 1999. A genetic map and recombination parameters of the human malaria parasite Plasmodium falciparum. </w:t>
      </w:r>
      <w:r w:rsidRPr="00097BD4">
        <w:rPr>
          <w:rFonts w:ascii="Calibri" w:hAnsi="Calibri"/>
          <w:i/>
          <w:iCs/>
          <w:noProof/>
          <w:sz w:val="22"/>
        </w:rPr>
        <w:t>Science (New York, N.Y.)</w:t>
      </w:r>
      <w:r w:rsidRPr="00097BD4">
        <w:rPr>
          <w:rFonts w:ascii="Calibri" w:hAnsi="Calibri"/>
          <w:noProof/>
          <w:sz w:val="22"/>
        </w:rPr>
        <w:t>, 286(5443), pp.1351–3. Available at: http://www.ncbi.nlm.nih.gov/pubmed/10558988 [Accessed November 19,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Tan, J.C. et al., 2010. Variable numbers of tandem repeats in Plasmodium falciparum genes. </w:t>
      </w:r>
      <w:r w:rsidRPr="00097BD4">
        <w:rPr>
          <w:rFonts w:ascii="Calibri" w:hAnsi="Calibri"/>
          <w:i/>
          <w:iCs/>
          <w:noProof/>
          <w:sz w:val="22"/>
        </w:rPr>
        <w:t>Journal of molecular evolution</w:t>
      </w:r>
      <w:r w:rsidRPr="00097BD4">
        <w:rPr>
          <w:rFonts w:ascii="Calibri" w:hAnsi="Calibri"/>
          <w:noProof/>
          <w:sz w:val="22"/>
        </w:rPr>
        <w:t>, 71(4), pp.268–78. Available at: http://www.pubmedcentral.nih.gov/articlerender.fcgi?artid=3205454&amp;tool=pmcentrez&amp;rendertype=abstract [Accessed November 21,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Triglia, T. et al., 1991. Amplification of the multidrug resistance gene pfmdr1 in Plasmodium falciparum has arisen as multiple independent events. </w:t>
      </w:r>
      <w:r w:rsidRPr="00097BD4">
        <w:rPr>
          <w:rFonts w:ascii="Calibri" w:hAnsi="Calibri"/>
          <w:i/>
          <w:iCs/>
          <w:noProof/>
          <w:sz w:val="22"/>
        </w:rPr>
        <w:t>Molecular and cellular biology</w:t>
      </w:r>
      <w:r w:rsidRPr="00097BD4">
        <w:rPr>
          <w:rFonts w:ascii="Calibri" w:hAnsi="Calibri"/>
          <w:noProof/>
          <w:sz w:val="22"/>
        </w:rPr>
        <w:t>, 11(10), pp.5244–50. Available at: http://www.pubmedcentral.nih.gov/articlerender.fcgi?artid=361573&amp;tool=pmcentrez&amp;rendertype=abstract [Accessed November 12,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Völker, M. et al., 2010. Copy number variation, chromosome rearrangement, and their association with recombination during avian evolution. </w:t>
      </w:r>
      <w:r w:rsidRPr="00097BD4">
        <w:rPr>
          <w:rFonts w:ascii="Calibri" w:hAnsi="Calibri"/>
          <w:i/>
          <w:iCs/>
          <w:noProof/>
          <w:sz w:val="22"/>
        </w:rPr>
        <w:t>Genome research</w:t>
      </w:r>
      <w:r w:rsidRPr="00097BD4">
        <w:rPr>
          <w:rFonts w:ascii="Calibri" w:hAnsi="Calibri"/>
          <w:noProof/>
          <w:sz w:val="22"/>
        </w:rPr>
        <w:t>, 20(4), pp.503–11. Available at: http://genome.cshlp.org/content/20/4/503.full [Accessed December 15,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Walker-Jonah, A. et al., 1992. An RFLP map of the Plasmodium falciparum genome, recombination rates and favored linkage groups in a genetic cross. </w:t>
      </w:r>
      <w:r w:rsidRPr="00097BD4">
        <w:rPr>
          <w:rFonts w:ascii="Calibri" w:hAnsi="Calibri"/>
          <w:i/>
          <w:iCs/>
          <w:noProof/>
          <w:sz w:val="22"/>
        </w:rPr>
        <w:t>Molecular and biochemical parasitology</w:t>
      </w:r>
      <w:r w:rsidRPr="00097BD4">
        <w:rPr>
          <w:rFonts w:ascii="Calibri" w:hAnsi="Calibri"/>
          <w:noProof/>
          <w:sz w:val="22"/>
        </w:rPr>
        <w:t>, 51(2), pp.313–20. Available at: http://www.ncbi.nlm.nih.gov/pubmed/1349423 [Accessed November 19,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Walliker, D. et al., 1987. Genetic analysis of the human malaria parasite Plasmodium falciparum. </w:t>
      </w:r>
      <w:r w:rsidRPr="00097BD4">
        <w:rPr>
          <w:rFonts w:ascii="Calibri" w:hAnsi="Calibri"/>
          <w:i/>
          <w:iCs/>
          <w:noProof/>
          <w:sz w:val="22"/>
        </w:rPr>
        <w:t>Science (New York, N.Y.)</w:t>
      </w:r>
      <w:r w:rsidRPr="00097BD4">
        <w:rPr>
          <w:rFonts w:ascii="Calibri" w:hAnsi="Calibri"/>
          <w:noProof/>
          <w:sz w:val="22"/>
        </w:rPr>
        <w:t>, 236(4809), pp.1661–6. Available at: http://www.ncbi.nlm.nih.gov/pubmed/3299700 [Accessed November 11,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lastRenderedPageBreak/>
        <w:t xml:space="preserve">Wellems, T.E. et al., 1990. Chloroquine resistance not linked to mdr-like genes in a Plasmodium falciparum cross. </w:t>
      </w:r>
      <w:r w:rsidRPr="00097BD4">
        <w:rPr>
          <w:rFonts w:ascii="Calibri" w:hAnsi="Calibri"/>
          <w:i/>
          <w:iCs/>
          <w:noProof/>
          <w:sz w:val="22"/>
        </w:rPr>
        <w:t>Nature</w:t>
      </w:r>
      <w:r w:rsidRPr="00097BD4">
        <w:rPr>
          <w:rFonts w:ascii="Calibri" w:hAnsi="Calibri"/>
          <w:noProof/>
          <w:sz w:val="22"/>
        </w:rPr>
        <w:t>, 345(6272), pp.253–5. Available at: http://www.ncbi.nlm.nih.gov/pubmed/1970614 [Accessed November 11,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Wellems, T.E., Walker-Jonah, A. &amp; Panton, L.J., 1991. Genetic mapping of the chloroquine-resistance locus on Plasmodium falciparum chromosome 7. </w:t>
      </w:r>
      <w:r w:rsidRPr="00097BD4">
        <w:rPr>
          <w:rFonts w:ascii="Calibri" w:hAnsi="Calibri"/>
          <w:i/>
          <w:iCs/>
          <w:noProof/>
          <w:sz w:val="22"/>
        </w:rPr>
        <w:t>Proceedings of the National Academy of Sciences of the United States of America</w:t>
      </w:r>
      <w:r w:rsidRPr="00097BD4">
        <w:rPr>
          <w:rFonts w:ascii="Calibri" w:hAnsi="Calibri"/>
          <w:noProof/>
          <w:sz w:val="22"/>
        </w:rPr>
        <w:t>, 88(8), pp.3382–6. Available at: http://www.pubmedcentral.nih.gov/articlerender.fcgi?artid=51451&amp;tool=pmcentrez&amp;rendertype=abstract [Accessed November 11,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Winter, G. et al., 2005. SURFIN is a polymorphic antigen expressed on Plasmodium falciparum merozoites and infected erythrocytes. </w:t>
      </w:r>
      <w:r w:rsidRPr="00097BD4">
        <w:rPr>
          <w:rFonts w:ascii="Calibri" w:hAnsi="Calibri"/>
          <w:i/>
          <w:iCs/>
          <w:noProof/>
          <w:sz w:val="22"/>
        </w:rPr>
        <w:t>The Journal of experimental medicine</w:t>
      </w:r>
      <w:r w:rsidRPr="00097BD4">
        <w:rPr>
          <w:rFonts w:ascii="Calibri" w:hAnsi="Calibri"/>
          <w:noProof/>
          <w:sz w:val="22"/>
        </w:rPr>
        <w:t>, 201(11), pp.1853–63. Available at: http://www.pubmedcentral.nih.gov/articlerender.fcgi?artid=2213267&amp;tool=pmcentrez&amp;rendertype=abstract [Accessed December 17,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Youds, J.L. &amp; Boulton, S.J., 2011. The choice in meiosis - defining the factors that influence crossover or non-crossover formation. </w:t>
      </w:r>
      <w:r w:rsidRPr="00097BD4">
        <w:rPr>
          <w:rFonts w:ascii="Calibri" w:hAnsi="Calibri"/>
          <w:i/>
          <w:iCs/>
          <w:noProof/>
          <w:sz w:val="22"/>
        </w:rPr>
        <w:t>Journal of cell science</w:t>
      </w:r>
      <w:r w:rsidRPr="00097BD4">
        <w:rPr>
          <w:rFonts w:ascii="Calibri" w:hAnsi="Calibri"/>
          <w:noProof/>
          <w:sz w:val="22"/>
        </w:rPr>
        <w:t>, 124(Pt 4), pp.501–13. Available at: http://www.ncbi.nlm.nih.gov/pubmed/21282472 [Accessed December 12,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Zhao, M. et al., 2013. Computational tools for copy number variation (CNV) detection using next-generation sequencing data: features and perspectives. </w:t>
      </w:r>
      <w:r w:rsidRPr="00097BD4">
        <w:rPr>
          <w:rFonts w:ascii="Calibri" w:hAnsi="Calibri"/>
          <w:i/>
          <w:iCs/>
          <w:noProof/>
          <w:sz w:val="22"/>
        </w:rPr>
        <w:t>BMC bioinformatics</w:t>
      </w:r>
      <w:r w:rsidRPr="00097BD4">
        <w:rPr>
          <w:rFonts w:ascii="Calibri" w:hAnsi="Calibri"/>
          <w:noProof/>
          <w:sz w:val="22"/>
        </w:rPr>
        <w:t>, 14 Suppl 1(Suppl 11), p.S1. Available at: http://www.biomedcentral.com/1471-2105/14/S11/S1 [Accessed November 6, 2014].</w:t>
      </w:r>
    </w:p>
    <w:p w:rsidR="00097BD4" w:rsidRPr="00097BD4" w:rsidRDefault="00097BD4">
      <w:pPr>
        <w:pStyle w:val="NormalWeb"/>
        <w:ind w:left="480" w:hanging="480"/>
        <w:divId w:val="1489901363"/>
        <w:rPr>
          <w:rFonts w:ascii="Calibri" w:hAnsi="Calibri"/>
          <w:noProof/>
          <w:sz w:val="22"/>
        </w:rPr>
      </w:pPr>
      <w:r w:rsidRPr="00097BD4">
        <w:rPr>
          <w:rFonts w:ascii="Calibri" w:hAnsi="Calibri"/>
          <w:noProof/>
          <w:sz w:val="22"/>
        </w:rPr>
        <w:t xml:space="preserve">Zilversmit, M.M. et al., 2010. Low-complexity regions in Plasmodium falciparum: missing links in the evolution of an extreme genome. </w:t>
      </w:r>
      <w:r w:rsidRPr="00097BD4">
        <w:rPr>
          <w:rFonts w:ascii="Calibri" w:hAnsi="Calibri"/>
          <w:i/>
          <w:iCs/>
          <w:noProof/>
          <w:sz w:val="22"/>
        </w:rPr>
        <w:t>Molecular biology and evolution</w:t>
      </w:r>
      <w:r w:rsidRPr="00097BD4">
        <w:rPr>
          <w:rFonts w:ascii="Calibri" w:hAnsi="Calibri"/>
          <w:noProof/>
          <w:sz w:val="22"/>
        </w:rPr>
        <w:t>, 27(9), pp.2198–209. Available at: http://www.pubmedcentral.nih.gov/articlerender.fcgi?artid=2922621&amp;tool=pmcentrez&amp;rendertype=abstract [Accessed October 20, 2014].</w:t>
      </w:r>
    </w:p>
    <w:p w:rsidR="009E1600" w:rsidRPr="009E1600" w:rsidRDefault="00FB5180" w:rsidP="00097BD4">
      <w:pPr>
        <w:pStyle w:val="NormalWeb"/>
        <w:ind w:left="480" w:hanging="480"/>
        <w:divId w:val="2009675012"/>
      </w:pPr>
      <w:r>
        <w:fldChar w:fldCharType="end"/>
      </w:r>
    </w:p>
    <w:sectPr w:rsidR="009E1600" w:rsidRPr="009E1600" w:rsidSect="00355A6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C9B" w:rsidRDefault="00390C9B" w:rsidP="008B66D9">
      <w:pPr>
        <w:spacing w:after="0" w:line="240" w:lineRule="auto"/>
      </w:pPr>
      <w:r>
        <w:separator/>
      </w:r>
    </w:p>
  </w:endnote>
  <w:endnote w:type="continuationSeparator" w:id="0">
    <w:p w:rsidR="00390C9B" w:rsidRDefault="00390C9B" w:rsidP="008B66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C9B" w:rsidRDefault="00390C9B" w:rsidP="008B66D9">
      <w:pPr>
        <w:spacing w:after="0" w:line="240" w:lineRule="auto"/>
      </w:pPr>
      <w:r>
        <w:separator/>
      </w:r>
    </w:p>
  </w:footnote>
  <w:footnote w:type="continuationSeparator" w:id="0">
    <w:p w:rsidR="00390C9B" w:rsidRDefault="00390C9B" w:rsidP="008B66D9">
      <w:pPr>
        <w:spacing w:after="0" w:line="240" w:lineRule="auto"/>
      </w:pPr>
      <w:r>
        <w:continuationSeparator/>
      </w:r>
    </w:p>
  </w:footnote>
  <w:footnote w:id="1">
    <w:p w:rsidR="00381C07" w:rsidRDefault="00381C07">
      <w:pPr>
        <w:pStyle w:val="FootnoteText"/>
      </w:pPr>
      <w:r>
        <w:rPr>
          <w:rStyle w:val="FootnoteReference"/>
        </w:rPr>
        <w:footnoteRef/>
      </w:r>
      <w:r>
        <w:t xml:space="preserve"> MRC Centre for Genomics and Global Health, University of Oxford, Oxford, UK</w:t>
      </w:r>
    </w:p>
  </w:footnote>
  <w:footnote w:id="2">
    <w:p w:rsidR="00381C07" w:rsidRDefault="00381C07">
      <w:pPr>
        <w:pStyle w:val="FootnoteText"/>
      </w:pPr>
      <w:r>
        <w:rPr>
          <w:rStyle w:val="FootnoteReference"/>
        </w:rPr>
        <w:footnoteRef/>
      </w:r>
      <w:r>
        <w:t xml:space="preserve"> Malaria Programme, Wellcome Trust Sanger Institute, Hinxton, UK</w:t>
      </w:r>
    </w:p>
  </w:footnote>
  <w:footnote w:id="3">
    <w:p w:rsidR="00381C07" w:rsidRDefault="00381C07">
      <w:pPr>
        <w:pStyle w:val="FootnoteText"/>
      </w:pPr>
      <w:r>
        <w:rPr>
          <w:rStyle w:val="FootnoteReference"/>
        </w:rPr>
        <w:footnoteRef/>
      </w:r>
      <w:r>
        <w:t xml:space="preserve"> Wellcome Trust Centre for Human Genetics, University of Oxford, Oxford, UK</w:t>
      </w:r>
    </w:p>
  </w:footnote>
  <w:footnote w:id="4">
    <w:p w:rsidR="00381C07" w:rsidRDefault="00381C07">
      <w:pPr>
        <w:pStyle w:val="FootnoteText"/>
      </w:pPr>
      <w:r>
        <w:rPr>
          <w:rStyle w:val="FootnoteReference"/>
        </w:rPr>
        <w:footnoteRef/>
      </w:r>
      <w:r>
        <w:t xml:space="preserve"> Bowdoin College, Brunswick, Maine, USA</w:t>
      </w:r>
    </w:p>
  </w:footnote>
  <w:footnote w:id="5">
    <w:p w:rsidR="00381C07" w:rsidRDefault="00381C07">
      <w:pPr>
        <w:pStyle w:val="FootnoteText"/>
      </w:pPr>
      <w:r>
        <w:rPr>
          <w:rStyle w:val="FootnoteReference"/>
        </w:rPr>
        <w:footnoteRef/>
      </w:r>
      <w:r>
        <w:t xml:space="preserve"> Broad Institute of Harvard and MIT, Cambridge, Massachusetts, USA</w:t>
      </w:r>
    </w:p>
  </w:footnote>
  <w:footnote w:id="6">
    <w:p w:rsidR="00381C07" w:rsidRDefault="00381C07">
      <w:pPr>
        <w:pStyle w:val="FootnoteText"/>
      </w:pPr>
      <w:r>
        <w:rPr>
          <w:rStyle w:val="FootnoteReference"/>
        </w:rPr>
        <w:footnoteRef/>
      </w:r>
      <w:r>
        <w:t xml:space="preserve"> Institute of Infection, Immunity and Inflammation, University of Glasgow, Glasgow, UK</w:t>
      </w:r>
    </w:p>
  </w:footnote>
  <w:footnote w:id="7">
    <w:p w:rsidR="00381C07" w:rsidRDefault="00381C07">
      <w:pPr>
        <w:pStyle w:val="FootnoteText"/>
      </w:pPr>
      <w:r>
        <w:rPr>
          <w:rStyle w:val="FootnoteReference"/>
        </w:rPr>
        <w:footnoteRef/>
      </w:r>
      <w:r>
        <w:t xml:space="preserve"> Department of Biological Sciences, University of Notre Dame, Notre Dame, Indiana, USA</w:t>
      </w:r>
    </w:p>
  </w:footnote>
  <w:footnote w:id="8">
    <w:p w:rsidR="00381C07" w:rsidRDefault="00381C07">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9">
    <w:p w:rsidR="00381C07" w:rsidRDefault="00381C07">
      <w:pPr>
        <w:pStyle w:val="FootnoteText"/>
      </w:pPr>
      <w:r>
        <w:rPr>
          <w:rStyle w:val="FootnoteReference"/>
        </w:rPr>
        <w:footnoteRef/>
      </w:r>
      <w:r>
        <w:t xml:space="preserve"> Department of Statistics, University of Oxford, Oxford, UK</w:t>
      </w:r>
    </w:p>
  </w:footnote>
  <w:footnote w:id="10">
    <w:p w:rsidR="00381C07" w:rsidRDefault="00381C07">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w:t>
      </w:r>
    </w:p>
  </w:footnote>
  <w:footnote w:id="11">
    <w:p w:rsidR="00381C07" w:rsidRDefault="00381C07">
      <w:pPr>
        <w:pStyle w:val="FootnoteText"/>
      </w:pPr>
      <w:r>
        <w:rPr>
          <w:rStyle w:val="FootnoteReference"/>
        </w:rPr>
        <w:footnoteRef/>
      </w:r>
      <w:r>
        <w:t xml:space="preserve"> </w:t>
      </w:r>
      <w:hyperlink r:id="rId2" w:history="1">
        <w:r w:rsidRPr="0011568A">
          <w:rPr>
            <w:rStyle w:val="Hyperlink"/>
          </w:rPr>
          <w:t>http://github.com/cggh/panoptes</w:t>
        </w:r>
      </w:hyperlink>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footnotePr>
    <w:footnote w:id="-1"/>
    <w:footnote w:id="0"/>
  </w:footnotePr>
  <w:endnotePr>
    <w:endnote w:id="-1"/>
    <w:endnote w:id="0"/>
  </w:endnotePr>
  <w:compat/>
  <w:rsids>
    <w:rsidRoot w:val="00A24306"/>
    <w:rsid w:val="0001017A"/>
    <w:rsid w:val="00013797"/>
    <w:rsid w:val="00016DA9"/>
    <w:rsid w:val="00022BF0"/>
    <w:rsid w:val="0004180F"/>
    <w:rsid w:val="00043C58"/>
    <w:rsid w:val="000645D6"/>
    <w:rsid w:val="00065004"/>
    <w:rsid w:val="00071215"/>
    <w:rsid w:val="00077681"/>
    <w:rsid w:val="000840C7"/>
    <w:rsid w:val="000900EE"/>
    <w:rsid w:val="00092516"/>
    <w:rsid w:val="00094913"/>
    <w:rsid w:val="00094D11"/>
    <w:rsid w:val="00097BD4"/>
    <w:rsid w:val="000C02A8"/>
    <w:rsid w:val="000C3978"/>
    <w:rsid w:val="000C7B24"/>
    <w:rsid w:val="000D1E36"/>
    <w:rsid w:val="000E06C9"/>
    <w:rsid w:val="0010383D"/>
    <w:rsid w:val="00107FF0"/>
    <w:rsid w:val="00114AB5"/>
    <w:rsid w:val="001301E2"/>
    <w:rsid w:val="00142C02"/>
    <w:rsid w:val="00161CD0"/>
    <w:rsid w:val="0016550F"/>
    <w:rsid w:val="00170A38"/>
    <w:rsid w:val="0017234E"/>
    <w:rsid w:val="00190747"/>
    <w:rsid w:val="00194EE4"/>
    <w:rsid w:val="001B18CC"/>
    <w:rsid w:val="001C088D"/>
    <w:rsid w:val="001C1697"/>
    <w:rsid w:val="001C4C7D"/>
    <w:rsid w:val="001C4E6F"/>
    <w:rsid w:val="001C68E4"/>
    <w:rsid w:val="001E1229"/>
    <w:rsid w:val="002053C1"/>
    <w:rsid w:val="002105BA"/>
    <w:rsid w:val="00213F97"/>
    <w:rsid w:val="002169DD"/>
    <w:rsid w:val="0022383E"/>
    <w:rsid w:val="00225E63"/>
    <w:rsid w:val="00242B17"/>
    <w:rsid w:val="00242BE4"/>
    <w:rsid w:val="00266665"/>
    <w:rsid w:val="002759C7"/>
    <w:rsid w:val="00291C00"/>
    <w:rsid w:val="00293AC3"/>
    <w:rsid w:val="002A031E"/>
    <w:rsid w:val="002A236A"/>
    <w:rsid w:val="002A5154"/>
    <w:rsid w:val="002B5CBF"/>
    <w:rsid w:val="002C092B"/>
    <w:rsid w:val="002C3E4D"/>
    <w:rsid w:val="002D236F"/>
    <w:rsid w:val="0031069D"/>
    <w:rsid w:val="00316BAD"/>
    <w:rsid w:val="00320409"/>
    <w:rsid w:val="00320E71"/>
    <w:rsid w:val="00334433"/>
    <w:rsid w:val="00355A6C"/>
    <w:rsid w:val="003567AE"/>
    <w:rsid w:val="0036655D"/>
    <w:rsid w:val="00381C07"/>
    <w:rsid w:val="00390C9B"/>
    <w:rsid w:val="00395FA2"/>
    <w:rsid w:val="0039689D"/>
    <w:rsid w:val="003B428E"/>
    <w:rsid w:val="003C55CB"/>
    <w:rsid w:val="003C72B7"/>
    <w:rsid w:val="003D0F25"/>
    <w:rsid w:val="003D1E9D"/>
    <w:rsid w:val="003E3A10"/>
    <w:rsid w:val="003E6777"/>
    <w:rsid w:val="003F0D40"/>
    <w:rsid w:val="003F1EB5"/>
    <w:rsid w:val="0040749C"/>
    <w:rsid w:val="00411E8E"/>
    <w:rsid w:val="00414247"/>
    <w:rsid w:val="004177B6"/>
    <w:rsid w:val="004261C2"/>
    <w:rsid w:val="0043059A"/>
    <w:rsid w:val="004357C6"/>
    <w:rsid w:val="00436C33"/>
    <w:rsid w:val="004403DA"/>
    <w:rsid w:val="004412FA"/>
    <w:rsid w:val="00442FA6"/>
    <w:rsid w:val="00446F45"/>
    <w:rsid w:val="00450E72"/>
    <w:rsid w:val="004531F4"/>
    <w:rsid w:val="004568E5"/>
    <w:rsid w:val="00457090"/>
    <w:rsid w:val="00457F08"/>
    <w:rsid w:val="00467EE6"/>
    <w:rsid w:val="00494F68"/>
    <w:rsid w:val="004B64BC"/>
    <w:rsid w:val="004B714B"/>
    <w:rsid w:val="004C01D4"/>
    <w:rsid w:val="004C6EBF"/>
    <w:rsid w:val="004C7856"/>
    <w:rsid w:val="004D3DD9"/>
    <w:rsid w:val="00502205"/>
    <w:rsid w:val="00516EE3"/>
    <w:rsid w:val="00523D59"/>
    <w:rsid w:val="00530D8A"/>
    <w:rsid w:val="00530F60"/>
    <w:rsid w:val="0053348F"/>
    <w:rsid w:val="00535BC3"/>
    <w:rsid w:val="00536C74"/>
    <w:rsid w:val="00557F5B"/>
    <w:rsid w:val="00572EC2"/>
    <w:rsid w:val="005833BA"/>
    <w:rsid w:val="005A3815"/>
    <w:rsid w:val="005B37DB"/>
    <w:rsid w:val="005B671D"/>
    <w:rsid w:val="005D178D"/>
    <w:rsid w:val="005D73F0"/>
    <w:rsid w:val="005E4F41"/>
    <w:rsid w:val="005E4F4C"/>
    <w:rsid w:val="005E5FE9"/>
    <w:rsid w:val="005F7D85"/>
    <w:rsid w:val="005F7DD3"/>
    <w:rsid w:val="00601883"/>
    <w:rsid w:val="006018E2"/>
    <w:rsid w:val="00605B08"/>
    <w:rsid w:val="006065AE"/>
    <w:rsid w:val="00607AA0"/>
    <w:rsid w:val="0062071D"/>
    <w:rsid w:val="00622DB4"/>
    <w:rsid w:val="00622F1D"/>
    <w:rsid w:val="00630078"/>
    <w:rsid w:val="006469F3"/>
    <w:rsid w:val="00653393"/>
    <w:rsid w:val="0066222C"/>
    <w:rsid w:val="0066428C"/>
    <w:rsid w:val="00667FE0"/>
    <w:rsid w:val="00676EC4"/>
    <w:rsid w:val="006835DA"/>
    <w:rsid w:val="006927BD"/>
    <w:rsid w:val="006A5AA1"/>
    <w:rsid w:val="006B37E8"/>
    <w:rsid w:val="006C1DD2"/>
    <w:rsid w:val="006C6A25"/>
    <w:rsid w:val="006D6FCD"/>
    <w:rsid w:val="006E7EA9"/>
    <w:rsid w:val="0072106A"/>
    <w:rsid w:val="007220F1"/>
    <w:rsid w:val="00725338"/>
    <w:rsid w:val="00732DD8"/>
    <w:rsid w:val="00754F50"/>
    <w:rsid w:val="00760802"/>
    <w:rsid w:val="0076105D"/>
    <w:rsid w:val="0077147F"/>
    <w:rsid w:val="00773905"/>
    <w:rsid w:val="0077582B"/>
    <w:rsid w:val="007827B2"/>
    <w:rsid w:val="00783242"/>
    <w:rsid w:val="00783449"/>
    <w:rsid w:val="007A13ED"/>
    <w:rsid w:val="007A475F"/>
    <w:rsid w:val="007A5FFB"/>
    <w:rsid w:val="007B45FA"/>
    <w:rsid w:val="007C506F"/>
    <w:rsid w:val="007C6969"/>
    <w:rsid w:val="007D24A7"/>
    <w:rsid w:val="007E1951"/>
    <w:rsid w:val="008046A2"/>
    <w:rsid w:val="00811543"/>
    <w:rsid w:val="00822F7D"/>
    <w:rsid w:val="008303C4"/>
    <w:rsid w:val="00831572"/>
    <w:rsid w:val="008336DB"/>
    <w:rsid w:val="00840C8B"/>
    <w:rsid w:val="00843650"/>
    <w:rsid w:val="0084749C"/>
    <w:rsid w:val="008509AB"/>
    <w:rsid w:val="008529A0"/>
    <w:rsid w:val="008579AE"/>
    <w:rsid w:val="00873E89"/>
    <w:rsid w:val="00877689"/>
    <w:rsid w:val="0088090E"/>
    <w:rsid w:val="008901F1"/>
    <w:rsid w:val="00890734"/>
    <w:rsid w:val="00893C7A"/>
    <w:rsid w:val="008A5CF4"/>
    <w:rsid w:val="008B66D9"/>
    <w:rsid w:val="008C28A7"/>
    <w:rsid w:val="008C5FF4"/>
    <w:rsid w:val="008D7DCE"/>
    <w:rsid w:val="008E486C"/>
    <w:rsid w:val="008F4E05"/>
    <w:rsid w:val="008F4EA1"/>
    <w:rsid w:val="009004F3"/>
    <w:rsid w:val="00901FE9"/>
    <w:rsid w:val="009044CA"/>
    <w:rsid w:val="00914189"/>
    <w:rsid w:val="00924F7E"/>
    <w:rsid w:val="009255D4"/>
    <w:rsid w:val="00936076"/>
    <w:rsid w:val="00943113"/>
    <w:rsid w:val="009768F2"/>
    <w:rsid w:val="009778CE"/>
    <w:rsid w:val="0098727C"/>
    <w:rsid w:val="00995125"/>
    <w:rsid w:val="009A32D6"/>
    <w:rsid w:val="009C2480"/>
    <w:rsid w:val="009D296D"/>
    <w:rsid w:val="009E0D59"/>
    <w:rsid w:val="009E1600"/>
    <w:rsid w:val="009E51A2"/>
    <w:rsid w:val="009E5C7B"/>
    <w:rsid w:val="009F1864"/>
    <w:rsid w:val="009F34F8"/>
    <w:rsid w:val="009F3C0F"/>
    <w:rsid w:val="00A00035"/>
    <w:rsid w:val="00A0596E"/>
    <w:rsid w:val="00A12839"/>
    <w:rsid w:val="00A24306"/>
    <w:rsid w:val="00A32224"/>
    <w:rsid w:val="00A42F7A"/>
    <w:rsid w:val="00A44E52"/>
    <w:rsid w:val="00A4677A"/>
    <w:rsid w:val="00A46A4E"/>
    <w:rsid w:val="00A55587"/>
    <w:rsid w:val="00A72CFF"/>
    <w:rsid w:val="00A75769"/>
    <w:rsid w:val="00AC053E"/>
    <w:rsid w:val="00AC67A5"/>
    <w:rsid w:val="00AD0B6C"/>
    <w:rsid w:val="00AD509E"/>
    <w:rsid w:val="00AE555C"/>
    <w:rsid w:val="00AF5355"/>
    <w:rsid w:val="00B037B8"/>
    <w:rsid w:val="00B11DF3"/>
    <w:rsid w:val="00B1349E"/>
    <w:rsid w:val="00B139F3"/>
    <w:rsid w:val="00B1727B"/>
    <w:rsid w:val="00B32D1F"/>
    <w:rsid w:val="00B50155"/>
    <w:rsid w:val="00B537A3"/>
    <w:rsid w:val="00B65E4B"/>
    <w:rsid w:val="00B6677C"/>
    <w:rsid w:val="00BA0FA8"/>
    <w:rsid w:val="00BA4DCF"/>
    <w:rsid w:val="00BB0C47"/>
    <w:rsid w:val="00BB10EC"/>
    <w:rsid w:val="00BD7C23"/>
    <w:rsid w:val="00BE0BCD"/>
    <w:rsid w:val="00BF4505"/>
    <w:rsid w:val="00BF518B"/>
    <w:rsid w:val="00BF5714"/>
    <w:rsid w:val="00BF5E5E"/>
    <w:rsid w:val="00C03BD9"/>
    <w:rsid w:val="00C208FD"/>
    <w:rsid w:val="00C24654"/>
    <w:rsid w:val="00C37853"/>
    <w:rsid w:val="00C42374"/>
    <w:rsid w:val="00C44746"/>
    <w:rsid w:val="00C47636"/>
    <w:rsid w:val="00C51B90"/>
    <w:rsid w:val="00C63023"/>
    <w:rsid w:val="00C73348"/>
    <w:rsid w:val="00C8137E"/>
    <w:rsid w:val="00C81D5D"/>
    <w:rsid w:val="00C82549"/>
    <w:rsid w:val="00C95BB5"/>
    <w:rsid w:val="00C97C07"/>
    <w:rsid w:val="00CB2ADC"/>
    <w:rsid w:val="00CB6C32"/>
    <w:rsid w:val="00CC4CEC"/>
    <w:rsid w:val="00CC57FE"/>
    <w:rsid w:val="00CD5EC1"/>
    <w:rsid w:val="00CD711E"/>
    <w:rsid w:val="00CE7736"/>
    <w:rsid w:val="00D00B79"/>
    <w:rsid w:val="00D05581"/>
    <w:rsid w:val="00D07F33"/>
    <w:rsid w:val="00D14426"/>
    <w:rsid w:val="00D246DE"/>
    <w:rsid w:val="00D329C7"/>
    <w:rsid w:val="00D5126B"/>
    <w:rsid w:val="00D51DCC"/>
    <w:rsid w:val="00D52B09"/>
    <w:rsid w:val="00D57147"/>
    <w:rsid w:val="00D5776C"/>
    <w:rsid w:val="00D6625D"/>
    <w:rsid w:val="00D70420"/>
    <w:rsid w:val="00D7475C"/>
    <w:rsid w:val="00D96060"/>
    <w:rsid w:val="00DA1B2C"/>
    <w:rsid w:val="00DA3665"/>
    <w:rsid w:val="00DB2FDB"/>
    <w:rsid w:val="00DC41FA"/>
    <w:rsid w:val="00DC5736"/>
    <w:rsid w:val="00DC5FD7"/>
    <w:rsid w:val="00DC78AE"/>
    <w:rsid w:val="00DD329D"/>
    <w:rsid w:val="00DE05F9"/>
    <w:rsid w:val="00DE0EF1"/>
    <w:rsid w:val="00DE11E6"/>
    <w:rsid w:val="00DE754D"/>
    <w:rsid w:val="00DF2176"/>
    <w:rsid w:val="00DF4B94"/>
    <w:rsid w:val="00DF6A03"/>
    <w:rsid w:val="00DF77B0"/>
    <w:rsid w:val="00E042AF"/>
    <w:rsid w:val="00E1296E"/>
    <w:rsid w:val="00E13949"/>
    <w:rsid w:val="00E1484F"/>
    <w:rsid w:val="00E174F7"/>
    <w:rsid w:val="00E224EF"/>
    <w:rsid w:val="00E23718"/>
    <w:rsid w:val="00E3669F"/>
    <w:rsid w:val="00E65A8F"/>
    <w:rsid w:val="00E73835"/>
    <w:rsid w:val="00E81244"/>
    <w:rsid w:val="00E843DF"/>
    <w:rsid w:val="00E852B4"/>
    <w:rsid w:val="00E91A85"/>
    <w:rsid w:val="00EA1963"/>
    <w:rsid w:val="00EA3CED"/>
    <w:rsid w:val="00EB143B"/>
    <w:rsid w:val="00EC2A4A"/>
    <w:rsid w:val="00EC326F"/>
    <w:rsid w:val="00ED0992"/>
    <w:rsid w:val="00ED25D2"/>
    <w:rsid w:val="00EE0300"/>
    <w:rsid w:val="00EE1931"/>
    <w:rsid w:val="00EE4AC6"/>
    <w:rsid w:val="00EE5A51"/>
    <w:rsid w:val="00EF2C90"/>
    <w:rsid w:val="00EF6779"/>
    <w:rsid w:val="00F12BE6"/>
    <w:rsid w:val="00F230BE"/>
    <w:rsid w:val="00F23B0D"/>
    <w:rsid w:val="00F428AA"/>
    <w:rsid w:val="00F70B94"/>
    <w:rsid w:val="00F7616C"/>
    <w:rsid w:val="00F803F5"/>
    <w:rsid w:val="00F95A97"/>
    <w:rsid w:val="00FA6FE6"/>
    <w:rsid w:val="00FB2301"/>
    <w:rsid w:val="00FB5180"/>
    <w:rsid w:val="00FB69B5"/>
    <w:rsid w:val="00FC2174"/>
    <w:rsid w:val="00FC41A4"/>
    <w:rsid w:val="00FD7D69"/>
    <w:rsid w:val="00FE0FEE"/>
    <w:rsid w:val="00FE3235"/>
    <w:rsid w:val="00FE46FD"/>
    <w:rsid w:val="00FF6B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r="http://schemas.openxmlformats.org/officeDocument/2006/relationships" xmlns:w="http://schemas.openxmlformats.org/wordprocessingml/2006/main">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sChild>
                                                                                                                                                                                                                                                                                                                                                                                                                                                                                                                                                                                            <w:div w:id="2118523421">
                                                                                                                                                                                                                                                                                                                                                                                                                                                                                                                                                                                              <w:marLeft w:val="0"/>
                                                                                                                                                                                                                                                                                                                                                                                                                                                                                                                                                                                              <w:marRight w:val="0"/>
                                                                                                                                                                                                                                                                                                                                                                                                                                                                                                                                                                                              <w:marTop w:val="0"/>
                                                                                                                                                                                                                                                                                                                                                                                                                                                                                                                                                                                              <w:marBottom w:val="0"/>
                                                                                                                                                                                                                                                                                                                                                                                                                                                                                                                                                                                              <w:divBdr>
                                                                                                                                                                                                                                                                                                                                                                                                                                                                                                                                                                                                <w:top w:val="none" w:sz="0" w:space="0" w:color="auto"/>
                                                                                                                                                                                                                                                                                                                                                                                                                                                                                                                                                                                                <w:left w:val="none" w:sz="0" w:space="0" w:color="auto"/>
                                                                                                                                                                                                                                                                                                                                                                                                                                                                                                                                                                                                <w:bottom w:val="none" w:sz="0" w:space="0" w:color="auto"/>
                                                                                                                                                                                                                                                                                                                                                                                                                                                                                                                                                                                                <w:right w:val="none" w:sz="0" w:space="0" w:color="auto"/>
                                                                                                                                                                                                                                                                                                                                                                                                                                                                                                                                                                                              </w:divBdr>
                                                                                                                                                                                                                                                                                                                                                                                                                                                                                                                                                                                              <w:divsChild>
                                                                                                                                                                                                                                                                                                                                                                                                                                                                                                                                                                                                <w:div w:id="782649652">
                                                                                                                                                                                                                                                                                                                                                                                                                                                                                                                                                                                                  <w:marLeft w:val="0"/>
                                                                                                                                                                                                                                                                                                                                                                                                                                                                                                                                                                                                  <w:marRight w:val="0"/>
                                                                                                                                                                                                                                                                                                                                                                                                                                                                                                                                                                                                  <w:marTop w:val="0"/>
                                                                                                                                                                                                                                                                                                                                                                                                                                                                                                                                                                                                  <w:marBottom w:val="0"/>
                                                                                                                                                                                                                                                                                                                                                                                                                                                                                                                                                                                                  <w:divBdr>
                                                                                                                                                                                                                                                                                                                                                                                                                                                                                                                                                                                                    <w:top w:val="none" w:sz="0" w:space="0" w:color="auto"/>
                                                                                                                                                                                                                                                                                                                                                                                                                                                                                                                                                                                                    <w:left w:val="none" w:sz="0" w:space="0" w:color="auto"/>
                                                                                                                                                                                                                                                                                                                                                                                                                                                                                                                                                                                                    <w:bottom w:val="none" w:sz="0" w:space="0" w:color="auto"/>
                                                                                                                                                                                                                                                                                                                                                                                                                                                                                                                                                                                                    <w:right w:val="none" w:sz="0" w:space="0" w:color="auto"/>
                                                                                                                                                                                                                                                                                                                                                                                                                                                                                                                                                                                                  </w:divBdr>
                                                                                                                                                                                                                                                                                                                                                                                                                                                                                                                                                                                                  <w:divsChild>
                                                                                                                                                                                                                                                                                                                                                                                                                                                                                                                                                                                                    <w:div w:id="2009675012">
                                                                                                                                                                                                                                                                                                                                                                                                                                                                                                                                                                                                      <w:marLeft w:val="0"/>
                                                                                                                                                                                                                                                                                                                                                                                                                                                                                                                                                                                                      <w:marRight w:val="0"/>
                                                                                                                                                                                                                                                                                                                                                                                                                                                                                                                                                                                                      <w:marTop w:val="0"/>
                                                                                                                                                                                                                                                                                                                                                                                                                                                                                                                                                                                                      <w:marBottom w:val="0"/>
                                                                                                                                                                                                                                                                                                                                                                                                                                                                                                                                                                                                      <w:divBdr>
                                                                                                                                                                                                                                                                                                                                                                                                                                                                                                                                                                                                        <w:top w:val="none" w:sz="0" w:space="0" w:color="auto"/>
                                                                                                                                                                                                                                                                                                                                                                                                                                                                                                                                                                                                        <w:left w:val="none" w:sz="0" w:space="0" w:color="auto"/>
                                                                                                                                                                                                                                                                                                                                                                                                                                                                                                                                                                                                        <w:bottom w:val="none" w:sz="0" w:space="0" w:color="auto"/>
                                                                                                                                                                                                                                                                                                                                                                                                                                                                                                                                                                                                        <w:right w:val="none" w:sz="0" w:space="0" w:color="auto"/>
                                                                                                                                                                                                                                                                                                                                                                                                                                                                                                                                                                                                      </w:divBdr>
                                                                                                                                                                                                                                                                                                                                                                                                                                                                                                                                                                                                      <w:divsChild>
                                                                                                                                                                                                                                                                                                                                                                                                                                                                                                                                                                                                        <w:div w:id="14899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openxmlformats.org/officeDocument/2006/relationships/settings" Target="settings.xml"/><Relationship Id="rId7" Type="http://schemas.openxmlformats.org/officeDocument/2006/relationships/hyperlink" Target="http://www.malariagen.net/apps/pf-crosses"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ithub.com/cggh/panoptes" TargetMode="External"/><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27C4C-29E2-4B3F-A8EF-FB79B3C8A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5102</TotalTime>
  <Pages>26</Pages>
  <Words>84765</Words>
  <Characters>483163</Characters>
  <Application>Microsoft Office Word</Application>
  <DocSecurity>0</DocSecurity>
  <Lines>4026</Lines>
  <Paragraphs>1133</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566795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aliman</cp:lastModifiedBy>
  <cp:revision>181</cp:revision>
  <dcterms:created xsi:type="dcterms:W3CDTF">2014-11-21T18:07:00Z</dcterms:created>
  <dcterms:modified xsi:type="dcterms:W3CDTF">2015-04-20T22:05:00Z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