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Zamin Iqbal, Paul Vauterin, Richard Pearson, Susana Campino, </w:t>
      </w:r>
      <w:r w:rsidR="0004180F">
        <w:t xml:space="preserve">Michel Theron, Kelda Gould, </w:t>
      </w:r>
      <w:r w:rsidRPr="00A24306">
        <w:t xml:space="preserve">Daniel Mead, Eleanor Drury, </w:t>
      </w:r>
      <w:r w:rsidR="00395FA2">
        <w:t xml:space="preserve">John O’Brien, Valentin Ruano Rubio, </w:t>
      </w:r>
      <w:r w:rsidRPr="00A24306">
        <w:t xml:space="preserve">Bronwyn MacInnis, </w:t>
      </w:r>
      <w:r w:rsidR="0004180F">
        <w:t xml:space="preserve">Karen Hayton, </w:t>
      </w:r>
      <w:r w:rsidRPr="00A24306">
        <w:t>Lisa Ranford-Cartwright, Michael Ferdig, Xinzhuan Su, Thomas Wellems, Julian Rayner, Gil McVean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w:t>
      </w:r>
      <w:r w:rsidR="00CB6C32" w:rsidRPr="00CB6C32">
        <w:rPr>
          <w:noProof/>
        </w:rPr>
        <w:lastRenderedPageBreak/>
        <w:t>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xml:space="preserve">.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xml:space="preserve">) variation are limited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w:t>
      </w:r>
      <w:r w:rsidR="00A72CFF">
        <w:lastRenderedPageBreak/>
        <w:t>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334433">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194EE4">
        <w:fldChar w:fldCharType="separate"/>
      </w:r>
      <w:r w:rsidR="00334433" w:rsidRPr="00334433">
        <w:rPr>
          <w:noProof/>
        </w:rPr>
        <w:t>(DePristo et al. 2011; Li &amp; Durbin 2009)</w:t>
      </w:r>
      <w:r w:rsidR="00194EE4">
        <w:fldChar w:fldCharType="end"/>
      </w:r>
      <w:r w:rsidR="00194E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230B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 xml:space="preserve">We find evidence for crossover recombination within these amplifications </w:t>
      </w:r>
      <w:r w:rsidR="001C4E6F">
        <w:lastRenderedPageBreak/>
        <w:t>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334433">
        <w:fldChar w:fldCharType="begin" w:fldLock="1"/>
      </w:r>
      <w:r w:rsidR="008509AB">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334433">
        <w:fldChar w:fldCharType="separate"/>
      </w:r>
      <w:r w:rsidR="00334433" w:rsidRPr="00334433">
        <w:rPr>
          <w:noProof/>
        </w:rPr>
        <w:t>(Kozarewa et al. 2009)</w:t>
      </w:r>
      <w:r w:rsidR="00334433">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r w:rsidR="005D178D">
        <w:rPr>
          <w:i/>
        </w:rPr>
        <w:t>var</w:t>
      </w:r>
      <w:r w:rsidR="005D178D">
        <w:t xml:space="preserve"> 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lastRenderedPageBreak/>
        <w:t>Claessens, Hamilton</w:t>
      </w:r>
      <w:r w:rsidR="001C68E4">
        <w:rPr>
          <w:noProof/>
        </w:rPr>
        <w:t xml:space="preserve"> et al.,</w:t>
      </w:r>
      <w:r w:rsidR="001C68E4" w:rsidRPr="001C68E4">
        <w:rPr>
          <w:noProof/>
        </w:rPr>
        <w:t xml:space="preserve"> 2014)</w:t>
      </w:r>
      <w:r w:rsidR="001C68E4">
        <w:fldChar w:fldCharType="end"/>
      </w:r>
      <w:r w:rsidR="00AD509E">
        <w:t>,</w:t>
      </w:r>
      <w:r w:rsidR="005D178D">
        <w:t xml:space="preserve"> and almost all genes in the </w:t>
      </w:r>
      <w:r w:rsidR="00AD509E">
        <w:t xml:space="preserve">associated </w:t>
      </w:r>
      <w:r w:rsidR="005D178D">
        <w:rPr>
          <w:i/>
        </w:rPr>
        <w:t>rif</w:t>
      </w:r>
      <w:r w:rsidR="005D178D">
        <w:t xml:space="preserve"> and </w:t>
      </w:r>
      <w:r w:rsidR="005D178D">
        <w:rPr>
          <w:i/>
        </w:rPr>
        <w:t>stevor</w:t>
      </w:r>
      <w:r w:rsidR="005D178D">
        <w:t xml:space="preserve"> families</w:t>
      </w:r>
      <w:r w:rsidR="00AD509E">
        <w:t>. 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8509AB">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 "properties" : { "noteIndex" : 0 }, "schema" : "https://github.com/citation-style-language/schema/raw/master/csl-citation.json" }</w:instrText>
      </w:r>
      <w:r w:rsidR="0077147F">
        <w:fldChar w:fldCharType="separate"/>
      </w:r>
      <w:r w:rsidR="008509AB" w:rsidRPr="008509AB">
        <w:rPr>
          <w:noProof/>
        </w:rPr>
        <w:t>(DePristo et al. 2011; Li &amp; Durbin 2009)</w:t>
      </w:r>
      <w:r w:rsidR="0077147F">
        <w:fldChar w:fldCharType="end"/>
      </w:r>
      <w:bookmarkStart w:id="0" w:name="_GoBack"/>
      <w:bookmarkEnd w:id="0"/>
      <w:r>
        <w:t xml:space="preserve">, the other based on partial assembly of sequence reads and comparison of assembled contigs </w:t>
      </w:r>
      <w:r w:rsidR="0077147F">
        <w:fldChar w:fldCharType="begin" w:fldLock="1"/>
      </w:r>
      <w:r w:rsidR="00107FF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methods,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SNP and </w:t>
      </w:r>
      <w:r w:rsidR="00F230BE">
        <w:t>INDEL</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995125">
        <w:t xml:space="preserve">. </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s being approximately @@N:M.</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 @@</w:t>
      </w:r>
      <w:r w:rsidR="00FE0FEE">
        <w:t xml:space="preserve">TODO </w:t>
      </w:r>
      <w:r w:rsidR="00601883">
        <w:t>comparison SNP:</w:t>
      </w:r>
      <w:r w:rsidR="00F230BE">
        <w:t>INDEL</w:t>
      </w:r>
      <w:r w:rsidR="00601883">
        <w:t xml:space="preserve"> rates in other species@@.</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poly(AT) repeats. In coding regions 77% of </w:t>
      </w:r>
      <w:r w:rsidR="00F230BE">
        <w:t>INDEL</w:t>
      </w:r>
      <w:r w:rsidR="00FE0FEE">
        <w:t xml:space="preserve">s were STR variations, of which the majority were within poly(asparagine) tracts. Tandem repeat sequences are prone to slipped strand mis-pairing during DNA replication </w:t>
      </w:r>
      <w:r w:rsidR="00F230BE">
        <w:fldChar w:fldCharType="begin" w:fldLock="1"/>
      </w:r>
      <w:r w:rsidR="00F230BE">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F230BE">
        <w:fldChar w:fldCharType="separate"/>
      </w:r>
      <w:r w:rsidR="00F230BE" w:rsidRPr="00F230BE">
        <w:rPr>
          <w:noProof/>
        </w:rPr>
        <w:t>(Li et al. 2002)</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repeats are unusually abundant within the exome</w:t>
      </w:r>
      <w:r w:rsidR="00F230BE">
        <w:t xml:space="preserve"> </w:t>
      </w:r>
      <w:r w:rsidR="00F230BE">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@@REF predicted the location of core promoters upstream of @@N genes based on a training set of known transcription start sites (@@REF).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 xml:space="preserve">s 100-200bp upstream and 0-100bp downstream of the promoter centre (figure 1C; supplementary figure @@TODO).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between 2 and 3 orders of magnitude greater (figure 2). These divergent loci were found almost exclusively within coding regions of genes </w:t>
      </w:r>
      <w:r>
        <w:lastRenderedPageBreak/>
        <w:t xml:space="preserve">associated with the merozoite life cycle stage, where the parasite is briefly exposed to the host immune system before invading another erythrocyte, and include several well-studied merozoite surface antigens. The most extreme example was MSP1 (@@ID), a highly expressed protein located at the merozoite surface (@@REF), where several regions of the gene are known to exhibit deep allelic dimorphism (@@REF).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divergent regions of MSP1 (@@TODO clarify which parts) as </w:t>
      </w:r>
      <w:r w:rsidR="009255D4">
        <w:t xml:space="preserve">verified </w:t>
      </w:r>
      <w:r>
        <w:t>by comparison with capillary sequence data (@@Genbank, @@REFs).</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r w:rsidR="009255D4" w:rsidRPr="008323B7">
        <w:t>DBLMSP2</w:t>
      </w:r>
      <w:r w:rsidR="009255D4">
        <w:t xml:space="preserve">), members of the </w:t>
      </w:r>
      <w:r w:rsidR="009255D4">
        <w:rPr>
          <w:i/>
        </w:rPr>
        <w:t>surfin</w:t>
      </w:r>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mosquito salivary gland (@@REF) suggesting involvement in the early stages of infection.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derive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936076">
        <w:t xml:space="preserve"> (table 1)</w:t>
      </w:r>
      <w:r w:rsidR="00316BAD">
        <w:t>.</w:t>
      </w:r>
      <w:r w:rsidR="00936076">
        <w:t xml:space="preserve"> The average distance between markers was @@-@@bp, approximately an order of magnitude greater resolution than that available </w:t>
      </w:r>
      <w:r w:rsidR="00320E71">
        <w:t>previously</w:t>
      </w:r>
      <w:r w:rsidR="00936076">
        <w:t xml:space="preserve"> (@@REF; @@CHECK). In eukaryotes, programmed double strand breaks (DSBs) during meiosis are resolved by either crossover (CO) or non-crossover (NCO) between homologous chromosomes (@@REFs). A CO is a reciprocal exchange accompanied by a conversion tract, whereas an NCO is a conversion tract </w:t>
      </w:r>
      <w:r w:rsidR="00936076">
        <w:lastRenderedPageBreak/>
        <w:t>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kb/cM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r w:rsidR="00C82549">
        <w:t>Kruskal-Wallis H-test) (figure 3</w:t>
      </w:r>
      <w:r>
        <w:t>A). There was a strong linear correlation between chromosome size and CO recombination rate, with a rate of 0.55 predicted for t</w:t>
      </w:r>
      <w:r w:rsidR="00C82549">
        <w:t>he smallest chromosome (figure 3</w:t>
      </w:r>
      <w:r>
        <w:t xml:space="preserve">B) consistent with 0.5 expected if the recombination rate is calibrated to </w:t>
      </w:r>
      <w:r w:rsidR="00022BF0">
        <w:t xml:space="preserve">produce </w:t>
      </w:r>
      <w:r w:rsidR="00C82549">
        <w:t xml:space="preserve">at least </w:t>
      </w:r>
      <w:r>
        <w:t xml:space="preserve">one CO per </w:t>
      </w:r>
      <w:r w:rsidR="00C82549">
        <w:t xml:space="preserve">chromosome pair </w:t>
      </w:r>
      <w:r>
        <w:t>(@@REF).</w:t>
      </w:r>
    </w:p>
    <w:p w:rsidR="00DE05F9" w:rsidRDefault="009C2480" w:rsidP="009C2480">
      <w:r>
        <w:t>The centromeres were cold</w:t>
      </w:r>
      <w:r w:rsidR="00D96060">
        <w:t>-</w:t>
      </w:r>
      <w:r>
        <w:t xml:space="preserve">spots of CO recombination, </w:t>
      </w:r>
      <w:r w:rsidR="00DE05F9">
        <w:t xml:space="preserve">as expected from studies in other eukaryotes,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flanking markers within a gene, 162 (13%) were within an intergenic region, and 636 (53%) were ambiguous (flanking markers spanned a gene boundary). The number of CO events observed within a gene was significantly higher than expected if CO events were distributed uniformly over the genome (P=0.001 by Monte Carlo simulation). Of the 396 COs observed within a gene,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occur in coding regions</w:t>
      </w:r>
      <w:r w:rsidR="005D73F0">
        <w:t>, in contrast with higher eukaryotes where recombination occurs almost exclusively within intergenic regions (@@REFs</w:t>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non-crossover conversion (@@REFs) no estimates have been made for the rate of NCO recombination or the distribution of conversion tract lengths. Of the 331 conversion tracts observed, an outlying group of 7 very long </w:t>
      </w:r>
      <w:r w:rsidR="005D73F0">
        <w:lastRenderedPageBreak/>
        <w:t xml:space="preserve">(&gt;18kb) complex tracts was found, described further in the next </w:t>
      </w:r>
      <w:r>
        <w:t>sub-</w:t>
      </w:r>
      <w:r w:rsidR="005D73F0">
        <w:t>section.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other organisms the distribution of conversion tract lengths has been found to fit a geometric model, with a single parameter </w:t>
      </w:r>
      <w:r w:rsidR="005D73F0">
        <w:rPr>
          <w:i/>
        </w:rPr>
        <w:t>phi</w:t>
      </w:r>
      <w:r w:rsidR="005D73F0">
        <w:t xml:space="preserve"> determining the per-base-pair probability of extending a tract (@@REF).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genotyped in this study, and the pattern of recombination was identical in both replicates. Similar observations were made for clone C@@ (3D7 x HB3) where a 70kb region on chromosome 14 accounted for 12 switches in inheritance, and clone 3BD5 (HB3 x Dd2) where a</w:t>
      </w:r>
      <w:r w:rsidR="005F7DD3">
        <w:t>n</w:t>
      </w:r>
      <w:r>
        <w:t xml:space="preserve"> 80kb region on </w:t>
      </w:r>
      <w:r>
        <w:lastRenderedPageBreak/>
        <w:t>chromosome 10 contained 13 switches (supplementary figure @@N). At all of these loci there was no evidence of copy number variation or other artefacts that could manifest as an apparent excess of recombination. These observations suggest that, in addition to the two established DSB repair pathways leading to normal CO and NCO events (@@REF), other repair pathways may also be utilised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progeny of the HB3xDd2 cross (@@REFs)</w:t>
      </w:r>
      <w:r w:rsidR="007827B2">
        <w:t>,</w:t>
      </w:r>
      <w:r>
        <w:t xml:space="preserve"> and in a large number of </w:t>
      </w:r>
      <w:r w:rsidR="00467EE6">
        <w:t xml:space="preserve">clinical </w:t>
      </w:r>
      <w:r>
        <w:t xml:space="preserve">isolates, particularly from South-East Asia (@@REFs). Both point mutations and amplifications of </w:t>
      </w:r>
      <w:r>
        <w:rPr>
          <w:i/>
        </w:rPr>
        <w:t>mdr1</w:t>
      </w:r>
      <w:r>
        <w:t xml:space="preserve"> have been shown to </w:t>
      </w:r>
      <w:r w:rsidR="00467EE6">
        <w:t xml:space="preserve">alter </w:t>
      </w:r>
      <w:r>
        <w:t xml:space="preserve">sensitivity to a range of drugs (@@REFs). On chromosome 12 amplifications spanning </w:t>
      </w:r>
      <w:r>
        <w:rPr>
          <w:i/>
        </w:rPr>
        <w:t>gch1</w:t>
      </w:r>
      <w:r>
        <w:t xml:space="preserve">, the first enzyme in the folate biosynthesis pathway, have been found in 3D7, HB3 and Dd2 (@@check other parents) and clinical isolates (@@REF) and have been shown to confer resistance to anti-folate drugs (@@REF). The amplifications spanning </w:t>
      </w:r>
      <w:r w:rsidRPr="00B037B8">
        <w:rPr>
          <w:i/>
        </w:rPr>
        <w:t>gch1</w:t>
      </w:r>
      <w:r>
        <w:t xml:space="preserve"> differ between 3D7, HB3 and Dd2 in </w:t>
      </w:r>
      <w:r w:rsidR="00467EE6">
        <w:t xml:space="preserve">size </w:t>
      </w:r>
      <w:r>
        <w:t xml:space="preserve">and copy number (@@REF).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 xml:space="preserve">both parental alleles appeared to be inherited together, which can be explained if one or more meiotic recombination events had occurred within the amplified region.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 depth of read coverage (@@REFs)</w:t>
      </w:r>
      <w:r w:rsidR="00DE0EF1">
        <w:t>.</w:t>
      </w:r>
      <w:r w:rsidR="007827B2">
        <w:t xml:space="preserve"> </w:t>
      </w:r>
      <w:r w:rsidR="00DE0EF1">
        <w:t>T</w:t>
      </w:r>
      <w:r w:rsidR="00B32D1F">
        <w:t xml:space="preserve">he relative </w:t>
      </w:r>
      <w:r w:rsidR="007827B2">
        <w:t xml:space="preserve">orientation and distance between </w:t>
      </w:r>
      <w:r w:rsidR="00B32D1F">
        <w:t xml:space="preserve">aligned </w:t>
      </w:r>
      <w:r w:rsidR="007827B2">
        <w:t xml:space="preserve">read pairs can </w:t>
      </w:r>
      <w:r w:rsidR="00DE0EF1">
        <w:t xml:space="preserve">also </w:t>
      </w:r>
      <w:r w:rsidR="007827B2">
        <w:t>be used to infer the arrangement of amplified segments, for example, tandem duplications or inversions (@@REF). Here we present the evidence for 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either 2 or 3 copies in 14 progeny of HB3 x Dd2 (supplementary figure @@N)</w:t>
      </w:r>
      <w:r w:rsidR="00043C58">
        <w:t xml:space="preserve"> consistent with previous reports (@@REF)</w:t>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653393">
        <w:t xml:space="preserve">(figure @@). The </w:t>
      </w:r>
      <w:r w:rsidR="00653393">
        <w:lastRenderedPageBreak/>
        <w:t xml:space="preserve">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read pair alignments were consistent with a tandem array. HB3(1)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genes, although the arrangement of segments could not be determined from read alignments. The HB3(2)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(supplementary figures @@N) except for two progeny of 3D7 x HB3 (C@@, C@@)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r>
        <w:rPr>
          <w:i/>
        </w:rPr>
        <w:t>var</w:t>
      </w:r>
      <w:r>
        <w:t xml:space="preserve">) was evident in GB4 and 13 progeny of 7G8 x GB4 (supplementary figure @@N) consistent with the previously reported absence of CLAG3.2 in GB4 and other clones (@@REF). On chromosome 11 a 70kb segment spanning 12 genes was duplicated in both HB3 replicates and 5 progeny of HB3 x Dd2 (supplementary figure @@N). This amplification has been shown to involve a translocation of one copy of the region to chromosome 13 (@@REF).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parental amplifications (figure @@N).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 the amplified region (figure @@). Within such a segment a haploid individual </w:t>
      </w:r>
      <w:r w:rsidR="003E6777">
        <w:t>is</w:t>
      </w:r>
      <w:r>
        <w:t xml:space="preserve"> effectively diploid and also becomes effectively heterozygous for any SNP, </w:t>
      </w:r>
      <w:r w:rsidR="00F230BE">
        <w:t>INDEL</w:t>
      </w:r>
      <w:r>
        <w:t xml:space="preserve"> or smaller CNV variants within 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w:t>
      </w:r>
      <w:r>
        <w:lastRenderedPageBreak/>
        <w:t xml:space="preserve">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 the GCH1 locus, both clones C@@ and C@@ inherited the large 161kb duplication from parent HB3 as well as the smaller 2kb 4-fold amplification from parent 3D7 spanning GCH1 onl</w:t>
      </w:r>
      <w:r w:rsidR="0043059A">
        <w:t>y. C@@ had a region of</w:t>
      </w:r>
      <w:r>
        <w:t xml:space="preserve"> heterozygosity spanning the leftmost 130kb of the region duplicated in HB3, but was apparently homozygous for the remainder of this region (figure @@N). The most parsimonious explanation is that a single crossover occurred within the region duplicated in HB3. Clone C@@ had a region of heterozygosity spanning the entire region duplicated in HB3, with borders that appear</w:t>
      </w:r>
      <w:r w:rsidR="002B5CBF">
        <w:t>ed</w:t>
      </w:r>
      <w:r>
        <w:t xml:space="preserve"> to coincide closely with the breakpoints of the duplication (figure @@N).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a tandem duplication and one copy of the region has been translocated to a different chromosome, however read orientation evidence clearly indicated that the region is tandemly arrayed in both HB3 and C@@. For both clones C@@ and C@@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t xml:space="preserve"> (figure @@N).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the genome, allowing the location of variants to viewed in the context of genome features and </w:t>
      </w:r>
      <w:r w:rsidR="003E6777">
        <w:t>alignment metrics</w:t>
      </w:r>
      <w:r>
        <w:t>; and a browser for visualising the sequence alignments themselves, implemented by embedding the LookSeq software (@@REF). The underlying technologies for this web application are being developed as a generic framework so that they can be used with other datasets, as part of an open source project (@@REF)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well-documented (@@REFs) and short tandem repeats are known to be highly variable due to replication slippage (@@REFs). Nevertheless,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w:t>
      </w:r>
      <w:r w:rsidR="00DF2176">
        <w:lastRenderedPageBreak/>
        <w:t xml:space="preserve">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w:t>
      </w:r>
      <w:r w:rsidR="00F230BE">
        <w:t>INDEL</w:t>
      </w:r>
      <w:r w:rsidR="00DF2176">
        <w:t xml:space="preserve"> diversity has a particular architecture in 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r w:rsidR="00094913" w:rsidRPr="00094913">
        <w:rPr>
          <w:i/>
        </w:rPr>
        <w:t>surfin</w:t>
      </w:r>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r w:rsidR="00094913" w:rsidRPr="00094913">
        <w:rPr>
          <w:i/>
        </w:rPr>
        <w:t>surfin</w:t>
      </w:r>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being approximately 50 times greater than the 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w:t>
      </w:r>
      <w:r w:rsidR="00605B08">
        <w:lastRenderedPageBreak/>
        <w:t xml:space="preserve">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We confirm a CO recombination rate in the range @@-@@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s lower within a highly localised region surrounding the centromeres, and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C97C07">
        <w:t xml:space="preserve"> (@@REF)</w:t>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pleiomorphic amplifications spanning the anti-folate resistance 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w:t>
      </w:r>
      <w:r w:rsidR="00D329C7">
        <w:lastRenderedPageBreak/>
        <w:t>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 xml:space="preserve">breakpoints are found in repeat regions that are slightly longer than the genome-wide average (@@REF)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a</w:t>
      </w:r>
      <w:r w:rsidR="00FF6BE6">
        <w:t>n amplification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lastRenderedPageBreak/>
        <w:t>Methods</w:t>
      </w:r>
    </w:p>
    <w:p w:rsidR="009E1600" w:rsidRDefault="00AC67A5" w:rsidP="00AC67A5">
      <w:pPr>
        <w:pStyle w:val="Heading3"/>
      </w:pPr>
      <w:r>
        <w:t>DNA samples</w:t>
      </w:r>
    </w:p>
    <w:p w:rsidR="00AC67A5" w:rsidRDefault="00AC67A5" w:rsidP="00AC67A5">
      <w:r>
        <w:t>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say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t>
      </w:r>
      <w:r w:rsidR="00F7616C">
        <w:lastRenderedPageBreak/>
        <w:t xml:space="preserve">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pysamstats (@REF). Copy number state was predicted in all samples by fitting a Gaussian hidden Markov model to the normalised coverage data.   </w:t>
      </w:r>
    </w:p>
    <w:p w:rsidR="009E1600" w:rsidRDefault="009E1600" w:rsidP="009E1600">
      <w:pPr>
        <w:pStyle w:val="Heading2"/>
      </w:pPr>
      <w:r>
        <w:t>References</w:t>
      </w:r>
    </w:p>
    <w:p w:rsidR="008509AB" w:rsidRPr="008509AB" w:rsidRDefault="00CB6C32">
      <w:pPr>
        <w:pStyle w:val="NormalWeb"/>
        <w:ind w:left="480" w:hanging="480"/>
        <w:divId w:val="1115365085"/>
        <w:rPr>
          <w:rFonts w:ascii="Calibri" w:hAnsi="Calibri"/>
          <w:noProof/>
          <w:sz w:val="22"/>
        </w:rPr>
      </w:pPr>
      <w:r>
        <w:fldChar w:fldCharType="begin" w:fldLock="1"/>
      </w:r>
      <w:r>
        <w:instrText xml:space="preserve">ADDIN Mendeley Bibliography CSL_BIBLIOGRAPHY </w:instrText>
      </w:r>
      <w:r>
        <w:fldChar w:fldCharType="separate"/>
      </w:r>
      <w:r w:rsidR="008509AB" w:rsidRPr="008509AB">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008509AB" w:rsidRPr="008509AB">
        <w:rPr>
          <w:rFonts w:ascii="Calibri" w:hAnsi="Calibri"/>
          <w:i/>
          <w:iCs/>
          <w:noProof/>
          <w:sz w:val="22"/>
        </w:rPr>
        <w:t>PLoS genetics</w:t>
      </w:r>
      <w:r w:rsidR="008509AB" w:rsidRPr="008509AB">
        <w:rPr>
          <w:rFonts w:ascii="Calibri" w:hAnsi="Calibri"/>
          <w:noProof/>
          <w:sz w:val="22"/>
        </w:rPr>
        <w:t>.</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Ariey, F. et al., 2014. A molecular marker of artemisinin-resistant Plasmodium falciparum malaria. </w:t>
      </w:r>
      <w:r w:rsidRPr="008509AB">
        <w:rPr>
          <w:rFonts w:ascii="Calibri" w:hAnsi="Calibri"/>
          <w:i/>
          <w:iCs/>
          <w:noProof/>
          <w:sz w:val="22"/>
        </w:rPr>
        <w:t>Nature</w:t>
      </w:r>
      <w:r w:rsidRPr="008509AB">
        <w:rPr>
          <w:rFonts w:ascii="Calibri" w:hAnsi="Calibri"/>
          <w:noProof/>
          <w:sz w:val="22"/>
        </w:rPr>
        <w:t>, 505(7481), pp.50–5. Available at: http://www.ncbi.nlm.nih.gov/pubmed/24352242 [Accessed July 11,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Ashley, E.A. et al., 2014. Spread of Artemisinin Resistance in Plasmodium falciparum Malaria. </w:t>
      </w:r>
      <w:r w:rsidRPr="008509AB">
        <w:rPr>
          <w:rFonts w:ascii="Calibri" w:hAnsi="Calibri"/>
          <w:i/>
          <w:iCs/>
          <w:noProof/>
          <w:sz w:val="22"/>
        </w:rPr>
        <w:t>New England Journal of Medicine</w:t>
      </w:r>
      <w:r w:rsidRPr="008509AB">
        <w:rPr>
          <w:rFonts w:ascii="Calibri" w:hAnsi="Calibri"/>
          <w:noProof/>
          <w:sz w:val="22"/>
        </w:rPr>
        <w:t>, 371(5), pp.411–423. Available at: http://www.ncbi.nlm.nih.gov/pubmed/25075834 [Accessed July 31,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Bopp, S.E.R. et al., 2013. Mitotic evolution of Plasmodium falciparum shows a stable core genome but recombination in antigen families. N. Maizels, ed. </w:t>
      </w:r>
      <w:r w:rsidRPr="008509AB">
        <w:rPr>
          <w:rFonts w:ascii="Calibri" w:hAnsi="Calibri"/>
          <w:i/>
          <w:iCs/>
          <w:noProof/>
          <w:sz w:val="22"/>
        </w:rPr>
        <w:t>PLoS genetics</w:t>
      </w:r>
      <w:r w:rsidRPr="008509AB">
        <w:rPr>
          <w:rFonts w:ascii="Calibri" w:hAnsi="Calibri"/>
          <w:noProof/>
          <w:sz w:val="22"/>
        </w:rPr>
        <w:t>, 9(2), p.e1003293. Available at: http://dx.plos.org/10.1371/journal.pgen.1003293 [Accessed December 15,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DePristo, M.A. et al., 2011. A framework for variation discovery and genotyping using next-generation DNA sequencing data. </w:t>
      </w:r>
      <w:r w:rsidRPr="008509AB">
        <w:rPr>
          <w:rFonts w:ascii="Calibri" w:hAnsi="Calibri"/>
          <w:i/>
          <w:iCs/>
          <w:noProof/>
          <w:sz w:val="22"/>
        </w:rPr>
        <w:t>Nature genetics</w:t>
      </w:r>
      <w:r w:rsidRPr="008509AB">
        <w:rPr>
          <w:rFonts w:ascii="Calibri" w:hAnsi="Calibri"/>
          <w:noProof/>
          <w:sz w:val="22"/>
        </w:rPr>
        <w:t>, 43(5), pp.491–8. Available at: http://www.pubmedcentral.nih.gov/articlerender.fcgi?artid=3083463&amp;tool=pmcentrez&amp;rendertype=abstract [Accessed July 9,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DePristo, M.A., Zilversmit, M.M. &amp; Hartl, D.L., 2006. On the abundance, amino acid composition, and evolutionary dynamics of low-complexity regions in proteins. </w:t>
      </w:r>
      <w:r w:rsidRPr="008509AB">
        <w:rPr>
          <w:rFonts w:ascii="Calibri" w:hAnsi="Calibri"/>
          <w:i/>
          <w:iCs/>
          <w:noProof/>
          <w:sz w:val="22"/>
        </w:rPr>
        <w:t>Gene</w:t>
      </w:r>
      <w:r w:rsidRPr="008509AB">
        <w:rPr>
          <w:rFonts w:ascii="Calibri" w:hAnsi="Calibri"/>
          <w:noProof/>
          <w:sz w:val="22"/>
        </w:rPr>
        <w:t>, 378, pp.19–30. Available at: http://www.ncbi.nlm.nih.gov/pubmed/16806741 [Accessed November 3,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lastRenderedPageBreak/>
        <w:t xml:space="preserve">Flueck, C. et al., 2009. Plasmodium falciparum heterochromatin protein 1 marks genomic loci linked to phenotypic variation of exported virulence factors. </w:t>
      </w:r>
      <w:r w:rsidRPr="008509AB">
        <w:rPr>
          <w:rFonts w:ascii="Calibri" w:hAnsi="Calibri"/>
          <w:i/>
          <w:iCs/>
          <w:noProof/>
          <w:sz w:val="22"/>
        </w:rPr>
        <w:t>PLoS pathogens</w:t>
      </w:r>
      <w:r w:rsidRPr="008509AB">
        <w:rPr>
          <w:rFonts w:ascii="Calibri" w:hAnsi="Calibri"/>
          <w:noProof/>
          <w:sz w:val="22"/>
        </w:rPr>
        <w:t>, 5(9), p.e1000569. Available at: http://www.pubmedcentral.nih.gov/articlerender.fcgi?artid=2731224&amp;tool=pmcentrez&amp;rendertype=abstract [Accessed November 11,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Freitas-Junior, L.H. et al., 2000. Frequent ectopic recombination of virulence factor genes in telomeric chromosome clusters of P. falciparum. </w:t>
      </w:r>
      <w:r w:rsidRPr="008509AB">
        <w:rPr>
          <w:rFonts w:ascii="Calibri" w:hAnsi="Calibri"/>
          <w:i/>
          <w:iCs/>
          <w:noProof/>
          <w:sz w:val="22"/>
        </w:rPr>
        <w:t>Nature</w:t>
      </w:r>
      <w:r w:rsidRPr="008509AB">
        <w:rPr>
          <w:rFonts w:ascii="Calibri" w:hAnsi="Calibri"/>
          <w:noProof/>
          <w:sz w:val="22"/>
        </w:rPr>
        <w:t>, 407(6807), pp.1018–22. Available at: http://www.ncbi.nlm.nih.gov/pubmed/11069183 [Accessed December 15,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Gardner, M.J. et al., 2002. Genome sequence of the human malaria parasite Plasmodium falciparum. </w:t>
      </w:r>
      <w:r w:rsidRPr="008509AB">
        <w:rPr>
          <w:rFonts w:ascii="Calibri" w:hAnsi="Calibri"/>
          <w:i/>
          <w:iCs/>
          <w:noProof/>
          <w:sz w:val="22"/>
        </w:rPr>
        <w:t>Nature</w:t>
      </w:r>
      <w:r w:rsidRPr="008509AB">
        <w:rPr>
          <w:rFonts w:ascii="Calibri" w:hAnsi="Calibri"/>
          <w:noProof/>
          <w:sz w:val="22"/>
        </w:rPr>
        <w:t>, 419(6906), pp.498–511. Available at: http://www.pubmedcentral.nih.gov/articlerender.fcgi?artid=3836256&amp;tool=pmcentrez&amp;rendertype=abstract [Accessed October 22,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Haerty, W. &amp; Golding, G.B., 2011. Increased polymorphism near low-complexity sequences across the genomes of Plasmodium falciparum isolates. </w:t>
      </w:r>
      <w:r w:rsidRPr="008509AB">
        <w:rPr>
          <w:rFonts w:ascii="Calibri" w:hAnsi="Calibri"/>
          <w:i/>
          <w:iCs/>
          <w:noProof/>
          <w:sz w:val="22"/>
        </w:rPr>
        <w:t>Genome biology and evolution</w:t>
      </w:r>
      <w:r w:rsidRPr="008509AB">
        <w:rPr>
          <w:rFonts w:ascii="Calibri" w:hAnsi="Calibri"/>
          <w:noProof/>
          <w:sz w:val="22"/>
        </w:rPr>
        <w:t>, 3, pp.539–50. Available at: http://www.pubmedcentral.nih.gov/articlerender.fcgi?artid=3140889&amp;tool=pmcentrez&amp;rendertype=abstract [Accessed November 19,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Hayton, K. et al., 2008. Erythrocyte binding protein PfRH5 polymorphisms determine species-specific pathways of Plasmodium falciparum invasion. </w:t>
      </w:r>
      <w:r w:rsidRPr="008509AB">
        <w:rPr>
          <w:rFonts w:ascii="Calibri" w:hAnsi="Calibri"/>
          <w:i/>
          <w:iCs/>
          <w:noProof/>
          <w:sz w:val="22"/>
        </w:rPr>
        <w:t>Cell host &amp; microbe</w:t>
      </w:r>
      <w:r w:rsidRPr="008509AB">
        <w:rPr>
          <w:rFonts w:ascii="Calibri" w:hAnsi="Calibri"/>
          <w:noProof/>
          <w:sz w:val="22"/>
        </w:rPr>
        <w:t>, 4(1), pp.40–51. Available at: http://www.pubmedcentral.nih.gov/articlerender.fcgi?artid=2677973&amp;tool=pmcentrez&amp;rendertype=abstract [Accessed November 11,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Iqbal, Z. et al., 2012. De novo assembly and genotyping of variants using colored de Bruijn graphs. </w:t>
      </w:r>
      <w:r w:rsidRPr="008509AB">
        <w:rPr>
          <w:rFonts w:ascii="Calibri" w:hAnsi="Calibri"/>
          <w:i/>
          <w:iCs/>
          <w:noProof/>
          <w:sz w:val="22"/>
        </w:rPr>
        <w:t>Nature genetics</w:t>
      </w:r>
      <w:r w:rsidRPr="008509AB">
        <w:rPr>
          <w:rFonts w:ascii="Calibri" w:hAnsi="Calibri"/>
          <w:noProof/>
          <w:sz w:val="22"/>
        </w:rPr>
        <w:t>, 44(2), pp.226–32. Available at: http://dx.doi.org/10.1038/ng.1028 [Accessed July 9,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Jeffares, D.C. et al., 2007. Genome variation and evolution of the malaria parasite Plasmodium falciparum. </w:t>
      </w:r>
      <w:r w:rsidRPr="008509AB">
        <w:rPr>
          <w:rFonts w:ascii="Calibri" w:hAnsi="Calibri"/>
          <w:i/>
          <w:iCs/>
          <w:noProof/>
          <w:sz w:val="22"/>
        </w:rPr>
        <w:t>Nature genetics</w:t>
      </w:r>
      <w:r w:rsidRPr="008509AB">
        <w:rPr>
          <w:rFonts w:ascii="Calibri" w:hAnsi="Calibri"/>
          <w:noProof/>
          <w:sz w:val="22"/>
        </w:rPr>
        <w:t>, 39(1), pp.120–5. Available at: http://www.pubmedcentral.nih.gov/articlerender.fcgi?artid=2663918&amp;tool=pmcentrez&amp;rendertype=abstract [Accessed November 13,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Jiang, H. et al., 2011. High recombination rates and hotspots in a Plasmodium falciparum genetic cross. </w:t>
      </w:r>
      <w:r w:rsidRPr="008509AB">
        <w:rPr>
          <w:rFonts w:ascii="Calibri" w:hAnsi="Calibri"/>
          <w:i/>
          <w:iCs/>
          <w:noProof/>
          <w:sz w:val="22"/>
        </w:rPr>
        <w:t>Genome biology</w:t>
      </w:r>
      <w:r w:rsidRPr="008509AB">
        <w:rPr>
          <w:rFonts w:ascii="Calibri" w:hAnsi="Calibri"/>
          <w:noProof/>
          <w:sz w:val="22"/>
        </w:rPr>
        <w:t>, 12(4), p.R33. Available at: http://genomebiology.com/2011/12/4/R33 [Accessed November 11,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Kerr, P.J., Ranford-Cartwright, L.C. &amp; Walliker, D., 1994. Proof of intragenic recombination in Plasmodium falciparum. </w:t>
      </w:r>
      <w:r w:rsidRPr="008509AB">
        <w:rPr>
          <w:rFonts w:ascii="Calibri" w:hAnsi="Calibri"/>
          <w:i/>
          <w:iCs/>
          <w:noProof/>
          <w:sz w:val="22"/>
        </w:rPr>
        <w:t>Molecular and biochemical parasitology</w:t>
      </w:r>
      <w:r w:rsidRPr="008509AB">
        <w:rPr>
          <w:rFonts w:ascii="Calibri" w:hAnsi="Calibri"/>
          <w:noProof/>
          <w:sz w:val="22"/>
        </w:rPr>
        <w:t>, 66(2), pp.241–8. Available at: http://www.ncbi.nlm.nih.gov/pubmed/7808474 [Accessed November 19,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Kozarewa, I. et al., 2009. Amplification-free Illumina sequencing-library preparation facilitates improved mapping and assembly of (G+C)-biased genomes. </w:t>
      </w:r>
      <w:r w:rsidRPr="008509AB">
        <w:rPr>
          <w:rFonts w:ascii="Calibri" w:hAnsi="Calibri"/>
          <w:i/>
          <w:iCs/>
          <w:noProof/>
          <w:sz w:val="22"/>
        </w:rPr>
        <w:t>Nature methods</w:t>
      </w:r>
      <w:r w:rsidRPr="008509AB">
        <w:rPr>
          <w:rFonts w:ascii="Calibri" w:hAnsi="Calibri"/>
          <w:noProof/>
          <w:sz w:val="22"/>
        </w:rPr>
        <w:t>, 6(4), pp.291–5. Available at: http://dx.doi.org/10.1038/nmeth.1311 [Accessed October 31,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Li, H. &amp; Durbin, R., 2009. Fast and accurate short read alignment with Burrows-Wheeler transform. </w:t>
      </w:r>
      <w:r w:rsidRPr="008509AB">
        <w:rPr>
          <w:rFonts w:ascii="Calibri" w:hAnsi="Calibri"/>
          <w:i/>
          <w:iCs/>
          <w:noProof/>
          <w:sz w:val="22"/>
        </w:rPr>
        <w:t>Bioinformatics (Oxford, England)</w:t>
      </w:r>
      <w:r w:rsidRPr="008509AB">
        <w:rPr>
          <w:rFonts w:ascii="Calibri" w:hAnsi="Calibri"/>
          <w:noProof/>
          <w:sz w:val="22"/>
        </w:rPr>
        <w:t>, 25(14), pp.1754–60. Available at: http://www.pubmedcentral.nih.gov/articlerender.fcgi?artid=2705234&amp;tool=pmcentrez&amp;rendertype=abstract [Accessed July 9,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lastRenderedPageBreak/>
        <w:t xml:space="preserve">Li, Y.-C. et al., 2002. Microsatellites: genomic distribution, putative functions and mutational mechanisms: a review. </w:t>
      </w:r>
      <w:r w:rsidRPr="008509AB">
        <w:rPr>
          <w:rFonts w:ascii="Calibri" w:hAnsi="Calibri"/>
          <w:i/>
          <w:iCs/>
          <w:noProof/>
          <w:sz w:val="22"/>
        </w:rPr>
        <w:t>Molecular ecology</w:t>
      </w:r>
      <w:r w:rsidRPr="008509AB">
        <w:rPr>
          <w:rFonts w:ascii="Calibri" w:hAnsi="Calibri"/>
          <w:noProof/>
          <w:sz w:val="22"/>
        </w:rPr>
        <w:t>, 11(12), pp.2453–65. Available at: http://www.ncbi.nlm.nih.gov/pubmed/12453231 [Accessed November 18,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Manske, M. et al., 2012. Analysis of Plasmodium falciparum diversity in natural infections by deep sequencing. </w:t>
      </w:r>
      <w:r w:rsidRPr="008509AB">
        <w:rPr>
          <w:rFonts w:ascii="Calibri" w:hAnsi="Calibri"/>
          <w:i/>
          <w:iCs/>
          <w:noProof/>
          <w:sz w:val="22"/>
        </w:rPr>
        <w:t>Nature</w:t>
      </w:r>
      <w:r w:rsidRPr="008509AB">
        <w:rPr>
          <w:rFonts w:ascii="Calibri" w:hAnsi="Calibri"/>
          <w:noProof/>
          <w:sz w:val="22"/>
        </w:rPr>
        <w:t>, 487(7407), pp.375–9. Available at: http://www.pubmedcentral.nih.gov/articlerender.fcgi?artid=3738909&amp;tool=pmcentrez&amp;rendertype=abstract [Accessed November 11,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Miotto, O. et al., 2013. Multiple populations of artemisinin-resistant Plasmodium falciparum in Cambodia. </w:t>
      </w:r>
      <w:r w:rsidRPr="008509AB">
        <w:rPr>
          <w:rFonts w:ascii="Calibri" w:hAnsi="Calibri"/>
          <w:i/>
          <w:iCs/>
          <w:noProof/>
          <w:sz w:val="22"/>
        </w:rPr>
        <w:t>Nature genetics</w:t>
      </w:r>
      <w:r w:rsidRPr="008509AB">
        <w:rPr>
          <w:rFonts w:ascii="Calibri" w:hAnsi="Calibri"/>
          <w:noProof/>
          <w:sz w:val="22"/>
        </w:rPr>
        <w:t>, 45(6), pp.648–55. Available at: http://www.pubmedcentral.nih.gov/articlerender.fcgi?artid=3807790&amp;tool=pmcentrez&amp;rendertype=abstract [Accessed September 30,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Montgomery, S.B. et al., 2013. The origin, evolution, and functional impact of short insertion-deletion variants identified in 179 human genomes. </w:t>
      </w:r>
      <w:r w:rsidRPr="008509AB">
        <w:rPr>
          <w:rFonts w:ascii="Calibri" w:hAnsi="Calibri"/>
          <w:i/>
          <w:iCs/>
          <w:noProof/>
          <w:sz w:val="22"/>
        </w:rPr>
        <w:t>Genome research</w:t>
      </w:r>
      <w:r w:rsidRPr="008509AB">
        <w:rPr>
          <w:rFonts w:ascii="Calibri" w:hAnsi="Calibri"/>
          <w:noProof/>
          <w:sz w:val="22"/>
        </w:rPr>
        <w:t>, 23(5), pp.749–61. Available at: http://www.pubmedcentral.nih.gov/articlerender.fcgi?artid=3638132&amp;tool=pmcentrez&amp;rendertype=abstract [Accessed August 21,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Muralidharan, V. &amp; Goldberg, D.E., 2013. Asparagine repeats in Plasmodium falciparum proteins: good for nothing? L. J. Knoll, ed. </w:t>
      </w:r>
      <w:r w:rsidRPr="008509AB">
        <w:rPr>
          <w:rFonts w:ascii="Calibri" w:hAnsi="Calibri"/>
          <w:i/>
          <w:iCs/>
          <w:noProof/>
          <w:sz w:val="22"/>
        </w:rPr>
        <w:t>PLoS pathogens</w:t>
      </w:r>
      <w:r w:rsidRPr="008509AB">
        <w:rPr>
          <w:rFonts w:ascii="Calibri" w:hAnsi="Calibri"/>
          <w:noProof/>
          <w:sz w:val="22"/>
        </w:rPr>
        <w:t>, 9(8), p.e1003488. Available at: http://dx.plos.org/10.1371/journal.ppat.1003488 [Accessed December 8,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Robasky, K., Lewis, N.E. &amp; Church, G.M., 2014. The role of replicates for error mitigation in next-generation sequencing. </w:t>
      </w:r>
      <w:r w:rsidRPr="008509AB">
        <w:rPr>
          <w:rFonts w:ascii="Calibri" w:hAnsi="Calibri"/>
          <w:i/>
          <w:iCs/>
          <w:noProof/>
          <w:sz w:val="22"/>
        </w:rPr>
        <w:t>Nature reviews. Genetics</w:t>
      </w:r>
      <w:r w:rsidRPr="008509AB">
        <w:rPr>
          <w:rFonts w:ascii="Calibri" w:hAnsi="Calibri"/>
          <w:noProof/>
          <w:sz w:val="22"/>
        </w:rPr>
        <w:t>, 15(1), pp.56–62. Available at: http://dx.doi.org/10.1038/nrg3655 [Accessed July 15,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Roy, S.W., Ferreira, M.U. &amp; Hartl, D.L., 2008. Evolution of allelic dimorphism in malarial surface antigens. </w:t>
      </w:r>
      <w:r w:rsidRPr="008509AB">
        <w:rPr>
          <w:rFonts w:ascii="Calibri" w:hAnsi="Calibri"/>
          <w:i/>
          <w:iCs/>
          <w:noProof/>
          <w:sz w:val="22"/>
        </w:rPr>
        <w:t>Heredity</w:t>
      </w:r>
      <w:r w:rsidRPr="008509AB">
        <w:rPr>
          <w:rFonts w:ascii="Calibri" w:hAnsi="Calibri"/>
          <w:noProof/>
          <w:sz w:val="22"/>
        </w:rPr>
        <w:t>, 100(2), pp.103–10. Available at: http://www.ncbi.nlm.nih.gov/pubmed/17021615 [Accessed November 19,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Samarakoon, U., Regier, A., et al., 2011. High-throughput 454 resequencing for allele discovery and recombination mapping in Plasmodium falciparum. </w:t>
      </w:r>
      <w:r w:rsidRPr="008509AB">
        <w:rPr>
          <w:rFonts w:ascii="Calibri" w:hAnsi="Calibri"/>
          <w:i/>
          <w:iCs/>
          <w:noProof/>
          <w:sz w:val="22"/>
        </w:rPr>
        <w:t>BMC genomics</w:t>
      </w:r>
      <w:r w:rsidRPr="008509AB">
        <w:rPr>
          <w:rFonts w:ascii="Calibri" w:hAnsi="Calibri"/>
          <w:noProof/>
          <w:sz w:val="22"/>
        </w:rPr>
        <w:t>, 12, p.116. Available at: http://www.pubmedcentral.nih.gov/articlerender.fcgi?artid=3055840&amp;tool=pmcentrez&amp;rendertype=abstract [Accessed November 11,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Samarakoon, U., Gonzales, J.M., et al., 2011. The landscape of inherited and de novo copy number variants in a Plasmodium falciparum genetic cross. </w:t>
      </w:r>
      <w:r w:rsidRPr="008509AB">
        <w:rPr>
          <w:rFonts w:ascii="Calibri" w:hAnsi="Calibri"/>
          <w:i/>
          <w:iCs/>
          <w:noProof/>
          <w:sz w:val="22"/>
        </w:rPr>
        <w:t>BMC genomics</w:t>
      </w:r>
      <w:r w:rsidRPr="008509AB">
        <w:rPr>
          <w:rFonts w:ascii="Calibri" w:hAnsi="Calibri"/>
          <w:noProof/>
          <w:sz w:val="22"/>
        </w:rPr>
        <w:t>, 12, p.457. Available at: http://www.pubmedcentral.nih.gov/articlerender.fcgi?artid=3191341&amp;tool=pmcentrez&amp;rendertype=abstract [Accessed October 18,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Saunders, I.W., Brohede, J. &amp; Hannan, G.N., 2007. Estimating genotyping error rates from Mendelian errors in SNP array genotypes and their impact on inference. </w:t>
      </w:r>
      <w:r w:rsidRPr="008509AB">
        <w:rPr>
          <w:rFonts w:ascii="Calibri" w:hAnsi="Calibri"/>
          <w:i/>
          <w:iCs/>
          <w:noProof/>
          <w:sz w:val="22"/>
        </w:rPr>
        <w:t>Genomics</w:t>
      </w:r>
      <w:r w:rsidRPr="008509AB">
        <w:rPr>
          <w:rFonts w:ascii="Calibri" w:hAnsi="Calibri"/>
          <w:noProof/>
          <w:sz w:val="22"/>
        </w:rPr>
        <w:t>, 90(3), pp.291–6. Available at: http://www.sciencedirect.com/science/article/pii/S088875430700136X [Accessed December 15,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Su, X. et al., 1999. A genetic map and recombination parameters of the human malaria parasite Plasmodium falciparum. </w:t>
      </w:r>
      <w:r w:rsidRPr="008509AB">
        <w:rPr>
          <w:rFonts w:ascii="Calibri" w:hAnsi="Calibri"/>
          <w:i/>
          <w:iCs/>
          <w:noProof/>
          <w:sz w:val="22"/>
        </w:rPr>
        <w:t>Science (New York, N.Y.)</w:t>
      </w:r>
      <w:r w:rsidRPr="008509AB">
        <w:rPr>
          <w:rFonts w:ascii="Calibri" w:hAnsi="Calibri"/>
          <w:noProof/>
          <w:sz w:val="22"/>
        </w:rPr>
        <w:t>, 286(5443), pp.1351–3. Available at: http://www.ncbi.nlm.nih.gov/pubmed/10558988 [Accessed November 19,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lastRenderedPageBreak/>
        <w:t xml:space="preserve">Tan, J.C. et al., 2010. Variable numbers of tandem repeats in Plasmodium falciparum genes. </w:t>
      </w:r>
      <w:r w:rsidRPr="008509AB">
        <w:rPr>
          <w:rFonts w:ascii="Calibri" w:hAnsi="Calibri"/>
          <w:i/>
          <w:iCs/>
          <w:noProof/>
          <w:sz w:val="22"/>
        </w:rPr>
        <w:t>Journal of molecular evolution</w:t>
      </w:r>
      <w:r w:rsidRPr="008509AB">
        <w:rPr>
          <w:rFonts w:ascii="Calibri" w:hAnsi="Calibri"/>
          <w:noProof/>
          <w:sz w:val="22"/>
        </w:rPr>
        <w:t>, 71(4), pp.268–78. Available at: http://www.pubmedcentral.nih.gov/articlerender.fcgi?artid=3205454&amp;tool=pmcentrez&amp;rendertype=abstract [Accessed November 21,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Völker, M. et al., 2010. Copy number variation, chromosome rearrangement, and their association with recombination during avian evolution. </w:t>
      </w:r>
      <w:r w:rsidRPr="008509AB">
        <w:rPr>
          <w:rFonts w:ascii="Calibri" w:hAnsi="Calibri"/>
          <w:i/>
          <w:iCs/>
          <w:noProof/>
          <w:sz w:val="22"/>
        </w:rPr>
        <w:t>Genome research</w:t>
      </w:r>
      <w:r w:rsidRPr="008509AB">
        <w:rPr>
          <w:rFonts w:ascii="Calibri" w:hAnsi="Calibri"/>
          <w:noProof/>
          <w:sz w:val="22"/>
        </w:rPr>
        <w:t>, 20(4), pp.503–11. Available at: http://genome.cshlp.org/content/20/4/503.full [Accessed December 15,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Walker-Jonah, A. et al., 1992. An RFLP map of the Plasmodium falciparum genome, recombination rates and favored linkage groups in a genetic cross. </w:t>
      </w:r>
      <w:r w:rsidRPr="008509AB">
        <w:rPr>
          <w:rFonts w:ascii="Calibri" w:hAnsi="Calibri"/>
          <w:i/>
          <w:iCs/>
          <w:noProof/>
          <w:sz w:val="22"/>
        </w:rPr>
        <w:t>Molecular and biochemical parasitology</w:t>
      </w:r>
      <w:r w:rsidRPr="008509AB">
        <w:rPr>
          <w:rFonts w:ascii="Calibri" w:hAnsi="Calibri"/>
          <w:noProof/>
          <w:sz w:val="22"/>
        </w:rPr>
        <w:t>, 51(2), pp.313–20. Available at: http://www.ncbi.nlm.nih.gov/pubmed/1349423 [Accessed November 19,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Walliker, D. et al., 1987. Genetic analysis of the human malaria parasite Plasmodium falciparum. </w:t>
      </w:r>
      <w:r w:rsidRPr="008509AB">
        <w:rPr>
          <w:rFonts w:ascii="Calibri" w:hAnsi="Calibri"/>
          <w:i/>
          <w:iCs/>
          <w:noProof/>
          <w:sz w:val="22"/>
        </w:rPr>
        <w:t>Science (New York, N.Y.)</w:t>
      </w:r>
      <w:r w:rsidRPr="008509AB">
        <w:rPr>
          <w:rFonts w:ascii="Calibri" w:hAnsi="Calibri"/>
          <w:noProof/>
          <w:sz w:val="22"/>
        </w:rPr>
        <w:t>, 236(4809), pp.1661–6. Available at: http://www.ncbi.nlm.nih.gov/pubmed/3299700 [Accessed November 11,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Wellems, T.E. et al., 1990. Chloroquine resistance not linked to mdr-like genes in a Plasmodium falciparum cross. </w:t>
      </w:r>
      <w:r w:rsidRPr="008509AB">
        <w:rPr>
          <w:rFonts w:ascii="Calibri" w:hAnsi="Calibri"/>
          <w:i/>
          <w:iCs/>
          <w:noProof/>
          <w:sz w:val="22"/>
        </w:rPr>
        <w:t>Nature</w:t>
      </w:r>
      <w:r w:rsidRPr="008509AB">
        <w:rPr>
          <w:rFonts w:ascii="Calibri" w:hAnsi="Calibri"/>
          <w:noProof/>
          <w:sz w:val="22"/>
        </w:rPr>
        <w:t>, 345(6272), pp.253–5. Available at: http://www.ncbi.nlm.nih.gov/pubmed/1970614 [Accessed November 11,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Wellems, T.E., Walker-Jonah, A. &amp; Panton, L.J., 1991. Genetic mapping of the chloroquine-resistance locus on Plasmodium falciparum chromosome 7. </w:t>
      </w:r>
      <w:r w:rsidRPr="008509AB">
        <w:rPr>
          <w:rFonts w:ascii="Calibri" w:hAnsi="Calibri"/>
          <w:i/>
          <w:iCs/>
          <w:noProof/>
          <w:sz w:val="22"/>
        </w:rPr>
        <w:t>Proceedings of the National Academy of Sciences of the United States of America</w:t>
      </w:r>
      <w:r w:rsidRPr="008509AB">
        <w:rPr>
          <w:rFonts w:ascii="Calibri" w:hAnsi="Calibri"/>
          <w:noProof/>
          <w:sz w:val="22"/>
        </w:rPr>
        <w:t>, 88(8), pp.3382–6. Available at: http://www.pubmedcentral.nih.gov/articlerender.fcgi?artid=51451&amp;tool=pmcentrez&amp;rendertype=abstract [Accessed November 11, 2014].</w:t>
      </w:r>
    </w:p>
    <w:p w:rsidR="008509AB" w:rsidRPr="008509AB" w:rsidRDefault="008509AB">
      <w:pPr>
        <w:pStyle w:val="NormalWeb"/>
        <w:ind w:left="480" w:hanging="480"/>
        <w:divId w:val="1115365085"/>
        <w:rPr>
          <w:rFonts w:ascii="Calibri" w:hAnsi="Calibri"/>
          <w:noProof/>
          <w:sz w:val="22"/>
        </w:rPr>
      </w:pPr>
      <w:r w:rsidRPr="008509AB">
        <w:rPr>
          <w:rFonts w:ascii="Calibri" w:hAnsi="Calibri"/>
          <w:noProof/>
          <w:sz w:val="22"/>
        </w:rPr>
        <w:t xml:space="preserve">Zilversmit, M.M. et al., 2010. Low-complexity regions in Plasmodium falciparum: missing links in the evolution of an extreme genome. </w:t>
      </w:r>
      <w:r w:rsidRPr="008509AB">
        <w:rPr>
          <w:rFonts w:ascii="Calibri" w:hAnsi="Calibri"/>
          <w:i/>
          <w:iCs/>
          <w:noProof/>
          <w:sz w:val="22"/>
        </w:rPr>
        <w:t>Molecular biology and evolution</w:t>
      </w:r>
      <w:r w:rsidRPr="008509AB">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8509AB">
      <w:pPr>
        <w:pStyle w:val="NormalWeb"/>
        <w:ind w:left="480" w:hanging="480"/>
        <w:divId w:val="1590233995"/>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3DF" w:rsidRDefault="00E843DF" w:rsidP="008B66D9">
      <w:pPr>
        <w:spacing w:after="0" w:line="240" w:lineRule="auto"/>
      </w:pPr>
      <w:r>
        <w:separator/>
      </w:r>
    </w:p>
  </w:endnote>
  <w:endnote w:type="continuationSeparator" w:id="0">
    <w:p w:rsidR="00E843DF" w:rsidRDefault="00E843DF"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3DF" w:rsidRDefault="00E843DF" w:rsidP="008B66D9">
      <w:pPr>
        <w:spacing w:after="0" w:line="240" w:lineRule="auto"/>
      </w:pPr>
      <w:r>
        <w:separator/>
      </w:r>
    </w:p>
  </w:footnote>
  <w:footnote w:type="continuationSeparator" w:id="0">
    <w:p w:rsidR="00E843DF" w:rsidRDefault="00E843DF" w:rsidP="008B66D9">
      <w:pPr>
        <w:spacing w:after="0" w:line="240" w:lineRule="auto"/>
      </w:pPr>
      <w:r>
        <w:continuationSeparator/>
      </w:r>
    </w:p>
  </w:footnote>
  <w:footnote w:id="1">
    <w:p w:rsidR="008B66D9" w:rsidRDefault="008B66D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@@TODO check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900EE"/>
    <w:rsid w:val="00092516"/>
    <w:rsid w:val="00094913"/>
    <w:rsid w:val="00094D11"/>
    <w:rsid w:val="000C02A8"/>
    <w:rsid w:val="000C3978"/>
    <w:rsid w:val="000C7B24"/>
    <w:rsid w:val="000D1E36"/>
    <w:rsid w:val="000E06C9"/>
    <w:rsid w:val="00107FF0"/>
    <w:rsid w:val="00161CD0"/>
    <w:rsid w:val="00170A38"/>
    <w:rsid w:val="00190747"/>
    <w:rsid w:val="00194EE4"/>
    <w:rsid w:val="001C088D"/>
    <w:rsid w:val="001C1697"/>
    <w:rsid w:val="001C4E6F"/>
    <w:rsid w:val="001C68E4"/>
    <w:rsid w:val="001E1229"/>
    <w:rsid w:val="002105BA"/>
    <w:rsid w:val="00213F97"/>
    <w:rsid w:val="0022383E"/>
    <w:rsid w:val="00225E63"/>
    <w:rsid w:val="00242B17"/>
    <w:rsid w:val="00266665"/>
    <w:rsid w:val="002759C7"/>
    <w:rsid w:val="00293AC3"/>
    <w:rsid w:val="002A031E"/>
    <w:rsid w:val="002A5154"/>
    <w:rsid w:val="002B5CBF"/>
    <w:rsid w:val="002C3E4D"/>
    <w:rsid w:val="002D236F"/>
    <w:rsid w:val="0031069D"/>
    <w:rsid w:val="00316BAD"/>
    <w:rsid w:val="00320409"/>
    <w:rsid w:val="00320E71"/>
    <w:rsid w:val="00334433"/>
    <w:rsid w:val="003567AE"/>
    <w:rsid w:val="0036655D"/>
    <w:rsid w:val="00395FA2"/>
    <w:rsid w:val="003C72B7"/>
    <w:rsid w:val="003D0F25"/>
    <w:rsid w:val="003D1E9D"/>
    <w:rsid w:val="003E6777"/>
    <w:rsid w:val="003F0D40"/>
    <w:rsid w:val="003F1EB5"/>
    <w:rsid w:val="0040749C"/>
    <w:rsid w:val="00414247"/>
    <w:rsid w:val="004177B6"/>
    <w:rsid w:val="004261C2"/>
    <w:rsid w:val="0043059A"/>
    <w:rsid w:val="00436C33"/>
    <w:rsid w:val="004412FA"/>
    <w:rsid w:val="00450E72"/>
    <w:rsid w:val="004531F4"/>
    <w:rsid w:val="004568E5"/>
    <w:rsid w:val="00467EE6"/>
    <w:rsid w:val="00494F68"/>
    <w:rsid w:val="004B714B"/>
    <w:rsid w:val="004C6EBF"/>
    <w:rsid w:val="004C7856"/>
    <w:rsid w:val="00502205"/>
    <w:rsid w:val="00516EE3"/>
    <w:rsid w:val="00523D59"/>
    <w:rsid w:val="00530D8A"/>
    <w:rsid w:val="00530F60"/>
    <w:rsid w:val="00536C74"/>
    <w:rsid w:val="005A3815"/>
    <w:rsid w:val="005B37DB"/>
    <w:rsid w:val="005B671D"/>
    <w:rsid w:val="005D178D"/>
    <w:rsid w:val="005D73F0"/>
    <w:rsid w:val="005E4F41"/>
    <w:rsid w:val="005E5FE9"/>
    <w:rsid w:val="005F7D85"/>
    <w:rsid w:val="005F7DD3"/>
    <w:rsid w:val="00601883"/>
    <w:rsid w:val="00605B08"/>
    <w:rsid w:val="006065AE"/>
    <w:rsid w:val="00607AA0"/>
    <w:rsid w:val="0062071D"/>
    <w:rsid w:val="00622DB4"/>
    <w:rsid w:val="00653393"/>
    <w:rsid w:val="0066222C"/>
    <w:rsid w:val="0066428C"/>
    <w:rsid w:val="006927BD"/>
    <w:rsid w:val="006B37E8"/>
    <w:rsid w:val="006C1DD2"/>
    <w:rsid w:val="006E7EA9"/>
    <w:rsid w:val="0072106A"/>
    <w:rsid w:val="00725338"/>
    <w:rsid w:val="00732DD8"/>
    <w:rsid w:val="00760802"/>
    <w:rsid w:val="0077147F"/>
    <w:rsid w:val="00773905"/>
    <w:rsid w:val="0077582B"/>
    <w:rsid w:val="007827B2"/>
    <w:rsid w:val="00783242"/>
    <w:rsid w:val="00783449"/>
    <w:rsid w:val="007A475F"/>
    <w:rsid w:val="007C6969"/>
    <w:rsid w:val="007E1951"/>
    <w:rsid w:val="008046A2"/>
    <w:rsid w:val="00822F7D"/>
    <w:rsid w:val="00831572"/>
    <w:rsid w:val="008336DB"/>
    <w:rsid w:val="0084749C"/>
    <w:rsid w:val="008509AB"/>
    <w:rsid w:val="008529A0"/>
    <w:rsid w:val="00873E89"/>
    <w:rsid w:val="0088090E"/>
    <w:rsid w:val="008901F1"/>
    <w:rsid w:val="00890734"/>
    <w:rsid w:val="008A5CF4"/>
    <w:rsid w:val="008B66D9"/>
    <w:rsid w:val="008D7DCE"/>
    <w:rsid w:val="008E486C"/>
    <w:rsid w:val="008F4E05"/>
    <w:rsid w:val="00901FE9"/>
    <w:rsid w:val="009044CA"/>
    <w:rsid w:val="00924F7E"/>
    <w:rsid w:val="009255D4"/>
    <w:rsid w:val="00936076"/>
    <w:rsid w:val="00943113"/>
    <w:rsid w:val="009768F2"/>
    <w:rsid w:val="009778CE"/>
    <w:rsid w:val="0098727C"/>
    <w:rsid w:val="00995125"/>
    <w:rsid w:val="009A32D6"/>
    <w:rsid w:val="009C2480"/>
    <w:rsid w:val="009E0D59"/>
    <w:rsid w:val="009E1600"/>
    <w:rsid w:val="009E51A2"/>
    <w:rsid w:val="009E5C7B"/>
    <w:rsid w:val="009F1864"/>
    <w:rsid w:val="00A00035"/>
    <w:rsid w:val="00A12839"/>
    <w:rsid w:val="00A24306"/>
    <w:rsid w:val="00A32224"/>
    <w:rsid w:val="00A42F7A"/>
    <w:rsid w:val="00A44E52"/>
    <w:rsid w:val="00A4677A"/>
    <w:rsid w:val="00A46A4E"/>
    <w:rsid w:val="00A55587"/>
    <w:rsid w:val="00A72CFF"/>
    <w:rsid w:val="00AC67A5"/>
    <w:rsid w:val="00AD509E"/>
    <w:rsid w:val="00AE555C"/>
    <w:rsid w:val="00AF5355"/>
    <w:rsid w:val="00B037B8"/>
    <w:rsid w:val="00B11DF3"/>
    <w:rsid w:val="00B1349E"/>
    <w:rsid w:val="00B1727B"/>
    <w:rsid w:val="00B32D1F"/>
    <w:rsid w:val="00B50155"/>
    <w:rsid w:val="00B537A3"/>
    <w:rsid w:val="00B6677C"/>
    <w:rsid w:val="00BA4DCF"/>
    <w:rsid w:val="00BB0C47"/>
    <w:rsid w:val="00BB10EC"/>
    <w:rsid w:val="00BD7C23"/>
    <w:rsid w:val="00BF518B"/>
    <w:rsid w:val="00BF5714"/>
    <w:rsid w:val="00BF5E5E"/>
    <w:rsid w:val="00C37853"/>
    <w:rsid w:val="00C47636"/>
    <w:rsid w:val="00C51B90"/>
    <w:rsid w:val="00C63023"/>
    <w:rsid w:val="00C73348"/>
    <w:rsid w:val="00C8137E"/>
    <w:rsid w:val="00C81D5D"/>
    <w:rsid w:val="00C82549"/>
    <w:rsid w:val="00C97C07"/>
    <w:rsid w:val="00CB6C32"/>
    <w:rsid w:val="00CC57FE"/>
    <w:rsid w:val="00CD711E"/>
    <w:rsid w:val="00D05581"/>
    <w:rsid w:val="00D14426"/>
    <w:rsid w:val="00D246DE"/>
    <w:rsid w:val="00D329C7"/>
    <w:rsid w:val="00D51DCC"/>
    <w:rsid w:val="00D52B09"/>
    <w:rsid w:val="00D6625D"/>
    <w:rsid w:val="00D70420"/>
    <w:rsid w:val="00D7475C"/>
    <w:rsid w:val="00D96060"/>
    <w:rsid w:val="00DA1B2C"/>
    <w:rsid w:val="00DA3665"/>
    <w:rsid w:val="00DB2FDB"/>
    <w:rsid w:val="00DC41FA"/>
    <w:rsid w:val="00DE05F9"/>
    <w:rsid w:val="00DE0EF1"/>
    <w:rsid w:val="00DE11E6"/>
    <w:rsid w:val="00DE754D"/>
    <w:rsid w:val="00DF2176"/>
    <w:rsid w:val="00DF4B94"/>
    <w:rsid w:val="00DF77B0"/>
    <w:rsid w:val="00E042AF"/>
    <w:rsid w:val="00E1296E"/>
    <w:rsid w:val="00E224EF"/>
    <w:rsid w:val="00E73835"/>
    <w:rsid w:val="00E81244"/>
    <w:rsid w:val="00E843DF"/>
    <w:rsid w:val="00E852B4"/>
    <w:rsid w:val="00EA1963"/>
    <w:rsid w:val="00EA3CED"/>
    <w:rsid w:val="00EB143B"/>
    <w:rsid w:val="00EC2A4A"/>
    <w:rsid w:val="00EC326F"/>
    <w:rsid w:val="00ED0992"/>
    <w:rsid w:val="00EE1931"/>
    <w:rsid w:val="00EE4AC6"/>
    <w:rsid w:val="00EE5A51"/>
    <w:rsid w:val="00EF2C90"/>
    <w:rsid w:val="00F230BE"/>
    <w:rsid w:val="00F428AA"/>
    <w:rsid w:val="00F70B94"/>
    <w:rsid w:val="00F7616C"/>
    <w:rsid w:val="00F803F5"/>
    <w:rsid w:val="00FA6FE6"/>
    <w:rsid w:val="00FB2301"/>
    <w:rsid w:val="00FC41A4"/>
    <w:rsid w:val="00FD7D69"/>
    <w:rsid w:val="00FE0FEE"/>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6CF9F-BCD8-496C-BF51-B1E4DA2D8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21</Pages>
  <Words>38724</Words>
  <Characters>220728</Characters>
  <Application>Microsoft Office Word</Application>
  <DocSecurity>0</DocSecurity>
  <Lines>1839</Lines>
  <Paragraphs>517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258935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117</cp:revision>
  <dcterms:created xsi:type="dcterms:W3CDTF">2014-11-21T18:07:00Z</dcterms:created>
  <dcterms:modified xsi:type="dcterms:W3CDTF">2014-12-15T19:52:00Z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