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9A0" w:rsidRPr="00324626" w:rsidRDefault="00324626" w:rsidP="00324626">
      <w:pPr>
        <w:pStyle w:val="Title"/>
        <w:rPr>
          <w:sz w:val="44"/>
          <w:szCs w:val="44"/>
        </w:rPr>
      </w:pPr>
      <w:r w:rsidRPr="00324626">
        <w:rPr>
          <w:sz w:val="44"/>
          <w:szCs w:val="44"/>
        </w:rPr>
        <w:t xml:space="preserve">Genome variation and meiotic recombination in </w:t>
      </w:r>
      <w:r w:rsidRPr="00324626">
        <w:rPr>
          <w:i/>
          <w:sz w:val="44"/>
          <w:szCs w:val="44"/>
        </w:rPr>
        <w:t>Plasmodium falciparum</w:t>
      </w:r>
      <w:r w:rsidRPr="00324626">
        <w:rPr>
          <w:sz w:val="44"/>
          <w:szCs w:val="44"/>
        </w:rPr>
        <w:t>: insights from deep sequencing of genetic crosses</w:t>
      </w:r>
    </w:p>
    <w:p w:rsidR="00666B61" w:rsidRDefault="00A24306" w:rsidP="00D92607">
      <w:pPr>
        <w:spacing w:line="276" w:lineRule="auto"/>
        <w:rPr>
          <w:vertAlign w:val="superscript"/>
        </w:rPr>
      </w:pPr>
      <w:r w:rsidRPr="00A24306">
        <w:t>Alistair Miles</w:t>
      </w:r>
      <w:bookmarkStart w:id="0" w:name="_Ref407025212"/>
      <w:r w:rsidR="003C55CB">
        <w:rPr>
          <w:rStyle w:val="FootnoteReference"/>
        </w:rPr>
        <w:footnoteReference w:id="1"/>
      </w:r>
      <w:bookmarkEnd w:id="0"/>
      <w:r w:rsidR="003C55CB" w:rsidRPr="003C55CB">
        <w:rPr>
          <w:vertAlign w:val="superscript"/>
        </w:rPr>
        <w:t>,</w:t>
      </w:r>
      <w:bookmarkStart w:id="1" w:name="_Ref407025258"/>
      <w:r w:rsidR="003C55CB">
        <w:rPr>
          <w:rStyle w:val="FootnoteReference"/>
        </w:rPr>
        <w:footnoteReference w:id="2"/>
      </w:r>
      <w:bookmarkEnd w:id="1"/>
      <w:r w:rsidRPr="00A24306">
        <w:t xml:space="preserve">, </w:t>
      </w:r>
      <w:proofErr w:type="spellStart"/>
      <w:r w:rsidRPr="00A24306">
        <w:t>Zamin</w:t>
      </w:r>
      <w:proofErr w:type="spellEnd"/>
      <w:r w:rsidRPr="00A24306">
        <w:t xml:space="preserve"> Iqbal</w:t>
      </w:r>
      <w:r w:rsidR="003C55CB">
        <w:rPr>
          <w:rStyle w:val="FootnoteReference"/>
        </w:rPr>
        <w:footnoteReference w:id="3"/>
      </w:r>
      <w:r w:rsidRPr="00A24306">
        <w:t>, Paul Vauterin</w:t>
      </w:r>
      <w:r w:rsidR="00EA015D" w:rsidRPr="0085327A">
        <w:rPr>
          <w:vertAlign w:val="superscript"/>
        </w:rPr>
        <w:fldChar w:fldCharType="begin"/>
      </w:r>
      <w:r w:rsidR="00EA015D" w:rsidRPr="0085327A">
        <w:rPr>
          <w:vertAlign w:val="superscript"/>
        </w:rPr>
        <w:instrText xml:space="preserve"> NOTEREF _Ref407025212 \h  \* MERGEFORMAT </w:instrText>
      </w:r>
      <w:r w:rsidR="00EA015D" w:rsidRPr="0085327A">
        <w:rPr>
          <w:vertAlign w:val="superscript"/>
        </w:rPr>
      </w:r>
      <w:r w:rsidR="00EA015D" w:rsidRPr="0085327A">
        <w:rPr>
          <w:vertAlign w:val="superscript"/>
        </w:rPr>
        <w:fldChar w:fldCharType="separate"/>
      </w:r>
      <w:r w:rsidR="00EB54BA">
        <w:rPr>
          <w:vertAlign w:val="superscript"/>
        </w:rPr>
        <w:t>1</w:t>
      </w:r>
      <w:r w:rsidR="00EA015D" w:rsidRPr="0085327A">
        <w:rPr>
          <w:vertAlign w:val="superscript"/>
        </w:rPr>
        <w:fldChar w:fldCharType="end"/>
      </w:r>
      <w:r w:rsidR="00CE7736">
        <w:t>,</w:t>
      </w:r>
      <w:r w:rsidRPr="00A24306">
        <w:t xml:space="preserve"> Richard Pearson</w:t>
      </w:r>
      <w:r w:rsidR="005C3FF3">
        <w:rPr>
          <w:vertAlign w:val="superscript"/>
        </w:rPr>
        <w:fldChar w:fldCharType="begin"/>
      </w:r>
      <w:r w:rsidR="00CE7736">
        <w:instrText xml:space="preserve"> NOTEREF _Ref407025212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EB54BA" w:rsidRPr="00EB54BA">
        <w:rPr>
          <w:rStyle w:val="FootnoteReference"/>
        </w:rPr>
        <w:t>1</w:t>
      </w:r>
      <w:r w:rsidR="005C3FF3">
        <w:rPr>
          <w:vertAlign w:val="superscript"/>
        </w:rPr>
        <w:fldChar w:fldCharType="end"/>
      </w:r>
      <w:r w:rsidR="00CE7736">
        <w:rPr>
          <w:vertAlign w:val="superscript"/>
        </w:rPr>
        <w:t>,</w:t>
      </w:r>
      <w:r w:rsidR="005C3FF3">
        <w:rPr>
          <w:vertAlign w:val="superscript"/>
        </w:rPr>
        <w:fldChar w:fldCharType="begin"/>
      </w:r>
      <w:r w:rsidR="00CE7736">
        <w:rPr>
          <w:vertAlign w:val="superscript"/>
        </w:rPr>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EB54BA" w:rsidRPr="00EB54BA">
        <w:rPr>
          <w:rStyle w:val="FootnoteReference"/>
        </w:rPr>
        <w:t>2</w:t>
      </w:r>
      <w:r w:rsidR="005C3FF3">
        <w:rPr>
          <w:vertAlign w:val="superscript"/>
        </w:rPr>
        <w:fldChar w:fldCharType="end"/>
      </w:r>
      <w:r w:rsidRPr="00A24306">
        <w:t>, Susana Campino</w:t>
      </w:r>
      <w:r w:rsidR="005C3FF3">
        <w:fldChar w:fldCharType="begin"/>
      </w:r>
      <w:r w:rsidR="00CE7736">
        <w:instrText xml:space="preserve"> NOTEREF _Ref407025258 \f \h </w:instrText>
      </w:r>
      <w:r w:rsidR="00D92607">
        <w:instrText xml:space="preserve"> \* MERGEFORMAT </w:instrText>
      </w:r>
      <w:r w:rsidR="005C3FF3">
        <w:fldChar w:fldCharType="separate"/>
      </w:r>
      <w:r w:rsidR="00EB54BA" w:rsidRPr="00EB54BA">
        <w:rPr>
          <w:rStyle w:val="FootnoteReference"/>
        </w:rPr>
        <w:t>2</w:t>
      </w:r>
      <w:r w:rsidR="005C3FF3">
        <w:fldChar w:fldCharType="end"/>
      </w:r>
      <w:r w:rsidRPr="00A24306">
        <w:t xml:space="preserve">, </w:t>
      </w:r>
      <w:r w:rsidR="0004180F">
        <w:t>Michel Theron</w:t>
      </w:r>
      <w:r w:rsidR="005C3FF3">
        <w:fldChar w:fldCharType="begin"/>
      </w:r>
      <w:r w:rsidR="00CE7736">
        <w:instrText xml:space="preserve"> NOTEREF _Ref407025258 \f \h </w:instrText>
      </w:r>
      <w:r w:rsidR="00D92607">
        <w:instrText xml:space="preserve"> \* MERGEFORMAT </w:instrText>
      </w:r>
      <w:r w:rsidR="005C3FF3">
        <w:fldChar w:fldCharType="separate"/>
      </w:r>
      <w:r w:rsidR="00EB54BA" w:rsidRPr="00EB54BA">
        <w:rPr>
          <w:rStyle w:val="FootnoteReference"/>
        </w:rPr>
        <w:t>2</w:t>
      </w:r>
      <w:r w:rsidR="005C3FF3">
        <w:fldChar w:fldCharType="end"/>
      </w:r>
      <w:r w:rsidR="0004180F">
        <w:t>, Kelda Gould</w:t>
      </w:r>
      <w:r w:rsidR="005C3FF3">
        <w:rPr>
          <w:vertAlign w:val="superscript"/>
        </w:rPr>
        <w:fldChar w:fldCharType="begin"/>
      </w:r>
      <w:r w:rsidR="00CE7736">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EB54BA" w:rsidRPr="00EB54BA">
        <w:rPr>
          <w:rStyle w:val="FootnoteReference"/>
        </w:rPr>
        <w:t>2</w:t>
      </w:r>
      <w:r w:rsidR="005C3FF3">
        <w:rPr>
          <w:vertAlign w:val="superscript"/>
        </w:rPr>
        <w:fldChar w:fldCharType="end"/>
      </w:r>
      <w:r w:rsidR="0004180F">
        <w:t xml:space="preserve">, </w:t>
      </w:r>
      <w:r w:rsidRPr="00A24306">
        <w:t>Daniel Mead</w:t>
      </w:r>
      <w:r w:rsidR="005C3FF3">
        <w:rPr>
          <w:vertAlign w:val="superscript"/>
        </w:rPr>
        <w:fldChar w:fldCharType="begin"/>
      </w:r>
      <w:r w:rsidR="00CE7736">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EB54BA" w:rsidRPr="00EB54BA">
        <w:rPr>
          <w:rStyle w:val="FootnoteReference"/>
        </w:rPr>
        <w:t>2</w:t>
      </w:r>
      <w:r w:rsidR="005C3FF3">
        <w:rPr>
          <w:vertAlign w:val="superscript"/>
        </w:rPr>
        <w:fldChar w:fldCharType="end"/>
      </w:r>
      <w:r w:rsidRPr="00A24306">
        <w:t>, Eleanor Drury</w:t>
      </w:r>
      <w:r w:rsidR="005C3FF3">
        <w:rPr>
          <w:vertAlign w:val="superscript"/>
        </w:rPr>
        <w:fldChar w:fldCharType="begin"/>
      </w:r>
      <w:r w:rsidR="00CE7736">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EB54BA" w:rsidRPr="00EB54BA">
        <w:rPr>
          <w:rStyle w:val="FootnoteReference"/>
        </w:rPr>
        <w:t>2</w:t>
      </w:r>
      <w:r w:rsidR="005C3FF3">
        <w:rPr>
          <w:vertAlign w:val="superscript"/>
        </w:rPr>
        <w:fldChar w:fldCharType="end"/>
      </w:r>
      <w:r w:rsidRPr="00A24306">
        <w:t xml:space="preserve">, </w:t>
      </w:r>
      <w:r w:rsidR="00395FA2">
        <w:t>John O’Brien</w:t>
      </w:r>
      <w:r w:rsidR="00E13949">
        <w:rPr>
          <w:rStyle w:val="FootnoteReference"/>
        </w:rPr>
        <w:footnoteReference w:id="4"/>
      </w:r>
      <w:r w:rsidR="00395FA2">
        <w:t xml:space="preserve">, Valentin </w:t>
      </w:r>
      <w:proofErr w:type="spellStart"/>
      <w:r w:rsidR="00395FA2">
        <w:t>Ruano</w:t>
      </w:r>
      <w:proofErr w:type="spellEnd"/>
      <w:r w:rsidR="00395FA2">
        <w:t xml:space="preserve"> Rubio</w:t>
      </w:r>
      <w:bookmarkStart w:id="2" w:name="_Ref407025337"/>
      <w:r w:rsidR="00E13949">
        <w:rPr>
          <w:rStyle w:val="FootnoteReference"/>
        </w:rPr>
        <w:footnoteReference w:id="5"/>
      </w:r>
      <w:bookmarkEnd w:id="2"/>
      <w:r w:rsidR="00395FA2">
        <w:t xml:space="preserve">, </w:t>
      </w:r>
      <w:r w:rsidRPr="00A24306">
        <w:t>Bronwyn MacInnis</w:t>
      </w:r>
      <w:r w:rsidR="005C3FF3">
        <w:rPr>
          <w:vertAlign w:val="superscript"/>
        </w:rPr>
        <w:fldChar w:fldCharType="begin"/>
      </w:r>
      <w:r w:rsidR="00630078">
        <w:instrText xml:space="preserve"> NOTEREF _Ref407025337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EB54BA" w:rsidRPr="00EB54BA">
        <w:rPr>
          <w:rStyle w:val="FootnoteReference"/>
        </w:rPr>
        <w:t>5</w:t>
      </w:r>
      <w:r w:rsidR="005C3FF3">
        <w:rPr>
          <w:vertAlign w:val="superscript"/>
        </w:rPr>
        <w:fldChar w:fldCharType="end"/>
      </w:r>
      <w:r w:rsidRPr="00A24306">
        <w:t>,</w:t>
      </w:r>
      <w:r w:rsidR="00BE5D41">
        <w:t xml:space="preserve"> Jonathan </w:t>
      </w:r>
      <w:proofErr w:type="spellStart"/>
      <w:r w:rsidR="00BE5D41">
        <w:t>Mwangi</w:t>
      </w:r>
      <w:proofErr w:type="spellEnd"/>
      <w:r w:rsidR="00BE5D41">
        <w:rPr>
          <w:rStyle w:val="FootnoteReference"/>
        </w:rPr>
        <w:footnoteReference w:id="6"/>
      </w:r>
      <w:r w:rsidR="00BE5D41" w:rsidRPr="00BE5D41">
        <w:rPr>
          <w:vertAlign w:val="superscript"/>
        </w:rPr>
        <w:t>,</w:t>
      </w:r>
      <w:r w:rsidR="00EA015D" w:rsidRPr="0085327A">
        <w:rPr>
          <w:vertAlign w:val="superscript"/>
        </w:rPr>
        <w:fldChar w:fldCharType="begin"/>
      </w:r>
      <w:r w:rsidR="00EA015D" w:rsidRPr="0085327A">
        <w:rPr>
          <w:vertAlign w:val="superscript"/>
        </w:rPr>
        <w:instrText xml:space="preserve"> NOTEREF _Ref417453778 \h  \* MERGEFORMAT </w:instrText>
      </w:r>
      <w:r w:rsidR="00EA015D" w:rsidRPr="0085327A">
        <w:rPr>
          <w:vertAlign w:val="superscript"/>
        </w:rPr>
      </w:r>
      <w:r w:rsidR="00EA015D" w:rsidRPr="0085327A">
        <w:rPr>
          <w:vertAlign w:val="superscript"/>
        </w:rPr>
        <w:fldChar w:fldCharType="separate"/>
      </w:r>
      <w:r w:rsidR="00EB54BA">
        <w:rPr>
          <w:vertAlign w:val="superscript"/>
        </w:rPr>
        <w:t>7</w:t>
      </w:r>
      <w:r w:rsidR="00EA015D" w:rsidRPr="0085327A">
        <w:rPr>
          <w:vertAlign w:val="superscript"/>
        </w:rPr>
        <w:fldChar w:fldCharType="end"/>
      </w:r>
      <w:r w:rsidR="00BE5D41">
        <w:t>,</w:t>
      </w:r>
      <w:r w:rsidRPr="00A24306">
        <w:t xml:space="preserve"> </w:t>
      </w:r>
      <w:proofErr w:type="spellStart"/>
      <w:r w:rsidR="00BE5D41">
        <w:t>Upeka</w:t>
      </w:r>
      <w:proofErr w:type="spellEnd"/>
      <w:r w:rsidR="00BE5D41">
        <w:t xml:space="preserve"> Samarakoon</w:t>
      </w:r>
      <w:r w:rsidR="00EA015D" w:rsidRPr="0085327A">
        <w:rPr>
          <w:vertAlign w:val="superscript"/>
        </w:rPr>
        <w:fldChar w:fldCharType="begin"/>
      </w:r>
      <w:r w:rsidR="00EA015D" w:rsidRPr="0085327A">
        <w:rPr>
          <w:vertAlign w:val="superscript"/>
        </w:rPr>
        <w:instrText xml:space="preserve"> NOTEREF _Ref417453876 \h  \* MERGEFORMAT </w:instrText>
      </w:r>
      <w:r w:rsidR="00EA015D" w:rsidRPr="0085327A">
        <w:rPr>
          <w:vertAlign w:val="superscript"/>
        </w:rPr>
      </w:r>
      <w:r w:rsidR="00EA015D" w:rsidRPr="0085327A">
        <w:rPr>
          <w:vertAlign w:val="superscript"/>
        </w:rPr>
        <w:fldChar w:fldCharType="separate"/>
      </w:r>
      <w:r w:rsidR="00EB54BA">
        <w:rPr>
          <w:vertAlign w:val="superscript"/>
        </w:rPr>
        <w:t>8</w:t>
      </w:r>
      <w:r w:rsidR="00EA015D" w:rsidRPr="0085327A">
        <w:rPr>
          <w:vertAlign w:val="superscript"/>
        </w:rPr>
        <w:fldChar w:fldCharType="end"/>
      </w:r>
      <w:r w:rsidR="00BE5D41">
        <w:t xml:space="preserve">, </w:t>
      </w:r>
      <w:r w:rsidRPr="00A24306">
        <w:t>Lisa Ranford-Cartwright</w:t>
      </w:r>
      <w:bookmarkStart w:id="3" w:name="_Ref417453778"/>
      <w:r w:rsidR="00E13949">
        <w:rPr>
          <w:rStyle w:val="FootnoteReference"/>
        </w:rPr>
        <w:footnoteReference w:id="7"/>
      </w:r>
      <w:bookmarkEnd w:id="3"/>
      <w:r w:rsidRPr="00A24306">
        <w:t xml:space="preserve">, Michael </w:t>
      </w:r>
      <w:proofErr w:type="spellStart"/>
      <w:r w:rsidRPr="00A24306">
        <w:t>Ferdig</w:t>
      </w:r>
      <w:bookmarkStart w:id="4" w:name="_Ref417453876"/>
      <w:proofErr w:type="spellEnd"/>
      <w:r w:rsidR="00E13949">
        <w:rPr>
          <w:rStyle w:val="FootnoteReference"/>
        </w:rPr>
        <w:footnoteReference w:id="8"/>
      </w:r>
      <w:bookmarkEnd w:id="4"/>
      <w:r w:rsidRPr="00A24306">
        <w:t xml:space="preserve">, </w:t>
      </w:r>
      <w:r w:rsidR="00CE7736">
        <w:t>Karen Hayton</w:t>
      </w:r>
      <w:r w:rsidR="005C3FF3">
        <w:fldChar w:fldCharType="begin"/>
      </w:r>
      <w:r w:rsidR="00630078">
        <w:instrText xml:space="preserve"> NOTEREF _Ref407025357 \f \h </w:instrText>
      </w:r>
      <w:r w:rsidR="00D92607">
        <w:instrText xml:space="preserve"> \* MERGEFORMAT </w:instrText>
      </w:r>
      <w:r w:rsidR="005C3FF3">
        <w:fldChar w:fldCharType="separate"/>
      </w:r>
      <w:r w:rsidR="00EB54BA" w:rsidRPr="00EB54BA">
        <w:rPr>
          <w:rStyle w:val="FootnoteReference"/>
        </w:rPr>
        <w:t>9</w:t>
      </w:r>
      <w:r w:rsidR="005C3FF3">
        <w:fldChar w:fldCharType="end"/>
      </w:r>
      <w:r w:rsidR="00CE7736">
        <w:t xml:space="preserve">, </w:t>
      </w:r>
      <w:proofErr w:type="spellStart"/>
      <w:r w:rsidRPr="00A24306">
        <w:t>Xinzhuan</w:t>
      </w:r>
      <w:proofErr w:type="spellEnd"/>
      <w:r w:rsidRPr="00A24306">
        <w:t xml:space="preserve"> Su</w:t>
      </w:r>
      <w:bookmarkStart w:id="5" w:name="_Ref407025357"/>
      <w:r w:rsidR="00CE7736">
        <w:rPr>
          <w:rStyle w:val="FootnoteReference"/>
        </w:rPr>
        <w:footnoteReference w:id="9"/>
      </w:r>
      <w:bookmarkEnd w:id="5"/>
      <w:r w:rsidRPr="00A24306">
        <w:t>, Thomas Wellems</w:t>
      </w:r>
      <w:r w:rsidR="005C3FF3">
        <w:rPr>
          <w:vertAlign w:val="superscript"/>
        </w:rPr>
        <w:fldChar w:fldCharType="begin"/>
      </w:r>
      <w:r w:rsidR="00630078">
        <w:instrText xml:space="preserve"> NOTEREF _Ref407025357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EB54BA" w:rsidRPr="00EB54BA">
        <w:rPr>
          <w:rStyle w:val="FootnoteReference"/>
        </w:rPr>
        <w:t>9</w:t>
      </w:r>
      <w:r w:rsidR="005C3FF3">
        <w:rPr>
          <w:vertAlign w:val="superscript"/>
        </w:rPr>
        <w:fldChar w:fldCharType="end"/>
      </w:r>
      <w:r w:rsidRPr="00A24306">
        <w:t>, Julian Rayner</w:t>
      </w:r>
      <w:r w:rsidR="005C3FF3">
        <w:rPr>
          <w:vertAlign w:val="superscript"/>
        </w:rPr>
        <w:fldChar w:fldCharType="begin"/>
      </w:r>
      <w:r w:rsidR="00630078">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EB54BA" w:rsidRPr="00EB54BA">
        <w:rPr>
          <w:rStyle w:val="FootnoteReference"/>
        </w:rPr>
        <w:t>2</w:t>
      </w:r>
      <w:r w:rsidR="005C3FF3">
        <w:rPr>
          <w:vertAlign w:val="superscript"/>
        </w:rPr>
        <w:fldChar w:fldCharType="end"/>
      </w:r>
      <w:r w:rsidRPr="00A24306">
        <w:t>, Gil McVean</w:t>
      </w:r>
      <w:r w:rsidR="00CE7736" w:rsidRPr="00CE7736">
        <w:rPr>
          <w:vertAlign w:val="superscript"/>
        </w:rPr>
        <w:t>3,</w:t>
      </w:r>
      <w:r w:rsidR="00CE7736">
        <w:rPr>
          <w:rStyle w:val="FootnoteReference"/>
        </w:rPr>
        <w:footnoteReference w:id="10"/>
      </w:r>
      <w:r w:rsidRPr="00A24306">
        <w:t xml:space="preserve"> and Dominic Kwiatkowski</w:t>
      </w:r>
      <w:r w:rsidR="005C3FF3">
        <w:rPr>
          <w:vertAlign w:val="superscript"/>
        </w:rPr>
        <w:fldChar w:fldCharType="begin"/>
      </w:r>
      <w:r w:rsidR="00630078">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EB54BA" w:rsidRPr="00EB54BA">
        <w:rPr>
          <w:rStyle w:val="FootnoteReference"/>
        </w:rPr>
        <w:t>2</w:t>
      </w:r>
      <w:r w:rsidR="005C3FF3">
        <w:rPr>
          <w:vertAlign w:val="superscript"/>
        </w:rPr>
        <w:fldChar w:fldCharType="end"/>
      </w:r>
      <w:r w:rsidR="00630078">
        <w:rPr>
          <w:vertAlign w:val="superscript"/>
        </w:rPr>
        <w:t>,</w:t>
      </w:r>
      <w:r w:rsidR="005C3FF3">
        <w:rPr>
          <w:vertAlign w:val="superscript"/>
        </w:rPr>
        <w:fldChar w:fldCharType="begin"/>
      </w:r>
      <w:r w:rsidR="00630078">
        <w:rPr>
          <w:vertAlign w:val="superscript"/>
        </w:rPr>
        <w:instrText xml:space="preserve"> NOTEREF _Ref407025212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EB54BA" w:rsidRPr="00EB54BA">
        <w:rPr>
          <w:rStyle w:val="FootnoteReference"/>
        </w:rPr>
        <w:t>1</w:t>
      </w:r>
      <w:r w:rsidR="005C3FF3">
        <w:rPr>
          <w:vertAlign w:val="superscript"/>
        </w:rPr>
        <w:fldChar w:fldCharType="end"/>
      </w:r>
    </w:p>
    <w:p w:rsidR="00666B61" w:rsidRDefault="00666B61" w:rsidP="00D92607">
      <w:pPr>
        <w:spacing w:line="276" w:lineRule="auto"/>
        <w:rPr>
          <w:rFonts w:ascii="Verdana" w:hAnsi="Verdana"/>
          <w:color w:val="333333"/>
          <w:sz w:val="18"/>
          <w:szCs w:val="18"/>
          <w:shd w:val="clear" w:color="auto" w:fill="FFFFFF"/>
        </w:rPr>
      </w:pPr>
      <w:r w:rsidRPr="00666B61">
        <w:rPr>
          <w:b/>
        </w:rPr>
        <w:t>Corresponding author:</w:t>
      </w:r>
      <w:r w:rsidR="00F931FB">
        <w:t xml:space="preserve"> </w:t>
      </w:r>
      <w:r w:rsidR="00F931FB">
        <w:br/>
        <w:t>Alistair Miles</w:t>
      </w:r>
      <w:r w:rsidR="00F931FB">
        <w:br/>
      </w:r>
      <w:r>
        <w:t>Wellcome T</w:t>
      </w:r>
      <w:r w:rsidR="00F931FB">
        <w:t>rust Centre for Human Genetics</w:t>
      </w:r>
      <w:r w:rsidR="00F931FB">
        <w:br/>
        <w:t>University of Oxford</w:t>
      </w:r>
      <w:r w:rsidR="00F931FB">
        <w:br/>
        <w:t>Roosevelt Drive</w:t>
      </w:r>
      <w:r w:rsidR="00F931FB">
        <w:br/>
        <w:t>Oxford</w:t>
      </w:r>
      <w:r w:rsidR="00F931FB">
        <w:br/>
        <w:t>OX3 7BN</w:t>
      </w:r>
      <w:r w:rsidR="00F931FB">
        <w:br/>
      </w:r>
      <w:r>
        <w:t>United Kingdom</w:t>
      </w:r>
      <w:r>
        <w:br/>
        <w:t>Tel: +44 (0)1865 287721</w:t>
      </w:r>
      <w:r>
        <w:br/>
        <w:t xml:space="preserve">Fax: +44 (0)1865 </w:t>
      </w:r>
      <w:r>
        <w:rPr>
          <w:rFonts w:ascii="Verdana" w:hAnsi="Verdana"/>
          <w:color w:val="333333"/>
          <w:sz w:val="18"/>
          <w:szCs w:val="18"/>
          <w:shd w:val="clear" w:color="auto" w:fill="FFFFFF"/>
        </w:rPr>
        <w:t>287501</w:t>
      </w:r>
      <w:r>
        <w:rPr>
          <w:rFonts w:ascii="Verdana" w:hAnsi="Verdana"/>
          <w:color w:val="333333"/>
          <w:sz w:val="18"/>
          <w:szCs w:val="18"/>
          <w:shd w:val="clear" w:color="auto" w:fill="FFFFFF"/>
        </w:rPr>
        <w:br/>
        <w:t xml:space="preserve">Email: </w:t>
      </w:r>
      <w:hyperlink r:id="rId8" w:history="1">
        <w:r w:rsidRPr="00423620">
          <w:rPr>
            <w:rStyle w:val="Hyperlink"/>
            <w:rFonts w:ascii="Verdana" w:hAnsi="Verdana"/>
            <w:sz w:val="18"/>
            <w:szCs w:val="18"/>
            <w:shd w:val="clear" w:color="auto" w:fill="FFFFFF"/>
          </w:rPr>
          <w:t>alistair.miles@well.ox.ac.uk</w:t>
        </w:r>
      </w:hyperlink>
    </w:p>
    <w:p w:rsidR="00666B61" w:rsidRDefault="00666B61" w:rsidP="00D92607">
      <w:pPr>
        <w:spacing w:line="276" w:lineRule="auto"/>
        <w:rPr>
          <w:rFonts w:ascii="Verdana" w:hAnsi="Verdana"/>
          <w:color w:val="333333"/>
          <w:sz w:val="18"/>
          <w:szCs w:val="18"/>
          <w:shd w:val="clear" w:color="auto" w:fill="FFFFFF"/>
        </w:rPr>
      </w:pPr>
      <w:r>
        <w:rPr>
          <w:rFonts w:ascii="Verdana" w:hAnsi="Verdana"/>
          <w:b/>
          <w:color w:val="333333"/>
          <w:sz w:val="18"/>
          <w:szCs w:val="18"/>
          <w:shd w:val="clear" w:color="auto" w:fill="FFFFFF"/>
        </w:rPr>
        <w:t xml:space="preserve">Running title: </w:t>
      </w:r>
      <w:r w:rsidR="000E2B62" w:rsidRPr="000E2B62">
        <w:rPr>
          <w:rFonts w:ascii="Verdana" w:hAnsi="Verdana"/>
          <w:color w:val="333333"/>
          <w:sz w:val="18"/>
          <w:szCs w:val="18"/>
          <w:shd w:val="clear" w:color="auto" w:fill="FFFFFF"/>
        </w:rPr>
        <w:t xml:space="preserve">Deep sequencing of </w:t>
      </w:r>
      <w:r w:rsidR="000E2B62" w:rsidRPr="000E2B62">
        <w:rPr>
          <w:rFonts w:ascii="Verdana" w:hAnsi="Verdana"/>
          <w:i/>
          <w:color w:val="333333"/>
          <w:sz w:val="18"/>
          <w:szCs w:val="18"/>
          <w:shd w:val="clear" w:color="auto" w:fill="FFFFFF"/>
        </w:rPr>
        <w:t>P. falciparum</w:t>
      </w:r>
      <w:r w:rsidR="000E2B62" w:rsidRPr="000E2B62">
        <w:rPr>
          <w:rFonts w:ascii="Verdana" w:hAnsi="Verdana"/>
          <w:color w:val="333333"/>
          <w:sz w:val="18"/>
          <w:szCs w:val="18"/>
          <w:shd w:val="clear" w:color="auto" w:fill="FFFFFF"/>
        </w:rPr>
        <w:t xml:space="preserve"> crosses</w:t>
      </w:r>
    </w:p>
    <w:p w:rsidR="000E2B62" w:rsidRPr="000E2B62" w:rsidRDefault="000E2B62" w:rsidP="00D92607">
      <w:pPr>
        <w:spacing w:line="276" w:lineRule="auto"/>
      </w:pPr>
      <w:r>
        <w:rPr>
          <w:rFonts w:ascii="Verdana" w:hAnsi="Verdana"/>
          <w:b/>
          <w:color w:val="333333"/>
          <w:sz w:val="18"/>
          <w:szCs w:val="18"/>
          <w:shd w:val="clear" w:color="auto" w:fill="FFFFFF"/>
        </w:rPr>
        <w:t>Keywords:</w:t>
      </w:r>
      <w:r>
        <w:rPr>
          <w:rFonts w:ascii="Verdana" w:hAnsi="Verdana"/>
          <w:color w:val="333333"/>
          <w:sz w:val="18"/>
          <w:szCs w:val="18"/>
          <w:shd w:val="clear" w:color="auto" w:fill="FFFFFF"/>
        </w:rPr>
        <w:t xml:space="preserve"> </w:t>
      </w:r>
      <w:r w:rsidR="00081BCE">
        <w:rPr>
          <w:rFonts w:ascii="Verdana" w:hAnsi="Verdana"/>
          <w:color w:val="333333"/>
          <w:sz w:val="18"/>
          <w:szCs w:val="18"/>
          <w:shd w:val="clear" w:color="auto" w:fill="FFFFFF"/>
        </w:rPr>
        <w:t>malaria; plasmodium falciparum;</w:t>
      </w:r>
      <w:r>
        <w:rPr>
          <w:rFonts w:ascii="Verdana" w:hAnsi="Verdana"/>
          <w:color w:val="333333"/>
          <w:sz w:val="18"/>
          <w:szCs w:val="18"/>
          <w:shd w:val="clear" w:color="auto" w:fill="FFFFFF"/>
        </w:rPr>
        <w:t xml:space="preserve"> </w:t>
      </w:r>
      <w:r w:rsidR="00081BCE">
        <w:rPr>
          <w:rFonts w:ascii="Verdana" w:hAnsi="Verdana"/>
          <w:color w:val="333333"/>
          <w:sz w:val="18"/>
          <w:szCs w:val="18"/>
          <w:shd w:val="clear" w:color="auto" w:fill="FFFFFF"/>
        </w:rPr>
        <w:t>next-generation sequencing; genome variation;</w:t>
      </w:r>
      <w:r>
        <w:rPr>
          <w:rFonts w:ascii="Verdana" w:hAnsi="Verdana"/>
          <w:color w:val="333333"/>
          <w:sz w:val="18"/>
          <w:szCs w:val="18"/>
          <w:shd w:val="clear" w:color="auto" w:fill="FFFFFF"/>
        </w:rPr>
        <w:t xml:space="preserve"> INDEL variation</w:t>
      </w:r>
      <w:r w:rsidR="00081BCE">
        <w:rPr>
          <w:rFonts w:ascii="Verdana" w:hAnsi="Verdana"/>
          <w:color w:val="333333"/>
          <w:sz w:val="18"/>
          <w:szCs w:val="18"/>
          <w:shd w:val="clear" w:color="auto" w:fill="FFFFFF"/>
        </w:rPr>
        <w:t>;</w:t>
      </w:r>
      <w:r>
        <w:rPr>
          <w:rFonts w:ascii="Verdana" w:hAnsi="Verdana"/>
          <w:color w:val="333333"/>
          <w:sz w:val="18"/>
          <w:szCs w:val="18"/>
          <w:shd w:val="clear" w:color="auto" w:fill="FFFFFF"/>
        </w:rPr>
        <w:t xml:space="preserve"> </w:t>
      </w:r>
      <w:r w:rsidR="00716BD6">
        <w:rPr>
          <w:rFonts w:ascii="Verdana" w:hAnsi="Verdana"/>
          <w:color w:val="333333"/>
          <w:sz w:val="18"/>
          <w:szCs w:val="18"/>
          <w:shd w:val="clear" w:color="auto" w:fill="FFFFFF"/>
        </w:rPr>
        <w:t xml:space="preserve">complex variation; </w:t>
      </w:r>
      <w:r w:rsidR="00081BCE">
        <w:rPr>
          <w:rFonts w:ascii="Verdana" w:hAnsi="Verdana"/>
          <w:color w:val="333333"/>
          <w:sz w:val="18"/>
          <w:szCs w:val="18"/>
          <w:shd w:val="clear" w:color="auto" w:fill="FFFFFF"/>
        </w:rPr>
        <w:t>meiotic recombination;</w:t>
      </w:r>
      <w:r>
        <w:rPr>
          <w:rFonts w:ascii="Verdana" w:hAnsi="Verdana"/>
          <w:color w:val="333333"/>
          <w:sz w:val="18"/>
          <w:szCs w:val="18"/>
          <w:shd w:val="clear" w:color="auto" w:fill="FFFFFF"/>
        </w:rPr>
        <w:t xml:space="preserve"> gene conversion</w:t>
      </w:r>
      <w:r w:rsidR="00081BCE">
        <w:rPr>
          <w:rFonts w:ascii="Verdana" w:hAnsi="Verdana"/>
          <w:color w:val="333333"/>
          <w:sz w:val="18"/>
          <w:szCs w:val="18"/>
          <w:shd w:val="clear" w:color="auto" w:fill="FFFFFF"/>
        </w:rPr>
        <w:t>; copy number variation;</w:t>
      </w:r>
      <w:r>
        <w:rPr>
          <w:rFonts w:ascii="Verdana" w:hAnsi="Verdana"/>
          <w:color w:val="333333"/>
          <w:sz w:val="18"/>
          <w:szCs w:val="18"/>
          <w:shd w:val="clear" w:color="auto" w:fill="FFFFFF"/>
        </w:rPr>
        <w:t xml:space="preserve"> d</w:t>
      </w:r>
      <w:r w:rsidR="00081BCE">
        <w:rPr>
          <w:rFonts w:ascii="Verdana" w:hAnsi="Verdana"/>
          <w:color w:val="333333"/>
          <w:sz w:val="18"/>
          <w:szCs w:val="18"/>
          <w:shd w:val="clear" w:color="auto" w:fill="FFFFFF"/>
        </w:rPr>
        <w:t>rug resistance</w:t>
      </w:r>
      <w:r>
        <w:rPr>
          <w:rFonts w:ascii="Verdana" w:hAnsi="Verdana"/>
          <w:color w:val="333333"/>
          <w:sz w:val="18"/>
          <w:szCs w:val="18"/>
          <w:shd w:val="clear" w:color="auto" w:fill="FFFFFF"/>
        </w:rPr>
        <w:t xml:space="preserve">  </w:t>
      </w:r>
    </w:p>
    <w:p w:rsidR="00666B61" w:rsidRDefault="00666B61" w:rsidP="00D92607">
      <w:pPr>
        <w:spacing w:line="276" w:lineRule="auto"/>
        <w:rPr>
          <w:vertAlign w:val="superscript"/>
        </w:rPr>
      </w:pPr>
      <w:r>
        <w:rPr>
          <w:vertAlign w:val="superscript"/>
        </w:rPr>
        <w:br w:type="page"/>
      </w:r>
    </w:p>
    <w:p w:rsidR="00A24306" w:rsidRDefault="00A24306" w:rsidP="00D92607">
      <w:pPr>
        <w:pStyle w:val="Heading1"/>
        <w:spacing w:line="480" w:lineRule="auto"/>
      </w:pPr>
      <w:r>
        <w:lastRenderedPageBreak/>
        <w:t>Abstract</w:t>
      </w:r>
    </w:p>
    <w:p w:rsidR="001F20D6" w:rsidRPr="001F20D6" w:rsidRDefault="00324626" w:rsidP="001F20D6">
      <w:pPr>
        <w:spacing w:line="480" w:lineRule="auto"/>
      </w:pPr>
      <w:r>
        <w:t xml:space="preserve">The malaria parasite </w:t>
      </w:r>
      <w:r>
        <w:rPr>
          <w:i/>
        </w:rPr>
        <w:t>Plasmodium falciparum</w:t>
      </w:r>
      <w:r>
        <w:t xml:space="preserve"> has a great capacity for evolutionary adaptation to evade host immunity and develop drug resistance. Current understanding of parasite </w:t>
      </w:r>
      <w:r w:rsidR="00890062">
        <w:t xml:space="preserve">evolution </w:t>
      </w:r>
      <w:r>
        <w:t xml:space="preserve">is impeded by the fact that a large fraction of the genome is either highly repetitive or highly variable, and thus difficult to analyse using short read technologies. Here we describe a resource of deep sequencing data on parents and progeny from genetic crosses, which has enabled us to perform the first </w:t>
      </w:r>
      <w:r w:rsidR="003C347F">
        <w:t>genome-wide, integrated</w:t>
      </w:r>
      <w:r>
        <w:t xml:space="preserve"> analysis of SNP, INDEL and complex polymorphisms</w:t>
      </w:r>
      <w:r w:rsidR="003C347F">
        <w:t>,</w:t>
      </w:r>
      <w:r>
        <w:t xml:space="preserve"> using Mendelian error rates as an indicator of genotypic a</w:t>
      </w:r>
      <w:r w:rsidR="003C347F">
        <w:t xml:space="preserve">ccuracy. These data reveal that </w:t>
      </w:r>
      <w:r>
        <w:t>INDELs are exceptionally abundant</w:t>
      </w:r>
      <w:r w:rsidR="003C347F">
        <w:t>, being more common than SNPs</w:t>
      </w:r>
      <w:r>
        <w:t xml:space="preserve"> and </w:t>
      </w:r>
      <w:r w:rsidR="003C347F">
        <w:t xml:space="preserve">thus </w:t>
      </w:r>
      <w:r>
        <w:t xml:space="preserve">the dominant mode of polymorphism within the core genome. We </w:t>
      </w:r>
      <w:r w:rsidR="003C347F">
        <w:t xml:space="preserve">use the high density of SNP and INDEL markers to analyse patterns </w:t>
      </w:r>
      <w:r w:rsidR="005F02B9">
        <w:t>of meiotic recombination</w:t>
      </w:r>
      <w:r w:rsidR="00084E8A">
        <w:t>, confirming a high rate of crossover events</w:t>
      </w:r>
      <w:r w:rsidR="001F20D6">
        <w:t>,</w:t>
      </w:r>
      <w:r w:rsidR="00084E8A">
        <w:t xml:space="preserve"> </w:t>
      </w:r>
      <w:r w:rsidR="001F20D6">
        <w:t>and providing</w:t>
      </w:r>
      <w:r w:rsidR="003C347F">
        <w:t xml:space="preserve"> </w:t>
      </w:r>
      <w:r w:rsidR="001F20D6">
        <w:t xml:space="preserve">the first </w:t>
      </w:r>
      <w:r w:rsidR="003C347F">
        <w:t xml:space="preserve">estimates for the </w:t>
      </w:r>
      <w:r w:rsidR="001F20D6">
        <w:t xml:space="preserve">rate of </w:t>
      </w:r>
      <w:r>
        <w:t>non-crossover events</w:t>
      </w:r>
      <w:r w:rsidR="001F20D6">
        <w:t xml:space="preserve"> and the length of conversion tracts</w:t>
      </w:r>
      <w:r w:rsidR="005F02B9">
        <w:t>. W</w:t>
      </w:r>
      <w:r>
        <w:t xml:space="preserve">e </w:t>
      </w:r>
      <w:r w:rsidR="001F20D6">
        <w:t>observe</w:t>
      </w:r>
      <w:r>
        <w:t xml:space="preserve"> several instances of recombination that modify copy number variants associated with drug resistance</w:t>
      </w:r>
      <w:r w:rsidR="005F02B9">
        <w:t>, demonstrating a mechanism whereby fitness costs associated with resistance mutations could be compensated and greater phenotypic plasticity could be acquired</w:t>
      </w:r>
      <w:r>
        <w:t xml:space="preserve">. We describe a novel web application that allows these </w:t>
      </w:r>
      <w:r w:rsidR="005F02B9">
        <w:t>data to be explored in detail.</w:t>
      </w:r>
      <w:r w:rsidR="001F20D6">
        <w:rPr>
          <w:rFonts w:asciiTheme="majorHAnsi" w:eastAsiaTheme="majorEastAsia" w:hAnsiTheme="majorHAnsi" w:cstheme="majorBidi"/>
          <w:b/>
          <w:bCs/>
          <w:color w:val="365F91" w:themeColor="accent1" w:themeShade="BF"/>
          <w:sz w:val="28"/>
          <w:szCs w:val="28"/>
        </w:rPr>
        <w:br w:type="page"/>
      </w:r>
    </w:p>
    <w:p w:rsidR="00436C33" w:rsidRDefault="00436C33" w:rsidP="00D92607">
      <w:pPr>
        <w:pStyle w:val="Heading1"/>
        <w:spacing w:line="480" w:lineRule="auto"/>
      </w:pPr>
      <w:r>
        <w:lastRenderedPageBreak/>
        <w:t>Introduction</w:t>
      </w:r>
    </w:p>
    <w:p w:rsidR="00B2594B" w:rsidRDefault="00C37853" w:rsidP="00D92607">
      <w:pPr>
        <w:spacing w:line="480" w:lineRule="auto"/>
      </w:pPr>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5C3FF3">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5C3FF3">
        <w:fldChar w:fldCharType="separate"/>
      </w:r>
      <w:r w:rsidR="00194EE4" w:rsidRPr="00194EE4">
        <w:rPr>
          <w:noProof/>
        </w:rPr>
        <w:t>(Ashley et al. 2014)</w:t>
      </w:r>
      <w:r w:rsidR="005C3FF3">
        <w:fldChar w:fldCharType="end"/>
      </w:r>
      <w:r>
        <w:t>.</w:t>
      </w:r>
      <w:r w:rsidR="0031069D">
        <w:t xml:space="preserve"> </w:t>
      </w:r>
    </w:p>
    <w:p w:rsidR="00890062" w:rsidRDefault="0031069D" w:rsidP="00D92607">
      <w:pPr>
        <w:spacing w:line="480" w:lineRule="auto"/>
      </w:pPr>
      <w:r>
        <w:t xml:space="preserve">High throughput sequencing is a proven technology for the study of genome variation in </w:t>
      </w:r>
      <w:r w:rsidRPr="0031069D">
        <w:rPr>
          <w:i/>
        </w:rPr>
        <w:t>P. falciparum</w:t>
      </w:r>
      <w:r w:rsidR="0066222C">
        <w:t xml:space="preserve"> and has yielded insights into</w:t>
      </w:r>
      <w:r>
        <w:t xml:space="preserve"> </w:t>
      </w:r>
      <w:r w:rsidR="0066222C">
        <w:t xml:space="preserve">natural patterns of variation and population structure </w:t>
      </w:r>
      <w:r w:rsidR="005C3FF3">
        <w:fldChar w:fldCharType="begin" w:fldLock="1"/>
      </w:r>
      <w:r w:rsidR="00EE1931">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5C3FF3">
        <w:fldChar w:fldCharType="separate"/>
      </w:r>
      <w:r w:rsidR="00CB6C32" w:rsidRPr="00CB6C32">
        <w:rPr>
          <w:noProof/>
        </w:rPr>
        <w:t>(Manske</w:t>
      </w:r>
      <w:r w:rsidR="00DB2FDB">
        <w:rPr>
          <w:noProof/>
        </w:rPr>
        <w:t>, Miotto</w:t>
      </w:r>
      <w:r w:rsidR="00CB6C32" w:rsidRPr="00CB6C32">
        <w:rPr>
          <w:noProof/>
        </w:rPr>
        <w:t xml:space="preserve"> et al., 2012; Miotto et al., 2013)</w:t>
      </w:r>
      <w:r w:rsidR="005C3FF3">
        <w:fldChar w:fldCharType="end"/>
      </w:r>
      <w:r w:rsidR="0066222C">
        <w:t xml:space="preserve">, </w:t>
      </w:r>
      <w:r w:rsidR="00DB2FDB">
        <w:t xml:space="preserve">the generation of antigenic diversity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DB2FDB">
        <w:t xml:space="preserve"> and </w:t>
      </w:r>
      <w:r w:rsidR="0066222C">
        <w:t xml:space="preserve">the genetic basis for artemisinin resistance </w:t>
      </w:r>
      <w:r w:rsidR="005C3FF3">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5C3FF3">
        <w:fldChar w:fldCharType="separate"/>
      </w:r>
      <w:r w:rsidR="00194EE4" w:rsidRPr="00194EE4">
        <w:rPr>
          <w:noProof/>
        </w:rPr>
        <w:t>(Ariey et al. 2014)</w:t>
      </w:r>
      <w:r w:rsidR="005C3FF3">
        <w:fldChar w:fldCharType="end"/>
      </w:r>
      <w:r w:rsidR="0066222C">
        <w:t xml:space="preserve">. </w:t>
      </w:r>
      <w:r w:rsidR="00890062">
        <w:t xml:space="preserve">Despite these recent advances, our current understanding of </w:t>
      </w:r>
      <w:r w:rsidR="00890062" w:rsidRPr="00B2594B">
        <w:rPr>
          <w:i/>
        </w:rPr>
        <w:t>P. falciparum</w:t>
      </w:r>
      <w:r w:rsidR="00890062">
        <w:t xml:space="preserve"> genome variation remains incomplete due to </w:t>
      </w:r>
      <w:r w:rsidR="002B4174">
        <w:t xml:space="preserve">multiple </w:t>
      </w:r>
      <w:r w:rsidR="00890062">
        <w:t xml:space="preserve">factors that are challenging both for the sequencing technology and for the analytical methods used for variant discovery and genotyping. </w:t>
      </w:r>
      <w:r w:rsidR="00D52B09">
        <w:t>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194EE4" w:rsidRPr="00194EE4">
        <w:rPr>
          <w:noProof/>
        </w:rPr>
        <w:t>(Gardner et al. 2002)</w:t>
      </w:r>
      <w:r w:rsidR="005C3FF3">
        <w:fldChar w:fldCharType="end"/>
      </w:r>
      <w:r w:rsidR="0066222C">
        <w:t xml:space="preserve">. </w:t>
      </w:r>
      <w:r w:rsidR="00890062">
        <w:t>As a result, many regions of the parasite genome are highly repetitive, with short tandem repeats and other low</w:t>
      </w:r>
      <w:r w:rsidR="00D6625D">
        <w:t xml:space="preserve"> complexity sequences </w:t>
      </w:r>
      <w:r w:rsidR="00DE11E6">
        <w:t>unusually</w:t>
      </w:r>
      <w:r w:rsidR="0066222C">
        <w:t xml:space="preserve"> abundant in both coding and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&amp; Goldberg 2013; DePristo et al. 2006)", "plainTextFormattedCitation" : "(Gardner et al. 2002; Zilversmit et al. 2010; Muralidharan &amp;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5C3FF3">
        <w:fldChar w:fldCharType="separate"/>
      </w:r>
      <w:r w:rsidR="00194EE4" w:rsidRPr="00194EE4">
        <w:rPr>
          <w:noProof/>
        </w:rPr>
        <w:t>(Gardner et al. 2002; Zilversmit et al. 2010; Muralidharan &amp; Goldberg 2013; DePristo et al. 2006)</w:t>
      </w:r>
      <w:r w:rsidR="005C3FF3">
        <w:fldChar w:fldCharType="end"/>
      </w:r>
      <w:r w:rsidR="0066222C">
        <w:t xml:space="preserve">. </w:t>
      </w:r>
      <w:r w:rsidR="00B2594B">
        <w:t xml:space="preserve">Another </w:t>
      </w:r>
      <w:r w:rsidR="002B4174">
        <w:t>difficulty</w:t>
      </w:r>
      <w:r w:rsidR="00890062">
        <w:t xml:space="preserve"> is that parasite genes encoding antigenic targets of the host immune system tend to exhibit very high levels of diversity, such that individual alleles are typically highly diverged from the reference sequence. An extreme example of this phenomenon is the multi-copy </w:t>
      </w:r>
      <w:proofErr w:type="spellStart"/>
      <w:r w:rsidR="00890062">
        <w:rPr>
          <w:i/>
        </w:rPr>
        <w:t>var</w:t>
      </w:r>
      <w:proofErr w:type="spellEnd"/>
      <w:r w:rsidR="00890062">
        <w:t xml:space="preserve"> gene family encoding erythrocyte surface antigens which can diversify within the course of a single infection by non-allelic recombination</w:t>
      </w:r>
      <w:r w:rsidR="004531F4">
        <w:t xml:space="preserve">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5C3FF3">
        <w:fldChar w:fldCharType="separate"/>
      </w:r>
      <w:r w:rsidR="00486677" w:rsidRPr="00486677">
        <w:rPr>
          <w:noProof/>
        </w:rPr>
        <w:t>(Bopp et al. 2013; Freitas-Junior et al. 2000; Claessens et al. 2014)</w:t>
      </w:r>
      <w:r w:rsidR="005C3FF3">
        <w:fldChar w:fldCharType="end"/>
      </w:r>
      <w:r w:rsidR="00890062">
        <w:t>.</w:t>
      </w:r>
    </w:p>
    <w:p w:rsidR="00B1727B" w:rsidRDefault="00890062" w:rsidP="00D92607">
      <w:pPr>
        <w:spacing w:line="480" w:lineRule="auto"/>
      </w:pPr>
      <w:r>
        <w:t xml:space="preserve">These factors </w:t>
      </w:r>
      <w:r w:rsidR="007D200B">
        <w:t>have limited progress and there are a number of current knowledge gaps.</w:t>
      </w:r>
      <w:r w:rsidR="000F2C02">
        <w:t xml:space="preserve"> </w:t>
      </w:r>
      <w:r w:rsidR="007D200B">
        <w:t>T</w:t>
      </w:r>
      <w:r w:rsidR="000F2C02">
        <w:t xml:space="preserve">here has been no comprehensive survey of insertion/deletion (INDEL) variation in </w:t>
      </w:r>
      <w:r w:rsidR="000F2C02" w:rsidRPr="000F2C02">
        <w:rPr>
          <w:i/>
        </w:rPr>
        <w:t>P. falciparum</w:t>
      </w:r>
      <w:r w:rsidR="000F2C02">
        <w:t xml:space="preserve">, although there is evidence that INDELs may be unusually abundant </w:t>
      </w:r>
      <w:r w:rsidR="000F2C02">
        <w:fldChar w:fldCharType="begin" w:fldLock="1"/>
      </w:r>
      <w:r w:rsidR="000F2C02">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&amp; Golding 2011; Tan et al. 2010)", "plainTextFormattedCitation" : "(Jeffares et al. 2007; Haerty &amp; Golding 2011; Tan et al. 2010)", "previouslyFormattedCitation" : "(Jeffares et al. 2007; Haerty &amp; Golding 2011; Tan et al. 2010)" }, "properties" : { "noteIndex" : 0 }, "schema" : "https://github.com/citation-style-language/schema/raw/master/csl-citation.json" }</w:instrText>
      </w:r>
      <w:r w:rsidR="000F2C02">
        <w:fldChar w:fldCharType="separate"/>
      </w:r>
      <w:r w:rsidR="000F2C02" w:rsidRPr="00194EE4">
        <w:rPr>
          <w:noProof/>
        </w:rPr>
        <w:t xml:space="preserve">(Jeffares et al. 2007; Haerty &amp; Golding </w:t>
      </w:r>
      <w:r w:rsidR="000F2C02" w:rsidRPr="00194EE4">
        <w:rPr>
          <w:noProof/>
        </w:rPr>
        <w:lastRenderedPageBreak/>
        <w:t>2011; Tan et al. 2010)</w:t>
      </w:r>
      <w:r w:rsidR="000F2C02">
        <w:fldChar w:fldCharType="end"/>
      </w:r>
      <w:r w:rsidR="000F2C02">
        <w:t>.</w:t>
      </w:r>
      <w:r w:rsidR="00530F60">
        <w:t xml:space="preserve"> </w:t>
      </w:r>
      <w:r w:rsidR="003D7F87">
        <w:t>Little</w:t>
      </w:r>
      <w:r w:rsidR="00B1727B">
        <w:t xml:space="preserve"> is known about variation in non-coding regions, which could have a significant impact on </w:t>
      </w:r>
      <w:r w:rsidR="00BF5E5E">
        <w:t xml:space="preserve">phenotype by regulating </w:t>
      </w:r>
      <w:r w:rsidR="00B1727B">
        <w:t>gene expression</w:t>
      </w:r>
      <w:r w:rsidR="008F4EA1">
        <w:t xml:space="preserve"> </w:t>
      </w:r>
      <w:r w:rsidR="005C3FF3">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5C3FF3">
        <w:fldChar w:fldCharType="separate"/>
      </w:r>
      <w:r w:rsidR="00123EBE" w:rsidRPr="00123EBE">
        <w:rPr>
          <w:noProof/>
        </w:rPr>
        <w:t>(Mok et al. 2014; Gonzales et al. 2008)</w:t>
      </w:r>
      <w:r w:rsidR="005C3FF3">
        <w:fldChar w:fldCharType="end"/>
      </w:r>
      <w:r w:rsidR="00B1727B">
        <w:t xml:space="preserve">. 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985FFB">
        <w:rPr>
          <w:i/>
        </w:rPr>
        <w:t xml:space="preserve"> </w:t>
      </w:r>
      <w:r w:rsidR="00716BD6">
        <w:fldChar w:fldCharType="begin" w:fldLock="1"/>
      </w:r>
      <w:r w:rsidR="00716BD6">
        <w:instrText>ADDIN CSL_CITATION { "citationItems" : [ { "id" : "ITEM-1", "itemData" : { "DOI" : "10.1038/sj.hdy.6800887", "ISSN" : "1365-2540", "PMID" : "17021615", "abstract" : "The extensive sequence variation in most surface antigens of Plasmodium falciparum is one of the major factors why clinical immunity to malaria develops only after repeated infections with the same species over several years. For some P. falciparum surface antigens, all observed alleles clearly fall into two allelic classes, with divergence between classes dwarfing divergence within classes. We discuss the ways in which such allelic dimorphism deviates from the expected shape of the genealogy of genes under either neutral evolution or standard balancing selection, and present a simple test, based on coalescent theory, to detect this deviation in samples of DNA sequences. We review previous hypotheses for the origin and evolution of allelic dimorphism in malarial antigens and discuss the difficulties of explaining the available data under these proposals. We conclude by offering several possible classes of explanations for allelic dimorphism, which are worthy of further theoretical and empirical exploration.", "author" : [ { "dropping-particle" : "", "family" : "Roy", "given" : "S W", "non-dropping-particle" : "", "parse-names" : false, "suffix" : "" }, { "dropping-particle" : "", "family" : "Ferreira", "given" : "M U", "non-dropping-particle" : "", "parse-names" : false, "suffix" : "" }, { "dropping-particle" : "", "family" : "Hartl", "given" : "D L", "non-dropping-particle" : "", "parse-names" : false, "suffix" : "" } ], "container-title" : "Heredity", "id" : "ITEM-1", "issue" : "2", "issued" : { "date-parts" : [ [ "2008", "2" ] ] }, "page" : "103-10", "title" : "Evolution of allelic dimorphism in malarial surface antigens.", "type" : "article-journal", "volume" : "100" }, "uris" : [ "http://www.mendeley.com/documents/?uuid=e8e51b7d-3709-4fe9-b23a-7e0c696723d6" ] } ], "mendeley" : { "formattedCitation" : "(Roy et al. 2008)", "plainTextFormattedCitation" : "(Roy et al. 2008)" }, "properties" : { "noteIndex" : 0 }, "schema" : "https://github.com/citation-style-language/schema/raw/master/csl-citation.json" }</w:instrText>
      </w:r>
      <w:r w:rsidR="00716BD6">
        <w:fldChar w:fldCharType="separate"/>
      </w:r>
      <w:r w:rsidR="00716BD6" w:rsidRPr="00716BD6">
        <w:rPr>
          <w:noProof/>
        </w:rPr>
        <w:t>(Roy et al. 2008)</w:t>
      </w:r>
      <w:r w:rsidR="00716BD6">
        <w:fldChar w:fldCharType="end"/>
      </w:r>
      <w:r w:rsidR="00B1727B">
        <w:t>.</w:t>
      </w:r>
    </w:p>
    <w:p w:rsidR="0048460E" w:rsidRDefault="000F2C02" w:rsidP="00D92607">
      <w:pPr>
        <w:spacing w:line="480" w:lineRule="auto"/>
      </w:pPr>
      <w:r>
        <w:t>A critical step in overcoming these obstacles is to have a reliable, empirical indicator of genotyping error</w:t>
      </w:r>
      <w:r w:rsidR="0048460E">
        <w:t>, which allows different genotyping methods to be calibrated and compared</w:t>
      </w:r>
      <w:r>
        <w:t>.</w:t>
      </w:r>
      <w:r w:rsidR="0048460E">
        <w:t xml:space="preserve"> </w:t>
      </w:r>
      <w:r w:rsidR="00523D59">
        <w:t xml:space="preserve">There are many </w:t>
      </w:r>
      <w:r w:rsidR="00C8137E">
        <w:t>potential sources of error</w:t>
      </w:r>
      <w:r w:rsidR="00523D59">
        <w:t xml:space="preserve"> in the process </w:t>
      </w:r>
      <w:r w:rsidR="00094D11">
        <w:t xml:space="preserve">of high throughput sequencing and </w:t>
      </w:r>
      <w:r w:rsidR="00523D59">
        <w:t xml:space="preserve">variant calling </w:t>
      </w:r>
      <w:r w:rsidR="005C3FF3">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5C3FF3">
        <w:fldChar w:fldCharType="separate"/>
      </w:r>
      <w:r w:rsidR="00194EE4" w:rsidRPr="00194EE4">
        <w:rPr>
          <w:noProof/>
        </w:rPr>
        <w:t>(Robasky et al. 2014)</w:t>
      </w:r>
      <w:r w:rsidR="005C3FF3">
        <w:fldChar w:fldCharType="end"/>
      </w:r>
      <w:r w:rsidR="0048460E">
        <w:t xml:space="preserve"> and different analytical methods may have different strengths and weaknesses</w:t>
      </w:r>
      <w:r w:rsidR="00523D59">
        <w:t>.</w:t>
      </w:r>
      <w:r w:rsidR="0048460E">
        <w:t xml:space="preserve"> A </w:t>
      </w:r>
      <w:r w:rsidR="007D200B">
        <w:t xml:space="preserve">proven </w:t>
      </w:r>
      <w:r w:rsidR="0048460E">
        <w:t xml:space="preserve">approach is to sequence multiple individuals belonging to a pedigree and to identify genotype calls that are in violation of Mendelian inheritance. A small number of Mendelian inconsistencies are expected due to </w:t>
      </w:r>
      <w:r w:rsidR="0048460E" w:rsidRPr="0048460E">
        <w:rPr>
          <w:i/>
        </w:rPr>
        <w:t>de novo</w:t>
      </w:r>
      <w:r w:rsidR="0048460E">
        <w:t xml:space="preserve"> mutation, but the observation of many inconsistencies is a strong indicator of genotyping error. Mendelian errors can thus be used to calibrate methods and filter data </w:t>
      </w:r>
      <w:r w:rsidR="005C3FF3">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5C3FF3">
        <w:fldChar w:fldCharType="separate"/>
      </w:r>
      <w:r w:rsidR="00194EE4" w:rsidRPr="00194EE4">
        <w:rPr>
          <w:noProof/>
        </w:rPr>
        <w:t>(Saunders et al. 2007)</w:t>
      </w:r>
      <w:r w:rsidR="005C3FF3">
        <w:fldChar w:fldCharType="end"/>
      </w:r>
      <w:r w:rsidR="001C088D">
        <w:t>.</w:t>
      </w:r>
    </w:p>
    <w:p w:rsidR="0048460E" w:rsidRDefault="0048460E" w:rsidP="00D92607">
      <w:pPr>
        <w:spacing w:line="480" w:lineRule="auto"/>
      </w:pPr>
      <w:r>
        <w:t xml:space="preserve">Here we report </w:t>
      </w:r>
      <w:r w:rsidR="00D1140B">
        <w:t xml:space="preserve">an analysis of </w:t>
      </w:r>
      <w:r w:rsidR="00D1140B" w:rsidRPr="00D1140B">
        <w:rPr>
          <w:i/>
        </w:rPr>
        <w:t>P. falciparum</w:t>
      </w:r>
      <w:r w:rsidR="00D1140B">
        <w:t xml:space="preserve"> genome variation in the parents and progeny of experimental genetic crosses. We have studied all three crosses that have been published to date, involving the parental clones 3D7, HB3, Dd2, 7G8 and GB4, representing a broad range of genetic and phenotypic diversity </w:t>
      </w:r>
      <w:r w:rsidR="00D1140B">
        <w:fldChar w:fldCharType="begin" w:fldLock="1"/>
      </w:r>
      <w:r w:rsidR="00D1140B">
        <w:instrText>ADDIN CSL_CITATION { "citationItems" : [ { "id" : "ITEM-1", "itemData" : { "DOI" : "10.1038/nrg2126", "ISSN" : "1471-0056", "PMID" : "17572690", "abstract" : "Genetic studies of Plasmodium falciparum laboratory crosses and field isolates have produced valuable insights into determinants of drug responses, antigenic variation, disease virulence, cellular development and population structures of these virulent human malaria parasites. Full-genome sequences and high-resolution haplotype maps of SNPs and microsatellites are now available for all 14 parasite chromosomes. Rapidly increasing genetic and genomic information on Plasmodium parasites, mosquitoes and humans will combine as a rich resource for new advances in our understanding of malaria, its transmission and its manifestations of disease.", "author" : [ { "dropping-particle" : "", "family" : "Su", "given" : "Xinzhuan", "non-dropping-particle" : "", "parse-names" : false, "suffix" : "" }, { "dropping-particle" : "", "family" : "Hayton", "given" : "Karen", "non-dropping-particle" : "", "parse-names" : false, "suffix" : "" }, { "dropping-particle" : "", "family" : "Wellems", "given" : "Thomas E", "non-dropping-particle" : "", "parse-names" : false, "suffix" : "" } ], "container-title" : "Nature reviews. Genetics", "id" : "ITEM-1", "issue" : "7", "issued" : { "date-parts" : [ [ "2007", "7" ] ] }, "page" : "497-506", "publisher" : "Nature Publishing Group", "title" : "Genetic linkage and association analyses for trait mapping in Plasmodium falciparum.", "title-short" : "Nat Rev Genet", "type" : "article-journal", "volume" : "8" }, "uris" : [ "http://www.mendeley.com/documents/?uuid=2a6756ec-78d2-43b5-af64-662e8ca78c2c"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"(Su et al. 2007; Ranford-Cartwright &amp; Mwangi 2012)", "plainTextFormattedCitation" : "(Su et al. 2007; Ranford-Cartwright &amp; Mwangi 2012)", "previouslyFormattedCitation" : "(Su et al. 2007; Ranford-Cartwright &amp; Mwangi 2012)" }, "properties" : { "noteIndex" : 0 }, "schema" : "https://github.com/citation-style-language/schema/raw/master/csl-citation.json" }</w:instrText>
      </w:r>
      <w:r w:rsidR="00D1140B">
        <w:fldChar w:fldCharType="separate"/>
      </w:r>
      <w:r w:rsidR="00D1140B" w:rsidRPr="00750C95">
        <w:rPr>
          <w:noProof/>
        </w:rPr>
        <w:t>(Su et al. 2007; Ranford-Cartwright &amp; Mwangi 2012)</w:t>
      </w:r>
      <w:r w:rsidR="00D1140B">
        <w:fldChar w:fldCharType="end"/>
      </w:r>
      <w:r w:rsidR="00D1140B">
        <w:t xml:space="preserve">. It is worth noting that these genetic crosses were complex and laborious to produce, involving passage through blood cultures, mosquitoes (where sexual reproduction takes place) and non-human primates  </w:t>
      </w:r>
      <w:r w:rsidR="00D1140B">
        <w:fldChar w:fldCharType="begin" w:fldLock="1"/>
      </w:r>
      <w:r w:rsidR="00D1140B">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D1140B">
        <w:fldChar w:fldCharType="separate"/>
      </w:r>
      <w:r w:rsidR="00D1140B" w:rsidRPr="00194EE4">
        <w:rPr>
          <w:noProof/>
        </w:rPr>
        <w:t>(Walliker et al. 1987)</w:t>
      </w:r>
      <w:r w:rsidR="00D1140B">
        <w:fldChar w:fldCharType="end"/>
      </w:r>
      <w:r w:rsidR="00D1140B">
        <w:t xml:space="preserve">. They have led to key discoveries regarding the causes of drug resistance </w:t>
      </w:r>
      <w:r w:rsidR="00D1140B">
        <w:fldChar w:fldCharType="begin" w:fldLock="1"/>
      </w:r>
      <w:r w:rsidR="00D1140B">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D1140B">
        <w:fldChar w:fldCharType="separate"/>
      </w:r>
      <w:r w:rsidR="00D1140B" w:rsidRPr="00194EE4">
        <w:rPr>
          <w:noProof/>
        </w:rPr>
        <w:t>(Wellems et al. 1991)</w:t>
      </w:r>
      <w:r w:rsidR="00D1140B">
        <w:fldChar w:fldCharType="end"/>
      </w:r>
      <w:r w:rsidR="00D1140B">
        <w:t xml:space="preserve"> and host specificity </w:t>
      </w:r>
      <w:r w:rsidR="00D1140B">
        <w:fldChar w:fldCharType="begin" w:fldLock="1"/>
      </w:r>
      <w:r w:rsidR="00D1140B">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D1140B">
        <w:fldChar w:fldCharType="separate"/>
      </w:r>
      <w:r w:rsidR="00D1140B" w:rsidRPr="00194EE4">
        <w:rPr>
          <w:noProof/>
        </w:rPr>
        <w:t>(Hayton et al. 2008)</w:t>
      </w:r>
      <w:r w:rsidR="00D1140B">
        <w:fldChar w:fldCharType="end"/>
      </w:r>
      <w:r w:rsidR="00D1140B">
        <w:t xml:space="preserve">. Although only a limited number of crosses are currently available, typically more than 30 genetically distinct progeny clones can be obtained from a single cross </w:t>
      </w:r>
      <w:r w:rsidR="00D1140B">
        <w:fldChar w:fldCharType="begin" w:fldLock="1"/>
      </w:r>
      <w:r w:rsidR="00D1140B">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D1140B">
        <w:fldChar w:fldCharType="separate"/>
      </w:r>
      <w:r w:rsidR="00D1140B" w:rsidRPr="00367A11">
        <w:rPr>
          <w:noProof/>
        </w:rPr>
        <w:t>(Ranford-Cartwright &amp; Mwangi 2012)</w:t>
      </w:r>
      <w:r w:rsidR="00D1140B">
        <w:fldChar w:fldCharType="end"/>
      </w:r>
      <w:r w:rsidR="00D1140B">
        <w:t xml:space="preserve">. The large number of progeny provides a higher power to observe Mendelian errors than smaller pedigrees or trios, and thus to identify variants which are spurious or where genotyping is unreliable. These three crosses are therefore a precious </w:t>
      </w:r>
      <w:r w:rsidR="00D1140B">
        <w:lastRenderedPageBreak/>
        <w:t xml:space="preserve">resource for studying genome variation in </w:t>
      </w:r>
      <w:r w:rsidR="00D1140B" w:rsidRPr="00624AF9">
        <w:rPr>
          <w:i/>
        </w:rPr>
        <w:t>P. falciparum</w:t>
      </w:r>
      <w:r w:rsidR="00D1140B">
        <w:t>, because they represent the only experimental system within which Mendelian errors can be observed and used to guide variant discovery.</w:t>
      </w:r>
    </w:p>
    <w:p w:rsidR="00A72CFF" w:rsidRDefault="00D1140B" w:rsidP="00D92607">
      <w:pPr>
        <w:spacing w:line="480" w:lineRule="auto"/>
      </w:pPr>
      <w:r>
        <w:t xml:space="preserve">We use a combination of methods for variant discovery, leveraging both alignment of sequence reads to the 3D7 reference genome </w:t>
      </w:r>
      <w:r>
        <w:fldChar w:fldCharType="begin" w:fldLock="1"/>
      </w:r>
      <w:r>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&amp; Durbin 2009; McKenna et al. 2010)", "plainTextFormattedCitation" : "(DePristo et al. 2011; Li &amp; Durbin 2009; McKenna et al. 2010)", "previouslyFormattedCitation" : "(DePristo et al. 2011; Li &amp; Durbin 2009; McKenna et al. 2010)" }, "properties" : { "noteIndex" : 0 }, "schema" : "https://github.com/citation-style-language/schema/raw/master/csl-citation.json" }</w:instrText>
      </w:r>
      <w:r>
        <w:fldChar w:fldCharType="separate"/>
      </w:r>
      <w:r w:rsidRPr="008F4EA1">
        <w:rPr>
          <w:noProof/>
        </w:rPr>
        <w:t>(DePristo et al. 2011; Li &amp; Durbin 2009; McKenna et al. 2010)</w:t>
      </w:r>
      <w:r>
        <w:fldChar w:fldCharType="end"/>
      </w:r>
      <w:r>
        <w:t xml:space="preserve"> and reference-free sequence assembly </w:t>
      </w:r>
      <w:r>
        <w:fldChar w:fldCharType="begin" w:fldLock="1"/>
      </w:r>
      <w:r>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fldChar w:fldCharType="separate"/>
      </w:r>
      <w:r w:rsidRPr="00194EE4">
        <w:rPr>
          <w:noProof/>
        </w:rPr>
        <w:t>(Iqbal et al. 2012)</w:t>
      </w:r>
      <w:r>
        <w:fldChar w:fldCharType="end"/>
      </w:r>
      <w:r>
        <w:t xml:space="preserve"> to build a map of genome variation within each cross incorporating SNP, INDEL and complex polymorphisms</w:t>
      </w:r>
      <w:r w:rsidR="00716BD6">
        <w:t>, and spanning both coding and non-coding regions</w:t>
      </w:r>
      <w:r>
        <w:t xml:space="preserve">. </w:t>
      </w:r>
      <w:r w:rsidR="00783242">
        <w:t>All of the variants included in the final call set</w:t>
      </w:r>
      <w:r w:rsidR="00BF5E5E">
        <w:t>s</w:t>
      </w:r>
      <w:r w:rsidR="00783242">
        <w:t xml:space="preserve"> are highly consistent with Mendelian inheritance and show almost perfect genotype concordance between biological replicates.</w:t>
      </w:r>
      <w:r w:rsidR="002759C7">
        <w:t xml:space="preserve"> These data reveal some </w:t>
      </w:r>
      <w:r w:rsidR="007D200B">
        <w:t xml:space="preserve">unique </w:t>
      </w:r>
      <w:r w:rsidR="002759C7">
        <w:t>features of genome variation</w:t>
      </w:r>
      <w:r w:rsidR="0040749C">
        <w:t xml:space="preserve"> </w:t>
      </w:r>
      <w:r w:rsidR="007D200B">
        <w:t xml:space="preserve">in </w:t>
      </w:r>
      <w:r w:rsidR="007D200B" w:rsidRPr="007D200B">
        <w:rPr>
          <w:i/>
        </w:rPr>
        <w:t>P. falciparum</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 xml:space="preserve">research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D1140B" w:rsidRDefault="00A32224" w:rsidP="00D92607">
      <w:pPr>
        <w:spacing w:line="480" w:lineRule="auto"/>
      </w:pPr>
      <w:r>
        <w:t xml:space="preserve">We also </w:t>
      </w:r>
      <w:r w:rsidR="009E5C7B">
        <w:t>address</w:t>
      </w:r>
      <w:r w:rsidR="00622DB4">
        <w:t xml:space="preserve"> </w:t>
      </w:r>
      <w:r>
        <w:t xml:space="preserve">open questions regarding meiotic recombination in </w:t>
      </w:r>
      <w:r w:rsidRPr="00A32224">
        <w:rPr>
          <w:i/>
        </w:rPr>
        <w:t>P. falciparum</w:t>
      </w:r>
      <w:r w:rsidR="007D200B">
        <w:t>, a key biological process that generates and maintains genetic diversity in natural parasite populations</w:t>
      </w:r>
      <w:r w:rsidR="00716BD6">
        <w:t>, and thus contributes to parasite evolution</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recombination rate</w:t>
      </w:r>
      <w:r w:rsidR="00D00B79">
        <w:t>s</w:t>
      </w:r>
      <w:r w:rsidR="00065004">
        <w:t xml:space="preserve"> </w:t>
      </w:r>
      <w:r w:rsidR="005C3FF3">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5C3FF3">
        <w:fldChar w:fldCharType="separate"/>
      </w:r>
      <w:r w:rsidR="00EE1931" w:rsidRPr="00EE1931">
        <w:rPr>
          <w:noProof/>
        </w:rPr>
        <w:t>(Su et al. 1999; Jiang et al. 2011; Walker-Jonah et al. 1992)</w:t>
      </w:r>
      <w:r w:rsidR="005C3FF3">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5C3FF3">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5C3FF3">
        <w:fldChar w:fldCharType="separate"/>
      </w:r>
      <w:r w:rsidR="009D296D" w:rsidRPr="009D296D">
        <w:rPr>
          <w:noProof/>
        </w:rPr>
        <w:t>(Su et al. 1999)</w:t>
      </w:r>
      <w:r w:rsidR="005C3FF3">
        <w:fldChar w:fldCharType="end"/>
      </w:r>
      <w:r w:rsidR="009D296D">
        <w:t xml:space="preserve">. One study </w:t>
      </w:r>
      <w:r w:rsidR="006D6FCD">
        <w:t>used high-</w:t>
      </w:r>
      <w:r w:rsidR="009D296D">
        <w:t xml:space="preserve">throughput sequencing </w:t>
      </w:r>
      <w:r w:rsidR="006D6FCD">
        <w:t>to resolve recombination events in</w:t>
      </w:r>
      <w:r w:rsidR="009D296D">
        <w:t xml:space="preserve"> two progeny </w:t>
      </w:r>
      <w:r w:rsidR="006D6FCD">
        <w:t xml:space="preserve">of </w:t>
      </w:r>
      <w:r w:rsidR="009D296D">
        <w:t>the HB3xDd2 cross</w:t>
      </w:r>
      <w:r w:rsidR="006D6FCD">
        <w:t>,</w:t>
      </w:r>
      <w:r w:rsidR="002B4174">
        <w:t xml:space="preserve"> finding evidence </w:t>
      </w:r>
      <w:r w:rsidR="006D6FCD">
        <w:t xml:space="preserve">that rates of CO and NCO recombination may be similar </w:t>
      </w:r>
      <w:r w:rsidR="005C3FF3">
        <w:fldChar w:fldCharType="begin" w:fldLock="1"/>
      </w:r>
      <w:r w:rsidR="00097BD4">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6D6FCD" w:rsidRPr="006D6FCD">
        <w:rPr>
          <w:noProof/>
        </w:rPr>
        <w:t>(Samarakoon, Regier, et al. 2011)</w:t>
      </w:r>
      <w:r w:rsidR="005C3FF3">
        <w:fldChar w:fldCharType="end"/>
      </w:r>
      <w:r w:rsidR="009D296D">
        <w:t>. Previous studies have also</w:t>
      </w:r>
      <w:r w:rsidR="006E7EA9">
        <w:t xml:space="preserve"> demonstrated that at least some recombination events occur within coding regions </w:t>
      </w:r>
      <w:r w:rsidR="005C3FF3">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5C3FF3">
        <w:fldChar w:fldCharType="separate"/>
      </w:r>
      <w:r w:rsidR="00EE1931" w:rsidRPr="00EE1931">
        <w:rPr>
          <w:noProof/>
        </w:rPr>
        <w:t>(Kerr et al. 1994)</w:t>
      </w:r>
      <w:r w:rsidR="005C3FF3">
        <w:fldChar w:fldCharType="end"/>
      </w:r>
      <w:r w:rsidR="00065004">
        <w:t xml:space="preserve"> and suggested that recombination events are not uniformly distributed </w:t>
      </w:r>
      <w:r w:rsidR="006E7EA9">
        <w:t xml:space="preserve">over the genome </w:t>
      </w:r>
      <w:r w:rsidR="005C3FF3">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E1931" w:rsidRPr="00EE1931">
        <w:rPr>
          <w:noProof/>
        </w:rPr>
        <w:t>(Jiang et al. 2011)</w:t>
      </w:r>
      <w:r w:rsidR="005C3FF3">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w:t>
      </w:r>
      <w:r w:rsidR="006E7EA9">
        <w:lastRenderedPageBreak/>
        <w:t>non-crossovers</w:t>
      </w:r>
      <w:r w:rsidR="00716BD6">
        <w:t>, to</w:t>
      </w:r>
      <w:r w:rsidR="007C6969">
        <w:t xml:space="preserve"> </w:t>
      </w:r>
      <w:r w:rsidR="006E7EA9">
        <w:t>estimate rates for both types of recombination event</w:t>
      </w:r>
      <w:r w:rsidR="00716BD6">
        <w:t>, and to study conversion tract lengths</w:t>
      </w:r>
      <w:r w:rsidR="006E7EA9">
        <w:t xml:space="preserve">. This resolution is also sufficient to resolve the location of most recombination events relative to gene and exon boundaries and study </w:t>
      </w:r>
      <w:r w:rsidR="00546EC1">
        <w:t>the rate of intragenic recombination</w:t>
      </w:r>
      <w:r w:rsidR="006E7EA9">
        <w:t xml:space="preserve">. </w:t>
      </w:r>
    </w:p>
    <w:p w:rsidR="001C4E6F" w:rsidRDefault="006E7EA9" w:rsidP="00D92607">
      <w:pPr>
        <w:spacing w:line="480" w:lineRule="auto"/>
      </w:pPr>
      <w:r>
        <w:t xml:space="preserve">Finally we investigate recombination in the context of two large </w:t>
      </w:r>
      <w:r w:rsidR="00BA4DCF">
        <w:t>regions of copy number amplification</w:t>
      </w:r>
      <w:r>
        <w:t xml:space="preserve">, </w:t>
      </w:r>
      <w:r w:rsidR="001C4E6F">
        <w:t xml:space="preserve">both of </w:t>
      </w:r>
      <w:r>
        <w:t>which segregate in the crosses and are associated with drug resistance</w:t>
      </w:r>
      <w:r w:rsidR="001C4E6F">
        <w:t xml:space="preserve">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Gonzales, et al. 2011)", "plainTextFormattedCitation" : "(Wellems et al. 1990; Samarakoon, Gonzales, et al. 2011)", "previouslyFormattedCitation" : "(Wellems et al. 1990; Samarakoon, Gonzales, et al. 2011)" }, "properties" : { "noteIndex" : 0 }, "schema" : "https://github.com/citation-style-language/schema/raw/master/csl-citation.json" }</w:instrText>
      </w:r>
      <w:r w:rsidR="005C3FF3">
        <w:fldChar w:fldCharType="separate"/>
      </w:r>
      <w:r w:rsidR="00EE1931" w:rsidRPr="00EE1931">
        <w:rPr>
          <w:noProof/>
        </w:rPr>
        <w:t>(Wellems et al. 1990; Samarakoon, Gonzales, et al. 2011)</w:t>
      </w:r>
      <w:r w:rsidR="005C3FF3">
        <w:fldChar w:fldCharType="end"/>
      </w:r>
      <w:r>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92607">
      <w:pPr>
        <w:pStyle w:val="Heading1"/>
        <w:spacing w:line="480" w:lineRule="auto"/>
      </w:pPr>
      <w:r>
        <w:t>Results</w:t>
      </w:r>
    </w:p>
    <w:p w:rsidR="0066428C" w:rsidRDefault="00831572" w:rsidP="00D92607">
      <w:pPr>
        <w:pStyle w:val="Heading2"/>
        <w:spacing w:line="480" w:lineRule="auto"/>
      </w:pPr>
      <w:r>
        <w:t>Whole genome sequencing and genome accessibility</w:t>
      </w:r>
    </w:p>
    <w:p w:rsidR="00BA4DCF" w:rsidRDefault="00EA3CED" w:rsidP="00D92607">
      <w:pPr>
        <w:spacing w:line="480" w:lineRule="auto"/>
      </w:pPr>
      <w:r>
        <w:t xml:space="preserve">Whole genomes </w:t>
      </w:r>
      <w:r w:rsidR="008F4EA1">
        <w:t>of</w:t>
      </w:r>
      <w:r>
        <w:t xml:space="preserve"> parent and progeny clones </w:t>
      </w:r>
      <w:r w:rsidR="007A475F">
        <w:t xml:space="preserve">from the crosses 3D7×HB3 </w:t>
      </w:r>
      <w:r w:rsidR="005C3FF3">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7A475F" w:rsidRPr="007A475F">
        <w:rPr>
          <w:noProof/>
        </w:rPr>
        <w:t>(Walliker et al. 1987)</w:t>
      </w:r>
      <w:r w:rsidR="005C3FF3">
        <w:fldChar w:fldCharType="end"/>
      </w:r>
      <w:r w:rsidR="007A475F">
        <w:t xml:space="preserve">, HB3×Dd2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Wellems et al. 1991)", "plainTextFormattedCitation" : "(Wellems et al. 1990; Wellems et al. 1991)", "previouslyFormattedCitation" : "(Wellems et al. 1990; Wellems et al. 1991)" }, "properties" : { "noteIndex" : 0 }, "schema" : "https://github.com/citation-style-language/schema/raw/master/csl-citation.json" }</w:instrText>
      </w:r>
      <w:r w:rsidR="005C3FF3">
        <w:fldChar w:fldCharType="separate"/>
      </w:r>
      <w:r w:rsidR="007A475F" w:rsidRPr="007A475F">
        <w:rPr>
          <w:noProof/>
        </w:rPr>
        <w:t>(Wellems et al. 1990; Wellems et al. 1991)</w:t>
      </w:r>
      <w:r w:rsidR="005C3FF3">
        <w:fldChar w:fldCharType="end"/>
      </w:r>
      <w:r w:rsidR="007A475F">
        <w:t xml:space="preserve"> and 7G8×GB4 </w:t>
      </w:r>
      <w:r w:rsidR="005C3FF3">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7A475F" w:rsidRPr="007A475F">
        <w:rPr>
          <w:noProof/>
        </w:rPr>
        <w:t>(Hayton et al. 2008)</w:t>
      </w:r>
      <w:r w:rsidR="005C3FF3">
        <w:fldChar w:fldCharType="end"/>
      </w:r>
      <w:r>
        <w:t xml:space="preserve"> were sequenced using Illumina high throughput technology, with the majority of samples obtai</w:t>
      </w:r>
      <w:r w:rsidR="00B513E5">
        <w:t>ning an average depth above 100X</w:t>
      </w:r>
      <w:r w:rsidR="00A74395">
        <w:t xml:space="preserve"> (Table S1</w:t>
      </w:r>
      <w:r w:rsidR="004169E9">
        <w:t>)</w:t>
      </w:r>
      <w:r>
        <w:t xml:space="preserve">. All DNA libraries were derived from haploid parasite clones in culture, and sufficient DNA was available to use PCR-free library preparation throughout, which has 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hence improve </w:t>
      </w:r>
      <w:r w:rsidR="0072106A">
        <w:t xml:space="preserve">the evenness of </w:t>
      </w:r>
      <w:r w:rsidR="0072106A" w:rsidRPr="0072106A">
        <w:t>coverage across both coding and non-coding regions</w:t>
      </w:r>
      <w:r w:rsidR="00334433">
        <w:t xml:space="preserve">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334433" w:rsidRPr="00334433">
        <w:rPr>
          <w:noProof/>
        </w:rPr>
        <w:t>(Kozarewa et al. 2009)</w:t>
      </w:r>
      <w:r w:rsidR="005C3FF3">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5C3FF3">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5C3FF3">
        <w:fldChar w:fldCharType="separate"/>
      </w:r>
      <w:r w:rsidR="007D71A9" w:rsidRPr="007D71A9">
        <w:rPr>
          <w:noProof/>
        </w:rPr>
        <w:t>(Fang et al. 2014)</w:t>
      </w:r>
      <w:r w:rsidR="005C3FF3">
        <w:fldChar w:fldCharType="end"/>
      </w:r>
      <w:r w:rsidR="007D71A9">
        <w:t xml:space="preserve">. </w:t>
      </w:r>
      <w:r w:rsidR="0072106A">
        <w:t>The clone HB3 is a parent in two crosses, however because DNA samples were obtained from different sources and had different culturing histories the two HB3 clones were sequenced and genotyped separately, and are here labelled HB3(</w:t>
      </w:r>
      <w:r w:rsidR="001C68E4">
        <w:t xml:space="preserve">1) and HB3(2) for crosses 3D7×HB3 </w:t>
      </w:r>
      <w:r w:rsidR="001C68E4">
        <w:lastRenderedPageBreak/>
        <w:t>and HB3×</w:t>
      </w:r>
      <w:r w:rsidR="0072106A">
        <w:t xml:space="preserve">Dd2 respectively. </w:t>
      </w:r>
      <w:r w:rsidR="004533B9">
        <w:t>B</w:t>
      </w:r>
      <w:r w:rsidR="0072106A">
        <w:t xml:space="preserve">iological replicates were </w:t>
      </w:r>
      <w:r w:rsidR="006C1DD2">
        <w:t>obtained</w:t>
      </w:r>
      <w:r w:rsidR="004533B9">
        <w:t xml:space="preserve"> for several progeny clones</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replicates.</w:t>
      </w:r>
      <w:r w:rsidR="008E486C">
        <w:t xml:space="preserve"> All sequence data has been deposited at the European Nucleotide Archive and a mapping from clone identifiers to ENA accessions </w:t>
      </w:r>
      <w:r w:rsidR="004533B9">
        <w:t xml:space="preserve">is provided in Table S1 and </w:t>
      </w:r>
      <w:r w:rsidR="008E486C">
        <w:t xml:space="preserve">can </w:t>
      </w:r>
      <w:r w:rsidR="004533B9">
        <w:t xml:space="preserve">alternatively </w:t>
      </w:r>
      <w:r w:rsidR="008E486C">
        <w:t xml:space="preserve">be obtained via the web application at </w:t>
      </w:r>
      <w:hyperlink r:id="rId9"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D92607">
      <w:pPr>
        <w:spacing w:line="480" w:lineRule="auto"/>
      </w:pPr>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Supplementary Information; Figures S1-S3;</w:t>
      </w:r>
      <w:r w:rsidR="0083016F">
        <w:t xml:space="preserve"> Table S2</w:t>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proofErr w:type="spellStart"/>
      <w:r w:rsidR="00EE0300" w:rsidRPr="008F4EA1">
        <w:rPr>
          <w:i/>
        </w:rPr>
        <w:t>var</w:t>
      </w:r>
      <w:proofErr w:type="spellEnd"/>
      <w:r w:rsidR="007220F1">
        <w:t xml:space="preserve"> </w:t>
      </w:r>
      <w:r w:rsidR="005D178D">
        <w:t>family</w:t>
      </w:r>
      <w:r w:rsidR="00AD509E">
        <w:t xml:space="preserve">, which are known to undergo </w:t>
      </w:r>
      <w:r w:rsidR="00A55587">
        <w:t>frequent</w:t>
      </w:r>
      <w:r w:rsidR="00AD509E">
        <w:t xml:space="preserve"> non-allelic recombination during mitosis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5C3FF3">
        <w:fldChar w:fldCharType="separate"/>
      </w:r>
      <w:r w:rsidR="00486677" w:rsidRPr="00486677">
        <w:rPr>
          <w:noProof/>
        </w:rPr>
        <w:t>(Bopp et al. 2013; Claessens et al. 2014)</w:t>
      </w:r>
      <w:r w:rsidR="005C3FF3">
        <w:fldChar w:fldCharType="end"/>
      </w:r>
      <w:r w:rsidR="00F23B0D">
        <w:t>,</w:t>
      </w:r>
      <w:r w:rsidR="005D178D">
        <w:t xml:space="preserve"> and almost all genes in the </w:t>
      </w:r>
      <w:r w:rsidR="00AD509E">
        <w:t xml:space="preserve">associated </w:t>
      </w:r>
      <w:proofErr w:type="spellStart"/>
      <w:r w:rsidR="00EE0300" w:rsidRPr="008F4EA1">
        <w:rPr>
          <w:i/>
        </w:rPr>
        <w:t>rif</w:t>
      </w:r>
      <w:proofErr w:type="spellEnd"/>
      <w:r w:rsidR="005D178D">
        <w:t xml:space="preserve"> and </w:t>
      </w:r>
      <w:proofErr w:type="spellStart"/>
      <w:r w:rsidR="00EE0300" w:rsidRPr="008F4EA1">
        <w:rPr>
          <w:i/>
        </w:rPr>
        <w:t>stevor</w:t>
      </w:r>
      <w:proofErr w:type="spellEnd"/>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5C3FF3">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5C3FF3">
        <w:fldChar w:fldCharType="separate"/>
      </w:r>
      <w:r w:rsidR="001C68E4" w:rsidRPr="001C68E4">
        <w:rPr>
          <w:noProof/>
        </w:rPr>
        <w:t>(Flueck et al. 2009)</w:t>
      </w:r>
      <w:r w:rsidR="005C3FF3">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proofErr w:type="gramStart"/>
      <w:r w:rsidR="00FB2301">
        <w:t>,</w:t>
      </w:r>
      <w:proofErr w:type="gramEnd"/>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92607">
      <w:pPr>
        <w:pStyle w:val="Heading2"/>
        <w:spacing w:line="480" w:lineRule="auto"/>
      </w:pPr>
      <w:r>
        <w:lastRenderedPageBreak/>
        <w:t xml:space="preserve">SNP, </w:t>
      </w:r>
      <w:r w:rsidR="00F230BE">
        <w:t>INDEL</w:t>
      </w:r>
      <w:r>
        <w:t xml:space="preserve"> and complex variation</w:t>
      </w:r>
      <w:r w:rsidR="00092516">
        <w:t xml:space="preserve"> within the core genome</w:t>
      </w:r>
    </w:p>
    <w:p w:rsidR="000118A7" w:rsidRDefault="00BF5714" w:rsidP="00D92607">
      <w:pPr>
        <w:spacing w:line="480" w:lineRule="auto"/>
      </w:pPr>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reference genome </w:t>
      </w:r>
      <w:r w:rsidR="005C3FF3">
        <w:fldChar w:fldCharType="begin" w:fldLock="1"/>
      </w:r>
      <w:r w:rsidR="001C4C7D">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&amp; Durbin 2009)", "plainTextFormattedCitation" : "(DePristo et al. 2011; Li &amp; Durbin 2009)", "previouslyFormattedCitation" : "(DePristo et al. 2011; Li &amp; Durbin 2009)" }, "properties" : { "noteIndex" : 0 }, "schema" : "https://github.com/citation-style-language/schema/raw/master/csl-citation.json" }</w:instrText>
      </w:r>
      <w:r w:rsidR="005C3FF3">
        <w:fldChar w:fldCharType="separate"/>
      </w:r>
      <w:r w:rsidR="008509AB" w:rsidRPr="008509AB">
        <w:rPr>
          <w:noProof/>
        </w:rPr>
        <w:t>(DePristo et al. 2011; Li &amp; Durbin 2009)</w:t>
      </w:r>
      <w:r w:rsidR="005C3FF3">
        <w:fldChar w:fldCharType="end"/>
      </w:r>
      <w:r>
        <w:t xml:space="preserve">, the other based on partial assembly of sequence reads and comparison of assembled contigs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77147F" w:rsidRPr="0077147F">
        <w:rPr>
          <w:noProof/>
        </w:rPr>
        <w:t>(Iqbal et al. 2012)</w:t>
      </w:r>
      <w:r w:rsidR="005C3FF3">
        <w:fldChar w:fldCharType="end"/>
      </w:r>
      <w:r>
        <w:t xml:space="preserve">. Variants where genotype calls in one or more progeny clones were inconsistent with Mendelian segregation (Mendelian 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near-perfect concordance between biological replicates</w:t>
      </w:r>
      <w:r>
        <w:t xml:space="preserve"> </w:t>
      </w:r>
      <w:r w:rsidR="004177B6">
        <w:t xml:space="preserve">for both SNPs and </w:t>
      </w:r>
      <w:r w:rsidR="00F230BE">
        <w:t>INDEL</w:t>
      </w:r>
      <w:r w:rsidR="004177B6">
        <w:t>s (</w:t>
      </w:r>
      <w:r w:rsidR="0063600E">
        <w:t>Table S3</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r w:rsidR="0083016F">
        <w:t>To provide the greatest possible resolution for the present study, filtered variants called by each method were combined into a single call set for each cross (Table 1; Methods and Supplementary Information). All variant calls can be downloaded from a public FTP site</w:t>
      </w:r>
      <w:r w:rsidR="0083016F">
        <w:rPr>
          <w:rStyle w:val="FootnoteReference"/>
        </w:rPr>
        <w:footnoteReference w:id="11"/>
      </w:r>
      <w:r w:rsidR="0083016F">
        <w:t xml:space="preserve"> and browsed via the web application at </w:t>
      </w:r>
      <w:hyperlink r:id="rId10" w:history="1">
        <w:r w:rsidR="0083016F" w:rsidRPr="000B39EA">
          <w:rPr>
            <w:rStyle w:val="Hyperlink"/>
          </w:rPr>
          <w:t>http://www.malariagen.net/apps/pf-crosses</w:t>
        </w:r>
      </w:hyperlink>
      <w:r w:rsidR="0083016F">
        <w:t>.</w:t>
      </w:r>
    </w:p>
    <w:p w:rsidR="000118A7" w:rsidRDefault="00224F6A" w:rsidP="00D92607">
      <w:pPr>
        <w:spacing w:line="480" w:lineRule="auto"/>
      </w:pPr>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 xml:space="preserve">are true genetic markers,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BC5A53">
        <w:t xml:space="preserve"> and publicly available HB3 gene sequences (Supplementary Information</w:t>
      </w:r>
      <w:r w:rsidR="00750C95">
        <w:t>; Table S4</w:t>
      </w:r>
      <w:r w:rsidR="00BC5A53">
        <w:t xml:space="preserve">). </w:t>
      </w:r>
      <w:r w:rsidR="00D1018D">
        <w:t xml:space="preserve">We estimated a SNP FDR between 0.6-2.7% for the alignment-based calling </w:t>
      </w:r>
      <w:r w:rsidR="00D1018D">
        <w:lastRenderedPageBreak/>
        <w:t>method and between 0.0-</w:t>
      </w:r>
      <w:proofErr w:type="gramStart"/>
      <w:r w:rsidR="00D1018D">
        <w:t>1.1%</w:t>
      </w:r>
      <w:proofErr w:type="gramEnd"/>
      <w:r w:rsidR="00D1018D">
        <w:t xml:space="preserve"> for the assembly</w:t>
      </w:r>
      <w:r w:rsidR="0063600E">
        <w:t>-based calling method (Table S5</w:t>
      </w:r>
      <w:r w:rsidR="00D1018D">
        <w:t>). INDEL FDR estimates were higher for both calling methods, in the range 8.3-12.5%</w:t>
      </w:r>
      <w:proofErr w:type="gramStart"/>
      <w:r w:rsidR="00A74395">
        <w:t>,</w:t>
      </w:r>
      <w:proofErr w:type="gramEnd"/>
      <w:r w:rsidR="00A74395">
        <w:t xml:space="preserve"> however we </w:t>
      </w:r>
      <w:r w:rsidR="00F2574B">
        <w:t>found</w:t>
      </w:r>
      <w:r w:rsidR="00A74395">
        <w:t xml:space="preserve"> a </w:t>
      </w:r>
      <w:r w:rsidR="00F2574B">
        <w:t xml:space="preserve">high rate </w:t>
      </w:r>
      <w:r w:rsidR="00A74395">
        <w:t xml:space="preserve">of </w:t>
      </w:r>
      <w:r w:rsidR="00F2574B">
        <w:t xml:space="preserve">INDEL </w:t>
      </w:r>
      <w:r w:rsidR="00A74395">
        <w:t>discordances between previously published sequences</w:t>
      </w:r>
      <w:r w:rsidR="00C50688">
        <w:t xml:space="preserve"> (Supplementary Information; Figure S17)</w:t>
      </w:r>
      <w:r w:rsidR="00F2574B">
        <w:t>, making</w:t>
      </w:r>
      <w:r w:rsidR="00A74395">
        <w:t xml:space="preserve"> accurate FDR estimation difficult</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63600E">
        <w:t xml:space="preserve"> S5</w:t>
      </w:r>
      <w:r w:rsidR="007A3B6B">
        <w:t xml:space="preserve">). </w:t>
      </w:r>
      <w:r w:rsidR="00CF2092">
        <w:t xml:space="preserve">This lower sensitivity was partly due to the fact that the assembly-based calling method was only capable of genotyping </w:t>
      </w:r>
      <w:proofErr w:type="spellStart"/>
      <w:r w:rsidR="00CF2092">
        <w:t>biallelic</w:t>
      </w:r>
      <w:proofErr w:type="spellEnd"/>
      <w:r w:rsidR="00CF2092">
        <w:t xml:space="preserve"> var</w:t>
      </w:r>
      <w:r w:rsidR="000118A7">
        <w:t>iants. All segregating variants</w:t>
      </w:r>
      <w:r w:rsidR="00CF2092">
        <w:t xml:space="preserve"> in the 3D7xHB3 cross </w:t>
      </w:r>
      <w:r w:rsidR="000118A7">
        <w:t>are</w:t>
      </w:r>
      <w:r w:rsidR="00CF2092">
        <w:t xml:space="preserve"> expected to be </w:t>
      </w:r>
      <w:proofErr w:type="spellStart"/>
      <w:r w:rsidR="00CF2092">
        <w:t>biallelic</w:t>
      </w:r>
      <w:proofErr w:type="spellEnd"/>
      <w:r w:rsidR="00CF2092">
        <w:t xml:space="preserve"> because 3D7 is the reference clone, however segregating variation in the HB3xDd2 and 7G8xGB4 crosses could be </w:t>
      </w:r>
      <w:proofErr w:type="spellStart"/>
      <w:r w:rsidR="00CF2092">
        <w:t>multiallelic</w:t>
      </w:r>
      <w:proofErr w:type="spellEnd"/>
      <w:r w:rsidR="00CF2092">
        <w:t xml:space="preserve">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r w:rsidR="001865B1">
        <w:t xml:space="preserve">technical limitation </w:t>
      </w:r>
      <w:r w:rsidR="0001017A">
        <w:t xml:space="preserve">accounts </w:t>
      </w:r>
      <w:r w:rsidR="000118A7">
        <w:t xml:space="preserve">at least in part </w:t>
      </w:r>
      <w:r w:rsidR="003B428E">
        <w:t>for the lower number of segregating INDELs discovered in the HB3xDd2 and 7G8xGB4 crosses compared with 3D7xHB3 (</w:t>
      </w:r>
      <w:r>
        <w:t>T</w:t>
      </w:r>
      <w:r w:rsidR="003B428E">
        <w:t xml:space="preserve">able 1). </w:t>
      </w:r>
    </w:p>
    <w:p w:rsidR="00A4677A" w:rsidRDefault="00F230BE" w:rsidP="00D92607">
      <w:pPr>
        <w:pStyle w:val="Heading3"/>
        <w:spacing w:line="480" w:lineRule="auto"/>
      </w:pPr>
      <w:r>
        <w:t>INDEL</w:t>
      </w:r>
      <w:r w:rsidR="00A4677A">
        <w:t>s are the most abundant form of polymorphism</w:t>
      </w:r>
    </w:p>
    <w:p w:rsidR="00FE0FEE" w:rsidRDefault="008A5CF4" w:rsidP="00D92607">
      <w:pPr>
        <w:spacing w:line="480" w:lineRule="auto"/>
      </w:pPr>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w:t>
      </w:r>
      <w:r w:rsidR="00C31D10">
        <w:t>the</w:t>
      </w:r>
      <w:r w:rsidR="006E6764">
        <w:t xml:space="preserve"> SNP to INDEL ratio </w:t>
      </w:r>
      <w:r w:rsidR="00C31D10">
        <w:t>is</w:t>
      </w:r>
      <w:r w:rsidR="006E6764">
        <w:t xml:space="preserve"> approximately 10:1 in primates and 20:1 in bacteria </w:t>
      </w:r>
      <w:r w:rsidR="005C3FF3">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5C3FF3">
        <w:fldChar w:fldCharType="separate"/>
      </w:r>
      <w:r w:rsidR="006E6764" w:rsidRPr="006E6764">
        <w:rPr>
          <w:noProof/>
        </w:rPr>
        <w:t>(Chen et al. 2009)</w:t>
      </w:r>
      <w:r w:rsidR="005C3FF3">
        <w:fldChar w:fldCharType="end"/>
      </w:r>
      <w:r w:rsidR="00601883">
        <w:t>.</w:t>
      </w:r>
      <w:r>
        <w:t xml:space="preserve"> </w:t>
      </w:r>
      <w:r w:rsidR="00FE0FEE">
        <w:t xml:space="preserve">The vast majority of </w:t>
      </w:r>
      <w:r w:rsidR="00F230BE">
        <w:t>INDEL</w:t>
      </w:r>
      <w:r w:rsidR="00FE0FEE">
        <w:t>s found in the crosses were expansions or contractions of short tandem 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w:t>
      </w:r>
      <w:proofErr w:type="gramStart"/>
      <w:r w:rsidR="00FE0FEE">
        <w:t>poly(</w:t>
      </w:r>
      <w:proofErr w:type="gramEnd"/>
      <w:r w:rsidR="00FE0FEE">
        <w:t xml:space="preserve">AT) repeats. In coding regions 77% of </w:t>
      </w:r>
      <w:r w:rsidR="00F230BE">
        <w:t>INDEL</w:t>
      </w:r>
      <w:r w:rsidR="00FE0FEE">
        <w:t xml:space="preserve">s were STR variations, of which the majority were within </w:t>
      </w:r>
      <w:proofErr w:type="gramStart"/>
      <w:r w:rsidR="00FE0FEE">
        <w:t>poly(</w:t>
      </w:r>
      <w:proofErr w:type="gramEnd"/>
      <w:r w:rsidR="00FE0FEE">
        <w:t>asparagine) tracts</w:t>
      </w:r>
      <w:r w:rsidR="00F23B0D">
        <w:t xml:space="preserve"> (</w:t>
      </w:r>
      <w:r w:rsidR="001865B1">
        <w:t>F</w:t>
      </w:r>
      <w:r w:rsidR="00F23B0D">
        <w:t>igure 1B)</w:t>
      </w:r>
      <w:r w:rsidR="00FE0FEE">
        <w:t xml:space="preserve">. Tandem repeat sequences are prone to slipped strand mis-pairing during DNA replication </w:t>
      </w:r>
      <w:r w:rsidR="005C3FF3">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5C3FF3">
        <w:fldChar w:fldCharType="separate"/>
      </w:r>
      <w:r w:rsidR="00E3669F" w:rsidRPr="00E3669F">
        <w:rPr>
          <w:noProof/>
        </w:rPr>
        <w:t>(Li et al. 2002; Lovett 2004)</w:t>
      </w:r>
      <w:r w:rsidR="005C3FF3">
        <w:fldChar w:fldCharType="end"/>
      </w:r>
      <w:r w:rsidR="00FE0FEE">
        <w:t xml:space="preserve"> and are known to be associated with high rates of </w:t>
      </w:r>
      <w:r w:rsidR="00F230BE">
        <w:t>INDEL</w:t>
      </w:r>
      <w:r w:rsidR="00FE0FEE">
        <w:t xml:space="preserve"> mutat</w:t>
      </w:r>
      <w:r w:rsidR="00F230BE">
        <w:t xml:space="preserve">ion </w:t>
      </w:r>
      <w:r w:rsidR="005C3FF3">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5C3FF3">
        <w:fldChar w:fldCharType="separate"/>
      </w:r>
      <w:r w:rsidR="00F230BE" w:rsidRPr="00F230BE">
        <w:rPr>
          <w:noProof/>
        </w:rPr>
        <w:t>(Montgomery et al. 2013)</w:t>
      </w:r>
      <w:r w:rsidR="005C3FF3">
        <w:fldChar w:fldCharType="end"/>
      </w:r>
      <w:r w:rsidR="00FE0FEE">
        <w:t xml:space="preserve">. Poly(AT) repeats are very common in the non-coding regions of the </w:t>
      </w:r>
      <w:r w:rsidR="00FE0FEE" w:rsidRPr="00720774">
        <w:rPr>
          <w:i/>
        </w:rPr>
        <w:t>P. falciparum</w:t>
      </w:r>
      <w:r w:rsidR="00F230BE">
        <w:t xml:space="preserve"> genome </w:t>
      </w:r>
      <w:r w:rsidR="005C3FF3">
        <w:lastRenderedPageBreak/>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F230BE" w:rsidRPr="00F230BE">
        <w:rPr>
          <w:noProof/>
        </w:rPr>
        <w:t>(Gardner et al. 2002)</w:t>
      </w:r>
      <w:r w:rsidR="005C3FF3">
        <w:fldChar w:fldCharType="end"/>
      </w:r>
      <w:r w:rsidR="00F230BE">
        <w:t xml:space="preserve"> and poly(asparagine) </w:t>
      </w:r>
      <w:r w:rsidR="00FE0FEE">
        <w:t>repeats are unusually abundant within the exome</w:t>
      </w:r>
      <w:r w:rsidR="00F230BE">
        <w:t xml:space="preserve"> </w:t>
      </w:r>
      <w:r w:rsidR="005C3FF3">
        <w:fldChar w:fldCharType="begin" w:fldLock="1"/>
      </w:r>
      <w:r w:rsidR="00A50A39">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&amp; Goldberg 2013; Tan et al. 2010)", "plainTextFormattedCitation" : "(Muralidharan &amp; Goldberg 2013; Tan et al. 2010)", "previouslyFormattedCitation" : "(Muralidharan &amp; Goldberg 2013; Tan et al. 2010)" }, "properties" : { "noteIndex" : 0 }, "schema" : "https://github.com/citation-style-language/schema/raw/master/csl-citation.json" }</w:instrText>
      </w:r>
      <w:r w:rsidR="005C3FF3">
        <w:fldChar w:fldCharType="separate"/>
      </w:r>
      <w:r w:rsidR="004A3C93" w:rsidRPr="004A3C93">
        <w:rPr>
          <w:noProof/>
        </w:rPr>
        <w:t>(Muralidharan &amp; Goldberg 2013; Tan et al. 2010)</w:t>
      </w:r>
      <w:r w:rsidR="005C3FF3">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FE0FEE" w:rsidP="00D92607">
      <w:pPr>
        <w:spacing w:line="480" w:lineRule="auto"/>
      </w:pPr>
      <w:r>
        <w:t xml:space="preserve">Regarding the phenotypic consequences of </w:t>
      </w:r>
      <w:r w:rsidR="00F230BE">
        <w:t>INDEL</w:t>
      </w:r>
      <w:r>
        <w:t xml:space="preserve"> variation, frame shift mutations within coding regions are expected to have severe consequences and hence be negatively selected. </w:t>
      </w:r>
      <w:r w:rsidR="000118A7">
        <w:t>Here</w:t>
      </w:r>
      <w:r>
        <w:t xml:space="preserve">, 94% of coding </w:t>
      </w:r>
      <w:r w:rsidR="00F230BE">
        <w:t>INDEL</w:t>
      </w:r>
      <w:r>
        <w:t>s were found to be size multiples of 3 and hence preserved the reading frame</w:t>
      </w:r>
      <w:r w:rsidR="00F2574B">
        <w:t xml:space="preserve">, whereas most non-coding </w:t>
      </w:r>
      <w:r w:rsidR="0042544D">
        <w:t>INDEL</w:t>
      </w:r>
      <w:r w:rsidR="00F2574B">
        <w:t>s were size multiples of 2</w:t>
      </w:r>
      <w:r w:rsidR="007D200B">
        <w:t xml:space="preserve"> reflecting the abundance of poly(AT) repeats</w:t>
      </w:r>
      <w:r>
        <w:t xml:space="preserve"> (</w:t>
      </w:r>
      <w:r w:rsidR="00C24746">
        <w:t>F</w:t>
      </w:r>
      <w:r>
        <w:t xml:space="preserve">igure 1A). Within non-coding regions, the potential consequences of </w:t>
      </w:r>
      <w:r w:rsidR="00F230BE">
        <w:t>INDEL</w:t>
      </w:r>
      <w:r>
        <w:t xml:space="preserve"> mutations are harder to predict. Relatively little is known about the transcription machinery in </w:t>
      </w:r>
      <w:r w:rsidRPr="00634937">
        <w:rPr>
          <w:i/>
        </w:rPr>
        <w:t>P</w:t>
      </w:r>
      <w:r>
        <w:rPr>
          <w:i/>
        </w:rPr>
        <w:t>.</w:t>
      </w:r>
      <w:r w:rsidRPr="00634937">
        <w:rPr>
          <w:i/>
        </w:rPr>
        <w:t xml:space="preserve"> falciparum</w:t>
      </w:r>
      <w:r>
        <w:t xml:space="preserve">, however, </w:t>
      </w:r>
      <w:r w:rsidR="005C3FF3">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5C3FF3">
        <w:fldChar w:fldCharType="separate"/>
      </w:r>
      <w:r w:rsidR="001C4C7D" w:rsidRPr="001C4C7D">
        <w:rPr>
          <w:noProof/>
        </w:rPr>
        <w:t xml:space="preserve">Brick et al. </w:t>
      </w:r>
      <w:r w:rsidR="0016550F">
        <w:rPr>
          <w:noProof/>
        </w:rPr>
        <w:t>(</w:t>
      </w:r>
      <w:r w:rsidR="001C4C7D" w:rsidRPr="001C4C7D">
        <w:rPr>
          <w:noProof/>
        </w:rPr>
        <w:t>2008)</w:t>
      </w:r>
      <w:r w:rsidR="005C3FF3">
        <w:fldChar w:fldCharType="end"/>
      </w:r>
      <w:r w:rsidR="001C4C7D">
        <w:t xml:space="preserve"> </w:t>
      </w:r>
      <w:r>
        <w:t>predicted the location of</w:t>
      </w:r>
      <w:r w:rsidR="001C4C7D">
        <w:t xml:space="preserve"> core promoters upstream of </w:t>
      </w:r>
      <w:r>
        <w:t xml:space="preserve">genes based on a training set of known transcription start sites. Intergenic </w:t>
      </w:r>
      <w:r w:rsidR="00F230BE">
        <w:t>INDEL</w:t>
      </w:r>
      <w:r>
        <w:t xml:space="preserve"> diversity in the crosses was found to display a </w:t>
      </w:r>
      <w:r w:rsidR="005F7D85">
        <w:t>specific</w:t>
      </w:r>
      <w:r>
        <w:t xml:space="preserve"> architecture relative to the central positions of these predicted promoters, with an excess of non-STR </w:t>
      </w:r>
      <w:r w:rsidR="00F230BE">
        <w:t>INDEL</w:t>
      </w:r>
      <w:r>
        <w:t xml:space="preserve">s within the first 50bp upstream of the promoter centre, and a deficit of STR </w:t>
      </w:r>
      <w:r w:rsidR="00F230BE">
        <w:t>INDEL</w:t>
      </w:r>
      <w:r>
        <w:t>s 100-200bp upstream and 0-100bp downstream of the promoter centre (</w:t>
      </w:r>
      <w:r w:rsidR="00C24746">
        <w:t>F</w:t>
      </w:r>
      <w:r>
        <w:t>igure</w:t>
      </w:r>
      <w:r w:rsidR="001C4C7D">
        <w:t xml:space="preserve"> 1C</w:t>
      </w:r>
      <w:r>
        <w:t xml:space="preserve">). </w:t>
      </w:r>
      <w:r w:rsidR="00F831E6">
        <w:t>INDELs in promoter regions have been shown to alter ge</w:t>
      </w:r>
      <w:r w:rsidR="00A259FE">
        <w:t xml:space="preserve">ne expression in other species </w:t>
      </w:r>
      <w:r w:rsidR="005C3FF3">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5C3FF3">
        <w:fldChar w:fldCharType="separate"/>
      </w:r>
      <w:r w:rsidR="00A259FE" w:rsidRPr="00A259FE">
        <w:rPr>
          <w:noProof/>
        </w:rPr>
        <w:t>(Li et al. 2002)</w:t>
      </w:r>
      <w:r w:rsidR="005C3FF3">
        <w:fldChar w:fldCharType="end"/>
      </w:r>
      <w:r w:rsidR="00F831E6">
        <w:t xml:space="preserve"> but this remains to be verified in </w:t>
      </w:r>
      <w:r w:rsidR="00F831E6" w:rsidRPr="00F831E6">
        <w:rPr>
          <w:i/>
        </w:rPr>
        <w:t>P. falciparum</w:t>
      </w:r>
      <w:r w:rsidR="00757C5C">
        <w:t>.</w:t>
      </w:r>
    </w:p>
    <w:p w:rsidR="00A4677A" w:rsidRDefault="00D246DE" w:rsidP="00D92607">
      <w:pPr>
        <w:pStyle w:val="Heading3"/>
        <w:spacing w:line="480" w:lineRule="auto"/>
      </w:pPr>
      <w:r w:rsidRPr="00D246DE">
        <w:t xml:space="preserve">Low nucleotide diversity is punctuated by </w:t>
      </w:r>
      <w:r w:rsidR="00E852B4">
        <w:t xml:space="preserve">complex variation in </w:t>
      </w:r>
      <w:r w:rsidRPr="00D246DE">
        <w:t>merozoite</w:t>
      </w:r>
      <w:r w:rsidR="00E852B4">
        <w:t>-stage genes</w:t>
      </w:r>
    </w:p>
    <w:p w:rsidR="00D246DE" w:rsidRPr="00D246DE" w:rsidRDefault="00D246DE" w:rsidP="00D92607">
      <w:pPr>
        <w:spacing w:line="480" w:lineRule="auto"/>
      </w:pPr>
      <w:r>
        <w:t>Average nucleotide diversity</w:t>
      </w:r>
      <w:r w:rsidR="009255D4">
        <w:t xml:space="preserve"> across</w:t>
      </w:r>
      <w:r>
        <w:t xml:space="preserve"> the core ge</w:t>
      </w:r>
      <w:r w:rsidR="000C7198">
        <w:t xml:space="preserve">nome was </w:t>
      </w:r>
      <w:r>
        <w:t>5x10</w:t>
      </w:r>
      <w:r w:rsidRPr="0066290A">
        <w:rPr>
          <w:vertAlign w:val="superscript"/>
        </w:rPr>
        <w:t>-4</w:t>
      </w:r>
      <w:r w:rsidR="0083016F">
        <w:t xml:space="preserve"> per </w:t>
      </w:r>
      <w:proofErr w:type="spellStart"/>
      <w:r w:rsidR="0083016F">
        <w:t>bp</w:t>
      </w:r>
      <w:proofErr w:type="spellEnd"/>
      <w:r w:rsidR="000C7198">
        <w:t xml:space="preserve"> in all three crosses (T</w:t>
      </w:r>
      <w:r>
        <w:t xml:space="preserve">able 1). However, this </w:t>
      </w:r>
      <w:r w:rsidR="0083016F">
        <w:t xml:space="preserve">relatively </w:t>
      </w:r>
      <w:r>
        <w:t xml:space="preserve">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igure 2). These divergent loci were found almost exclusively within coding regions of genes associated with the merozoite life cycle stage, where the parasite is briefly exposed to the host immune system before 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 xml:space="preserve">where </w:t>
      </w:r>
      <w:r>
        <w:lastRenderedPageBreak/>
        <w:t>several regions of the gene are known to exhibit</w:t>
      </w:r>
      <w:r w:rsidR="00ED25D2">
        <w:t xml:space="preserve"> deep allelic dimorphism </w:t>
      </w:r>
      <w:r w:rsidR="005C3FF3">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The complex variation at these loci could not be accessed by the alignment m</w:t>
      </w:r>
      <w:r w:rsidR="004C331A">
        <w:t>ethod, because sequences 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5C3FF3">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proofErr w:type="spellStart"/>
      <w:r w:rsidR="00EE0300" w:rsidRPr="00EE0300">
        <w:rPr>
          <w:i/>
        </w:rPr>
        <w:t>dblmsp</w:t>
      </w:r>
      <w:proofErr w:type="spellEnd"/>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a DBL-containing protein with unknown function on chromosome 1). A notable exception to the p</w:t>
      </w:r>
      <w:r w:rsidR="0083016F">
        <w:t>attern of merozoite expression wa</w:t>
      </w:r>
      <w:r w:rsidR="009255D4">
        <w:t xml:space="preserve">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5C3FF3">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5C3FF3">
        <w:fldChar w:fldCharType="separate"/>
      </w:r>
      <w:r w:rsidR="006018E2" w:rsidRPr="006018E2">
        <w:rPr>
          <w:noProof/>
        </w:rPr>
        <w:t>(Lasonder et al. 2008)</w:t>
      </w:r>
      <w:r w:rsidR="005C3FF3">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w:t>
      </w:r>
      <w:r w:rsidR="0083016F">
        <w:t>demonstrate</w:t>
      </w:r>
      <w:r w:rsidR="002105BA">
        <w:t xml:space="preserve"> that complex variation in </w:t>
      </w:r>
      <w:r w:rsidR="005358C1">
        <w:t xml:space="preserve">these </w:t>
      </w:r>
      <w:r w:rsidR="0083016F">
        <w:t xml:space="preserve">clinically important </w:t>
      </w:r>
      <w:r w:rsidR="002105BA">
        <w:t>genes can be ascertained in a high throughput manner via assembly of short sequence reads.</w:t>
      </w:r>
    </w:p>
    <w:p w:rsidR="00831572" w:rsidRDefault="0036655D" w:rsidP="00D92607">
      <w:pPr>
        <w:pStyle w:val="Heading2"/>
        <w:spacing w:line="480" w:lineRule="auto"/>
      </w:pPr>
      <w:r>
        <w:t>Meiotic c</w:t>
      </w:r>
      <w:r w:rsidR="00901FE9">
        <w:t>rossover and non-crossover</w:t>
      </w:r>
      <w:r w:rsidR="00316BAD">
        <w:t xml:space="preserve"> </w:t>
      </w:r>
      <w:r w:rsidR="00901FE9">
        <w:t xml:space="preserve">recombination </w:t>
      </w:r>
    </w:p>
    <w:p w:rsidR="00316BAD" w:rsidRDefault="001C6FE6" w:rsidP="00D92607">
      <w:pPr>
        <w:spacing w:line="480" w:lineRule="auto"/>
      </w:pPr>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w:t>
      </w:r>
      <w:r w:rsidR="00936076">
        <w:lastRenderedPageBreak/>
        <w:t xml:space="preserve">magnitude greater resolution than available </w:t>
      </w:r>
      <w:r w:rsidR="00320E71">
        <w:t>previously</w:t>
      </w:r>
      <w:r w:rsidR="004357C6">
        <w:t xml:space="preserve"> </w:t>
      </w:r>
      <w:r w:rsidR="005C3FF3">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4357C6" w:rsidRPr="004357C6">
        <w:rPr>
          <w:noProof/>
        </w:rPr>
        <w:t>(Jiang et al. 2011)</w:t>
      </w:r>
      <w:r w:rsidR="005C3FF3">
        <w:fldChar w:fldCharType="end"/>
      </w:r>
      <w:r w:rsidR="00936076">
        <w:t xml:space="preserve">. In eukaryotes, double strand breaks (DSBs) </w:t>
      </w:r>
      <w:r w:rsidR="00A47DDF">
        <w:t xml:space="preserve">initiated </w:t>
      </w:r>
      <w:r w:rsidR="00936076">
        <w:t>during meiosis are resolved by either crossover (CO) or non-crossover (NCO) between</w:t>
      </w:r>
      <w:r w:rsidR="004357C6">
        <w:t xml:space="preserve"> homologous chromosomes </w:t>
      </w:r>
      <w:r w:rsidR="005C3FF3">
        <w:fldChar w:fldCharType="begin" w:fldLock="1"/>
      </w:r>
      <w:r w:rsidR="00C03BD9">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&amp; Boulton 2011; Mancera et al. 2008; Baudat &amp; de Massy 2007)", "plainTextFormattedCitation" : "(Hastings 1992; Youds &amp; Boulton 2011; Mancera et al. 2008; Baudat &amp; de Massy 2007)", "previouslyFormattedCitation" : "(Hastings 1992; Youds &amp; Boulton 2011; Mancera et al. 2008; Baudat &amp; de Massy 2007)" }, "properties" : { "noteIndex" : 0 }, "schema" : "https://github.com/citation-style-language/schema/raw/master/csl-citation.json" }</w:instrText>
      </w:r>
      <w:r w:rsidR="005C3FF3">
        <w:fldChar w:fldCharType="separate"/>
      </w:r>
      <w:r w:rsidR="00C03BD9" w:rsidRPr="00C03BD9">
        <w:rPr>
          <w:noProof/>
        </w:rPr>
        <w:t>(Hastings 1992; Youds &amp; Boulton 2011; Mancera et al. 2008; Baudat &amp; de Massy 2007)</w:t>
      </w:r>
      <w:r w:rsidR="005C3FF3">
        <w:fldChar w:fldCharType="end"/>
      </w:r>
      <w:r w:rsidR="00936076">
        <w:t>. A CO is a reciprocal exchange accompanied by a conversion tract, whereas an NCO is a conversion tract without reciprocal exchange</w:t>
      </w:r>
      <w:r w:rsidR="000840C7">
        <w:t xml:space="preserve"> (also known as a gene conversion, although NCO events can occur in either coding or non-coding regions</w:t>
      </w:r>
      <w:r w:rsidR="00684E88">
        <w:t xml:space="preserve">; see also </w:t>
      </w:r>
      <w:r w:rsidR="00F1438E">
        <w:t xml:space="preserve">Figure 1 in </w:t>
      </w:r>
      <w:r w:rsidR="005C3FF3">
        <w:fldChar w:fldCharType="begin" w:fldLock="1"/>
      </w:r>
      <w:r w:rsidR="00684E88">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&amp; Boulton 2011)", "manualFormatting" : "Youds &amp; Boulton (2011", "plainTextFormattedCitation" : "(Youds &amp; Boulton 2011)", "previouslyFormattedCitation" : "(Youds &amp; Boulton 2011)" }, "properties" : { "noteIndex" : 0 }, "schema" : "https://github.com/citation-style-language/schema/raw/master/csl-citation.json" }</w:instrText>
      </w:r>
      <w:r w:rsidR="005C3FF3">
        <w:fldChar w:fldCharType="separate"/>
      </w:r>
      <w:r w:rsidR="00684E88" w:rsidRPr="00684E88">
        <w:rPr>
          <w:noProof/>
        </w:rPr>
        <w:t xml:space="preserve">Youds &amp; Boulton </w:t>
      </w:r>
      <w:r w:rsidR="00684E88">
        <w:rPr>
          <w:noProof/>
        </w:rPr>
        <w:t>(</w:t>
      </w:r>
      <w:r w:rsidR="00684E88" w:rsidRPr="00684E88">
        <w:rPr>
          <w:noProof/>
        </w:rPr>
        <w:t>2011</w:t>
      </w:r>
      <w:r w:rsidR="005C3FF3">
        <w:fldChar w:fldCharType="end"/>
      </w:r>
      <w:r w:rsidR="00684E88">
        <w:t>)</w:t>
      </w:r>
      <w:r w:rsidR="000840C7">
        <w:t>)</w:t>
      </w:r>
      <w:r w:rsidR="00936076">
        <w:t>. A</w:t>
      </w:r>
      <w:r w:rsidR="00320E71">
        <w:t>n</w:t>
      </w:r>
      <w:r w:rsidR="00936076">
        <w:t xml:space="preserve"> algorithm was used to infer CO and NCO events from the size and arrangement 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83016F">
        <w:t>(</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blocks, all putative conversion tracts supported by only a single marker or with a minimal length less than 100bp were excluded. This yielded a total of 1194 COs, 230 NCOs and 331 conve</w:t>
      </w:r>
      <w:r w:rsidR="001F7E29">
        <w:t>rsion tracts for further analysi</w:t>
      </w:r>
      <w:r w:rsidR="00936076">
        <w:t>s</w:t>
      </w:r>
      <w:r w:rsidR="003C6843">
        <w:t xml:space="preserve"> (Figure</w:t>
      </w:r>
      <w:r w:rsidR="001F7E29">
        <w:t>s</w:t>
      </w:r>
      <w:r w:rsidR="003C6843">
        <w:t xml:space="preserve"> </w:t>
      </w:r>
      <w:r w:rsidR="00F2574B">
        <w:t xml:space="preserve">S10 and </w:t>
      </w:r>
      <w:r w:rsidR="000118A7">
        <w:t>S11</w:t>
      </w:r>
      <w:r w:rsidR="00F1438E">
        <w:t>)</w:t>
      </w:r>
      <w:r w:rsidR="00936076">
        <w:t>.</w:t>
      </w:r>
    </w:p>
    <w:p w:rsidR="0036655D" w:rsidRDefault="0036655D" w:rsidP="00D92607">
      <w:pPr>
        <w:pStyle w:val="Heading3"/>
        <w:spacing w:line="480" w:lineRule="auto"/>
      </w:pPr>
      <w:r w:rsidRPr="0036655D">
        <w:t>Gene coding regions are warm</w:t>
      </w:r>
      <w:r w:rsidR="00E852B4">
        <w:t>-</w:t>
      </w:r>
      <w:r w:rsidRPr="0036655D">
        <w:t>spots and centromeres are cold</w:t>
      </w:r>
      <w:r w:rsidR="00E852B4">
        <w:t>-</w:t>
      </w:r>
      <w:r w:rsidRPr="0036655D">
        <w:t>spots of CO recombination</w:t>
      </w:r>
    </w:p>
    <w:p w:rsidR="009C2480" w:rsidRDefault="009C2480" w:rsidP="00D92607">
      <w:pPr>
        <w:spacing w:line="480" w:lineRule="auto"/>
      </w:pPr>
      <w:r>
        <w:t xml:space="preserve">Combining CO events from all three crosses, the total map length of the core genome was 15.7 Morgan (95% confidence interval: 14.8-16.6). The total marker span </w:t>
      </w:r>
      <w:r w:rsidR="003C6843">
        <w:t xml:space="preserve">of the physical chromosomes </w:t>
      </w:r>
      <w:r>
        <w:t>was 21.16Mb giving an average CO recombination rate of 13.5 kb/</w:t>
      </w:r>
      <w:proofErr w:type="spellStart"/>
      <w:r>
        <w:t>cM</w:t>
      </w:r>
      <w:proofErr w:type="spellEnd"/>
      <w:r>
        <w:t xml:space="preserve">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proofErr w:type="spellStart"/>
      <w:r w:rsidR="00C82549">
        <w:t>Kruskal</w:t>
      </w:r>
      <w:proofErr w:type="spellEnd"/>
      <w:r w:rsidR="00C82549">
        <w:t>-Wallis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5C3FF3">
        <w:fldChar w:fldCharType="begin" w:fldLock="1"/>
      </w:r>
      <w:r w:rsidR="00D5776C">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&amp; de Massy 2007; Martinez-Perez &amp; Colai\u00e1covo 2009; Mancera et al. 2008)", "plainTextFormattedCitation" : "(Baudat &amp; de Massy 2007; Martinez-Perez &amp; Colai\u00e1covo 2009; Mancera et al. 2008)", "previouslyFormattedCitation" : "(Baudat &amp; de Massy 2007; Martinez-Perez &amp; Colai\u00e1covo 2009; Mancera et al. 2008)" }, "properties" : { "noteIndex" : 0 }, "schema" : "https://github.com/citation-style-language/schema/raw/master/csl-citation.json" }</w:instrText>
      </w:r>
      <w:r w:rsidR="005C3FF3">
        <w:fldChar w:fldCharType="separate"/>
      </w:r>
      <w:r w:rsidR="006469F3" w:rsidRPr="006469F3">
        <w:rPr>
          <w:noProof/>
        </w:rPr>
        <w:t>(Baudat &amp; de Massy 2007; Martinez-Perez &amp; Colaiácovo 2009; Mancera et al. 2008)</w:t>
      </w:r>
      <w:r w:rsidR="005C3FF3">
        <w:fldChar w:fldCharType="end"/>
      </w:r>
      <w:r>
        <w:t>.</w:t>
      </w:r>
    </w:p>
    <w:p w:rsidR="00DE05F9" w:rsidRDefault="009C2480" w:rsidP="00D92607">
      <w:pPr>
        <w:spacing w:line="480" w:lineRule="auto"/>
      </w:pPr>
      <w:r>
        <w:lastRenderedPageBreak/>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5C3FF3">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811543" w:rsidRPr="00811543">
        <w:rPr>
          <w:noProof/>
        </w:rPr>
        <w:t>(Jiang et al. 2011)</w:t>
      </w:r>
      <w:r w:rsidR="005C3FF3">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t xml:space="preserve">recombination occurs </w:t>
      </w:r>
      <w:r w:rsidR="00457F08">
        <w:t xml:space="preserve">within hotspots that preferentially occur near genes but outside of the transcribed domain </w:t>
      </w:r>
      <w:r w:rsidR="005C3FF3">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667FE0" w:rsidRPr="00667FE0">
        <w:rPr>
          <w:noProof/>
        </w:rPr>
        <w:t>(Myers et al. 2005)</w:t>
      </w:r>
      <w:r w:rsidR="005C3FF3">
        <w:fldChar w:fldCharType="end"/>
      </w:r>
      <w:r w:rsidR="00320E71">
        <w:t xml:space="preserve">. </w:t>
      </w:r>
      <w:r>
        <w:t xml:space="preserve"> </w:t>
      </w:r>
    </w:p>
    <w:p w:rsidR="005D73F0" w:rsidRDefault="00242B17" w:rsidP="00D92607">
      <w:pPr>
        <w:pStyle w:val="Heading3"/>
        <w:spacing w:line="480" w:lineRule="auto"/>
      </w:pPr>
      <w:r>
        <w:t xml:space="preserve">Estimation of </w:t>
      </w:r>
      <w:r w:rsidR="00DA1B2C">
        <w:t>conversion tract</w:t>
      </w:r>
      <w:r>
        <w:t xml:space="preserve"> length</w:t>
      </w:r>
      <w:r w:rsidR="00C81D5D">
        <w:t xml:space="preserve"> and NCO recombination rate</w:t>
      </w:r>
    </w:p>
    <w:p w:rsidR="005D73F0" w:rsidRDefault="005D73F0" w:rsidP="00D92607">
      <w:pPr>
        <w:spacing w:line="480" w:lineRule="auto"/>
      </w:pPr>
      <w:r>
        <w:t>Of the 331 conversion tracts observed, an outlying group of 7 very long (</w:t>
      </w:r>
      <w:r w:rsidR="007A4A23">
        <w:t>&gt;18kb) complex tracts was found</w:t>
      </w:r>
      <w:r w:rsidR="001F7E29">
        <w:t>,</w:t>
      </w:r>
      <w:r>
        <w:t xml:space="preserve"> described further </w:t>
      </w:r>
      <w:r w:rsidR="00C44746">
        <w:t>below</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w:t>
      </w:r>
      <w:r>
        <w:lastRenderedPageBreak/>
        <w:t>determining the per-base-pair probabil</w:t>
      </w:r>
      <w:r w:rsidR="008C28A7">
        <w:t xml:space="preserve">ity of extending a tract </w:t>
      </w:r>
      <w:r w:rsidR="005C3FF3">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8C28A7" w:rsidRPr="008C28A7">
        <w:rPr>
          <w:noProof/>
        </w:rPr>
        <w:t>(Hilliker et al. 1994)</w:t>
      </w:r>
      <w:r w:rsidR="005C3FF3">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w:t>
      </w:r>
      <w:r w:rsidR="00121EF5">
        <w:t xml:space="preserve"> corresponding to a mean tract length of 1.4kb</w:t>
      </w:r>
      <w:r>
        <w:t>,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E). Assuming this model for the tract length distribution, simulations predicted an NCO discovery rate of 40% for HB3 x Dd2, 39% for 7G8 x GB4, and 45% for 3D7 x HB3 where the marker density was slightly higher</w:t>
      </w:r>
      <w:r w:rsidR="0083016F">
        <w:t xml:space="preserve"> (Supplementary Information)</w:t>
      </w:r>
      <w:r>
        <w:t xml:space="preserve">. </w:t>
      </w:r>
    </w:p>
    <w:p w:rsidR="005D73F0" w:rsidRDefault="005D73F0" w:rsidP="00D92607">
      <w:pPr>
        <w:spacing w:line="480" w:lineRule="auto"/>
      </w:pPr>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rlo simulation) with 37 (16%)</w:t>
      </w:r>
      <w:r>
        <w:t xml:space="preserve"> </w:t>
      </w:r>
      <w:proofErr w:type="gramStart"/>
      <w:r>
        <w:t>NCO conversion tracts falling entirely within a gene, 110 (48%) spanning a gene boundary, 35 (15%) entirely spanning a gene, and 14 (6%) intergenic.</w:t>
      </w:r>
      <w:proofErr w:type="gramEnd"/>
      <w:r>
        <w:t xml:space="preserve"> </w:t>
      </w:r>
    </w:p>
    <w:p w:rsidR="00EB143B" w:rsidRDefault="00EB143B" w:rsidP="00D92607">
      <w:pPr>
        <w:spacing w:line="480" w:lineRule="auto"/>
      </w:pPr>
      <w:r>
        <w:t>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inheritance (</w:t>
      </w:r>
      <w:r w:rsidR="007A4A23">
        <w:t>Figure S12</w:t>
      </w:r>
      <w:r>
        <w:t>). Two biological replicates of clone JF6 were sequenced and genotyped in 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contained 13 switches (</w:t>
      </w:r>
      <w:r w:rsidR="007A4A23">
        <w:t>Figure S12</w:t>
      </w:r>
      <w:r>
        <w:t xml:space="preserve">). At all of these loci there was no evidence of copy number </w:t>
      </w:r>
      <w:r>
        <w:lastRenderedPageBreak/>
        <w:t xml:space="preserve">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5C3FF3">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C44746" w:rsidRPr="006469F3">
        <w:rPr>
          <w:noProof/>
        </w:rPr>
        <w:t>(Mancera et al. 2008)</w:t>
      </w:r>
      <w:r w:rsidR="005C3FF3">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92607">
      <w:pPr>
        <w:pStyle w:val="Heading2"/>
        <w:spacing w:line="480" w:lineRule="auto"/>
      </w:pPr>
      <w:r>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D92607">
      <w:pPr>
        <w:spacing w:line="480" w:lineRule="auto"/>
      </w:pPr>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1</w:t>
      </w:r>
      <w:r w:rsidR="007D200B">
        <w:rPr>
          <w:i/>
        </w:rPr>
        <w:t>,</w:t>
      </w:r>
      <w:r w:rsidR="005358C1">
        <w:t xml:space="preserve"> conf</w:t>
      </w:r>
      <w:r w:rsidR="00184795">
        <w:t>e</w:t>
      </w:r>
      <w:r w:rsidR="007D200B">
        <w:t>rring</w:t>
      </w:r>
      <w:r w:rsidR="00184795">
        <w:t xml:space="preserve"> </w:t>
      </w:r>
      <w:proofErr w:type="spellStart"/>
      <w:r>
        <w:t>mefloquine</w:t>
      </w:r>
      <w:proofErr w:type="spellEnd"/>
      <w:r>
        <w:t xml:space="preserve"> resistance </w:t>
      </w:r>
      <w:r w:rsidR="005C3FF3">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Pr="0069322E">
        <w:rPr>
          <w:noProof/>
        </w:rPr>
        <w:t>(Cowman et al. 1994)</w:t>
      </w:r>
      <w:r w:rsidR="005C3FF3">
        <w:fldChar w:fldCharType="end"/>
      </w:r>
      <w:r w:rsidR="007D200B">
        <w:t xml:space="preserve">. Amplifications have also been found spanning </w:t>
      </w:r>
      <w:r w:rsidR="007D200B">
        <w:rPr>
          <w:i/>
        </w:rPr>
        <w:t>gch1</w:t>
      </w:r>
      <w:r w:rsidR="007D200B">
        <w:t xml:space="preserve">, conferring resistance to anti-folate drugs, in both HB3 and Dd2, although the amplifications are different in size and extent </w:t>
      </w:r>
      <w:r w:rsidR="007D200B">
        <w:fldChar w:fldCharType="begin" w:fldLock="1"/>
      </w:r>
      <w:r w:rsidR="007D200B">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7D200B">
        <w:fldChar w:fldCharType="separate"/>
      </w:r>
      <w:r w:rsidR="007D200B" w:rsidRPr="0069322E">
        <w:rPr>
          <w:noProof/>
        </w:rPr>
        <w:t>(Kidgell et al. 2006; Heinberg et al. 2013)</w:t>
      </w:r>
      <w:r w:rsidR="007D200B">
        <w:fldChar w:fldCharType="end"/>
      </w:r>
      <w:r w:rsidR="007D200B">
        <w:t xml:space="preserve">. The </w:t>
      </w:r>
      <w:r w:rsidR="007D200B">
        <w:rPr>
          <w:i/>
        </w:rPr>
        <w:t>mdr1</w:t>
      </w:r>
      <w:r w:rsidR="007D200B">
        <w:t xml:space="preserve"> amplification segregates in the progeny of HB3xDd2 </w:t>
      </w:r>
      <w:r w:rsidR="007D200B">
        <w:fldChar w:fldCharType="begin" w:fldLock="1"/>
      </w:r>
      <w:r w:rsidR="007D200B">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7D200B">
        <w:fldChar w:fldCharType="separate"/>
      </w:r>
      <w:r w:rsidR="007D200B" w:rsidRPr="00686F39">
        <w:rPr>
          <w:noProof/>
        </w:rPr>
        <w:t>(Wellems et al. 1990)</w:t>
      </w:r>
      <w:r w:rsidR="007D200B">
        <w:fldChar w:fldCharType="end"/>
      </w:r>
      <w:r w:rsidR="007D200B">
        <w:t xml:space="preserve"> and there is evidence that meiotic recombination has occurred within the amplified region in two progeny clones</w:t>
      </w:r>
      <w:r w:rsidR="00686F39">
        <w:t xml:space="preserve"> </w:t>
      </w:r>
      <w:r w:rsidR="005C3FF3">
        <w:fldChar w:fldCharType="begin" w:fldLock="1"/>
      </w:r>
      <w:r w:rsidR="00F81315">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686F39" w:rsidRPr="00686F39">
        <w:rPr>
          <w:noProof/>
        </w:rPr>
        <w:t>(Samarakoon, Gonzales, et al. 2011)</w:t>
      </w:r>
      <w:r w:rsidR="005C3FF3">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5C3FF3">
        <w:fldChar w:fldCharType="begin" w:fldLock="1"/>
      </w:r>
      <w:r w:rsidR="00766CC9">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766CC9" w:rsidRPr="00766CC9">
        <w:rPr>
          <w:noProof/>
        </w:rPr>
        <w:t>(Samarakoon, Gonzales, et al. 2011)</w:t>
      </w:r>
      <w:r w:rsidR="005C3FF3">
        <w:fldChar w:fldCharType="end"/>
      </w:r>
      <w:r w:rsidR="00A87178">
        <w:t>. Some form of recombination within the amplified 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5C3FF3">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5C3FF3">
        <w:fldChar w:fldCharType="separate"/>
      </w:r>
      <w:r w:rsidR="00766CC9" w:rsidRPr="00766CC9">
        <w:rPr>
          <w:noProof/>
        </w:rPr>
        <w:t>(Kidgell et al. 2006; Sepúlveda et al. 2013)</w:t>
      </w:r>
      <w:r w:rsidR="005C3FF3">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4925F5" w:rsidRDefault="00A87178" w:rsidP="00D92607">
      <w:pPr>
        <w:spacing w:line="480" w:lineRule="auto"/>
      </w:pPr>
      <w:r w:rsidRPr="00143AF4">
        <w:t>We</w:t>
      </w:r>
      <w:r>
        <w:t xml:space="preserve"> combined data on depth of sequence coverage </w:t>
      </w:r>
      <w:r w:rsidR="00143AF4">
        <w:t>and the orientation of ali</w:t>
      </w:r>
      <w:r w:rsidR="00A6066D">
        <w:t>gned read pairs</w:t>
      </w:r>
      <w:r w:rsidR="00143AF4">
        <w:t xml:space="preserve"> to study CNV alleles in all three crosses</w:t>
      </w:r>
      <w:r w:rsidR="001F7E29">
        <w:t xml:space="preserve"> (Methods and Supplementary Information)</w:t>
      </w:r>
      <w:r w:rsidR="00143AF4">
        <w:t>.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t xml:space="preserve">Evidence for amplifications spanning </w:t>
      </w:r>
      <w:r w:rsidR="005A420C">
        <w:rPr>
          <w:i/>
        </w:rPr>
        <w:t>g</w:t>
      </w:r>
      <w:r w:rsidR="00E63D8E">
        <w:rPr>
          <w:i/>
        </w:rPr>
        <w:t>ch</w:t>
      </w:r>
      <w:r w:rsidR="005A420C">
        <w:rPr>
          <w:i/>
        </w:rPr>
        <w:t>1</w:t>
      </w:r>
      <w:r w:rsidR="005A420C">
        <w:t xml:space="preserve"> was also clear in all parental clones (Figure 4). The 3D7 reference genome </w:t>
      </w:r>
      <w:r w:rsidR="001F7E29">
        <w:t xml:space="preserve">(version 3) </w:t>
      </w:r>
      <w:r w:rsidR="005A420C">
        <w:t xml:space="preserve">has only a single copy of </w:t>
      </w:r>
      <w:r w:rsidR="005A420C" w:rsidRPr="005A420C">
        <w:rPr>
          <w:i/>
        </w:rPr>
        <w:t>gch1</w:t>
      </w:r>
      <w:r w:rsidR="005A420C">
        <w:t xml:space="preserve">, </w:t>
      </w:r>
      <w:r w:rsidR="005A420C">
        <w:lastRenderedPageBreak/>
        <w:t>however all studies including ours have found t</w:t>
      </w:r>
      <w:r w:rsidR="005A420C" w:rsidRPr="005A420C">
        <w:t>he</w:t>
      </w:r>
      <w:r w:rsidR="005A420C">
        <w:t xml:space="preserve"> 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5C3FF3">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5C3FF3">
        <w:fldChar w:fldCharType="separate"/>
      </w:r>
      <w:r w:rsidR="00E048FA" w:rsidRPr="00E048FA">
        <w:rPr>
          <w:noProof/>
        </w:rPr>
        <w:t>(Nair et al. 2008; Sepúlveda et al. 2013)</w:t>
      </w:r>
      <w:r w:rsidR="005C3FF3">
        <w:fldChar w:fldCharType="end"/>
      </w:r>
      <w:r w:rsidR="00DC4403">
        <w:t xml:space="preserve">. </w:t>
      </w:r>
      <w:r w:rsidR="00B25677">
        <w:t>We found that a</w:t>
      </w:r>
      <w:r w:rsidR="00DC4403">
        <w:t>lignment of re</w:t>
      </w:r>
      <w:r w:rsidR="00F57A57">
        <w:t xml:space="preserve">ad pairs indicated that </w:t>
      </w:r>
      <w:r w:rsidR="00DC4403">
        <w:t>the Dd2 amplification was arranged as a tandem inversion</w:t>
      </w:r>
      <w:r w:rsidR="00D24847">
        <w:t xml:space="preserve"> (Figure 4D)</w:t>
      </w:r>
      <w:r w:rsidR="00DC4403">
        <w:t xml:space="preserve"> whereas 3D7, HB3 and 7G8 carried tandem </w:t>
      </w:r>
      <w:r w:rsidR="0083016F">
        <w:t>arrays</w:t>
      </w:r>
      <w:r w:rsidR="00D24847">
        <w:t xml:space="preserve"> (Figures 4A and 4E)</w:t>
      </w:r>
      <w:r w:rsidR="00DC4403">
        <w:t xml:space="preserve"> adding further evid</w:t>
      </w:r>
      <w:r w:rsidR="00EC5F6F">
        <w:t>ence for the independent origin</w:t>
      </w:r>
      <w:r w:rsidR="00E048FA">
        <w:t xml:space="preserve"> of these CNV alleles</w:t>
      </w:r>
      <w:r w:rsidR="00DC4403">
        <w:t>.</w:t>
      </w:r>
      <w:r w:rsidR="004925F5">
        <w:t xml:space="preserve"> The HB3(2) sample appeared to be a mixture with approximately 20% of parasites retaining the duplication found in HB3(1) and 80% having no amplification</w:t>
      </w:r>
      <w:r w:rsidR="00D24847">
        <w:t xml:space="preserve"> (Figure 4D)</w:t>
      </w:r>
      <w:r w:rsidR="004925F5">
        <w:t xml:space="preserve"> which is not unexpected given that amplifications can be lost in culture </w:t>
      </w:r>
      <w:r w:rsidR="00686F39">
        <w:t>in the absence of drug pressure</w:t>
      </w:r>
      <w:r w:rsidR="00EC5F6F">
        <w:t xml:space="preserve"> </w:t>
      </w:r>
      <w:r w:rsidR="00B25677">
        <w:t xml:space="preserve">leading to a mixed colony of parasites </w:t>
      </w:r>
      <w:r w:rsidR="005C3FF3">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00EC5F6F" w:rsidRPr="00EC5F6F">
        <w:rPr>
          <w:noProof/>
        </w:rPr>
        <w:t>(Cowman et al. 1994)</w:t>
      </w:r>
      <w:r w:rsidR="005C3FF3">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F2574B">
        <w:t>; Figure S14-S16</w:t>
      </w:r>
      <w:r w:rsidR="004925F5">
        <w:t>).</w:t>
      </w:r>
    </w:p>
    <w:p w:rsidR="00043C58" w:rsidRPr="00653393" w:rsidRDefault="00DF4B94" w:rsidP="00D92607">
      <w:pPr>
        <w:pStyle w:val="Heading4"/>
        <w:spacing w:line="480" w:lineRule="auto"/>
      </w:pPr>
      <w:r>
        <w:t xml:space="preserve">Recombination within amplified regions leads to pseudo-heterozygosity </w:t>
      </w:r>
    </w:p>
    <w:p w:rsidR="00685935" w:rsidRDefault="00581853" w:rsidP="00D92607">
      <w:pPr>
        <w:spacing w:line="480" w:lineRule="auto"/>
      </w:pPr>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Depending how 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t>
      </w:r>
      <w:r w:rsidR="0083016F">
        <w:t>At segregating sites w</w:t>
      </w:r>
      <w:r w:rsidR="00C4455E">
        <w:t>ithin a region of pseudo-heterozygosity</w:t>
      </w:r>
      <w:r w:rsidR="003A7A20">
        <w:t>,</w:t>
      </w:r>
      <w:r w:rsidR="00C4455E">
        <w:t xml:space="preserve"> reads supporting each parental allele shoul</w:t>
      </w:r>
      <w:r w:rsidR="0083016F">
        <w:t>d appear in a roughly 1:1 ratio</w:t>
      </w:r>
      <w:r w:rsidR="004C0B1A">
        <w:t>, whereas elsewhere only one parental allele should be observed</w:t>
      </w:r>
      <w:r w:rsidR="0083016F">
        <w:t>.</w:t>
      </w:r>
      <w:r w:rsidR="003A7A20">
        <w:t xml:space="preserve"> </w:t>
      </w:r>
    </w:p>
    <w:p w:rsidR="00901FE9" w:rsidRDefault="00DF4B94" w:rsidP="00D92607">
      <w:pPr>
        <w:spacing w:line="480" w:lineRule="auto"/>
      </w:pPr>
      <w:r>
        <w:lastRenderedPageBreak/>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w:t>
      </w:r>
      <w:r w:rsidR="00B25677">
        <w:t xml:space="preserve">at least </w:t>
      </w:r>
      <w:r>
        <w:t xml:space="preserve">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5C3FF3">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5C3FF3">
        <w:fldChar w:fldCharType="separate"/>
      </w:r>
      <w:r w:rsidR="00194EE4" w:rsidRPr="00194EE4">
        <w:rPr>
          <w:noProof/>
        </w:rPr>
        <w:t>(Völker et al. 2010)</w:t>
      </w:r>
      <w:r w:rsidR="005C3FF3">
        <w:fldChar w:fldCharType="end"/>
      </w:r>
      <w:r>
        <w:t xml:space="preserve">. An alternative explanation is that the </w:t>
      </w:r>
      <w:r w:rsidR="00C4455E">
        <w:t xml:space="preserve">HB3 </w:t>
      </w:r>
      <w:r>
        <w:t xml:space="preserve">CNV is not </w:t>
      </w:r>
      <w:proofErr w:type="gramStart"/>
      <w:r>
        <w:t>a tandem</w:t>
      </w:r>
      <w:proofErr w:type="gramEnd"/>
      <w:r>
        <w:t xml:space="preserve"> duplication and one copy of the region has been translocated to a different chromosome, however read orientation evidence 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from HB3 as well as the 5kb </w:t>
      </w:r>
      <w:r w:rsidR="00607AA0">
        <w:t>3-fold tandem inversion from Dd2</w:t>
      </w:r>
      <w:r w:rsidR="00C4455E">
        <w:t xml:space="preserve"> (F</w:t>
      </w:r>
      <w:r w:rsidR="00242BE4">
        <w:t>igure 4</w:t>
      </w:r>
      <w:r w:rsidR="00B05A9F">
        <w:t>E</w:t>
      </w:r>
      <w:r>
        <w:t xml:space="preserve">). Two separate regions of 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thus</w:t>
      </w:r>
      <w:r>
        <w:t xml:space="preserve"> CH3_61 acquired 1 copy from HB3 and 3 copies from Dd2. </w:t>
      </w:r>
      <w:r w:rsidR="00F81315">
        <w:t xml:space="preserve">We also confirmed previous evidence for recombination within the 82kb amplification spanning </w:t>
      </w:r>
      <w:r w:rsidR="00F81315">
        <w:rPr>
          <w:i/>
        </w:rPr>
        <w:t xml:space="preserve">mdr1 </w:t>
      </w:r>
      <w:r w:rsidR="00F81315">
        <w:t xml:space="preserve">in two progeny of HB3xDd2 </w:t>
      </w:r>
      <w:r w:rsidR="005C3FF3">
        <w:fldChar w:fldCharType="begin" w:fldLock="1"/>
      </w:r>
      <w:r w:rsidR="003D3144">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F81315" w:rsidRPr="00F81315">
        <w:rPr>
          <w:noProof/>
        </w:rPr>
        <w:t>(Samarakoon, Gonzales, et al. 2011)</w:t>
      </w:r>
      <w:r w:rsidR="005C3FF3">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D92607">
      <w:pPr>
        <w:pStyle w:val="Heading2"/>
        <w:spacing w:line="480" w:lineRule="auto"/>
      </w:pPr>
      <w:r>
        <w:lastRenderedPageBreak/>
        <w:t>A web application to facilitate data exploration and re-use</w:t>
      </w:r>
    </w:p>
    <w:p w:rsidR="00F428AA" w:rsidRPr="00D24847" w:rsidRDefault="00DC6B87" w:rsidP="00D92607">
      <w:pPr>
        <w:spacing w:line="480" w:lineRule="auto"/>
        <w:rPr>
          <w:color w:val="0000FF" w:themeColor="hyperlink"/>
          <w:u w:val="single"/>
        </w:rPr>
      </w:pPr>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11" w:history="1">
        <w:r w:rsidR="00F428AA" w:rsidRPr="006F0B99">
          <w:rPr>
            <w:rStyle w:val="Hyperlink"/>
          </w:rPr>
          <w:t>http://www.malariagen.net/apps/pf-crosses</w:t>
        </w:r>
      </w:hyperlink>
      <w:r w:rsidR="00D24847">
        <w:t>.</w:t>
      </w:r>
      <w:r w:rsidR="00F428AA">
        <w:t xml:space="preserve"> </w:t>
      </w:r>
      <w:r w:rsidR="00D24847">
        <w:t>The introduction page (Figure 5A) provides navig</w:t>
      </w:r>
      <w:r w:rsidR="00B25677">
        <w:t>ation to a set of tools, including</w:t>
      </w:r>
      <w:r w:rsidR="00F428AA">
        <w:t xml:space="preserve">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individual samples and </w:t>
      </w:r>
      <w:r w:rsidR="00F428AA">
        <w:t xml:space="preserve">patterns of </w:t>
      </w:r>
      <w:r w:rsidR="0043059A">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xml:space="preserve">; and a browser for visualising the sequence alignments themselves, implemented by embedding the </w:t>
      </w:r>
      <w:proofErr w:type="spellStart"/>
      <w:r w:rsidR="00F428AA">
        <w:t>LookSeq</w:t>
      </w:r>
      <w:proofErr w:type="spellEnd"/>
      <w:r w:rsidR="00F428AA">
        <w:t xml:space="preserve"> software</w:t>
      </w:r>
      <w:r w:rsidR="006C6A25">
        <w:t xml:space="preserve"> </w:t>
      </w:r>
      <w:r w:rsidR="005C3FF3">
        <w:fldChar w:fldCharType="begin" w:fldLock="1"/>
      </w:r>
      <w:r w:rsidR="00114AB5">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&amp; Kwiatkowski 2009)", "plainTextFormattedCitation" : "(Manske &amp; Kwiatkowski 2009)", "previouslyFormattedCitation" : "(Manske &amp; Kwiatkowski 2009)" }, "properties" : { "noteIndex" : 0 }, "schema" : "https://github.com/citation-style-language/schema/raw/master/csl-citation.json" }</w:instrText>
      </w:r>
      <w:r w:rsidR="005C3FF3">
        <w:fldChar w:fldCharType="separate"/>
      </w:r>
      <w:r w:rsidR="006C6A25" w:rsidRPr="006C6A25">
        <w:rPr>
          <w:noProof/>
        </w:rPr>
        <w:t>(Manske &amp; Kwiatkowski 2009)</w:t>
      </w:r>
      <w:r w:rsidR="005C3FF3">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w:t>
      </w:r>
      <w:proofErr w:type="spellStart"/>
      <w:r w:rsidR="00B241EF">
        <w:t>filterbank</w:t>
      </w:r>
      <w:proofErr w:type="spellEnd"/>
      <w:r w:rsidR="00B241EF">
        <w:t xml:space="preserve"> was implemented to enable highly responsive browsing at all scales from base-pair resolution up to entire chromosomes.</w:t>
      </w:r>
      <w:r w:rsidR="00E25470">
        <w:t xml:space="preserve"> </w:t>
      </w:r>
      <w:r w:rsidR="00F428AA">
        <w:t xml:space="preserve">The underlying technologies for this web application are 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2"/>
      </w:r>
      <w:r w:rsidR="00F428AA">
        <w:t>.</w:t>
      </w:r>
    </w:p>
    <w:p w:rsidR="009E1600" w:rsidRDefault="009E1600" w:rsidP="00D92607">
      <w:pPr>
        <w:pStyle w:val="Heading1"/>
        <w:spacing w:line="480" w:lineRule="auto"/>
      </w:pPr>
      <w:r>
        <w:t>Discussion</w:t>
      </w:r>
    </w:p>
    <w:p w:rsidR="00FD7AB6" w:rsidRDefault="00295C75" w:rsidP="00D92607">
      <w:pPr>
        <w:spacing w:line="480" w:lineRule="auto"/>
      </w:pPr>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clone 803 and the artemisinin sensitive GB4</w:t>
      </w:r>
      <w:r w:rsidR="00A47DDF">
        <w:t xml:space="preserve"> (</w:t>
      </w:r>
      <w:proofErr w:type="spellStart"/>
      <w:r w:rsidR="00A47DDF">
        <w:t>Wellems</w:t>
      </w:r>
      <w:proofErr w:type="spellEnd"/>
      <w:r w:rsidR="00A47DDF">
        <w:t>, pers. comm.)</w:t>
      </w:r>
      <w:r w:rsidR="00FD7AB6">
        <w:t xml:space="preserve">.  The 803xGB4 cross is the last to use a primate host, however new methods </w:t>
      </w:r>
      <w:r w:rsidR="0056071D">
        <w:t xml:space="preserve">are emerging </w:t>
      </w:r>
      <w:r w:rsidR="00FD7AB6">
        <w:t xml:space="preserve">for performing </w:t>
      </w:r>
      <w:r w:rsidR="00FD7AB6" w:rsidRPr="006C1853">
        <w:rPr>
          <w:i/>
        </w:rPr>
        <w:t>P. falciparum</w:t>
      </w:r>
      <w:r w:rsidR="00FD7AB6">
        <w:t xml:space="preserve"> crosses </w:t>
      </w:r>
      <w:r w:rsidR="00FD7AB6">
        <w:lastRenderedPageBreak/>
        <w:t>using humanized mouse model</w:t>
      </w:r>
      <w:r w:rsidR="0056071D">
        <w:t>s</w:t>
      </w:r>
      <w:r w:rsidR="00A47DDF">
        <w:t xml:space="preserve"> </w:t>
      </w:r>
      <w:r w:rsidR="00A47DDF">
        <w:fldChar w:fldCharType="begin" w:fldLock="1"/>
      </w:r>
      <w:r w:rsidR="00716BD6">
        <w:instrText>ADDIN CSL_CITATION { "citationItems" : [ { "id" : "ITEM-1", "itemData" : { "DOI" : "10.1038/nmeth.3432", "ISSN" : "1548-7105", "PMID" : "26030447", "abstract" : "Genetic crosses of phenotypically distinct strains of the human malaria parasite Plasmodium falciparum are a powerful tool for identifying genes controlling drug resistance and other key phenotypes. Previous studies relied on the isolation of recombinant parasites from splenectomized chimpanzees, a research avenue that is no longer available. Here we demonstrate that human-liver chimeric mice support recovery of recombinant progeny for the identification of genetic determinants of parasite traits and adaptations.", "author" : [ { "dropping-particle" : "", "family" : "Vaughan", "given" : "Ashley M", "non-dropping-particle" : "", "parse-names" : false, "suffix" : "" }, { "dropping-particle" : "", "family" : "Pinapati", "given" : "Richard S", "non-dropping-particle" : "", "parse-names" : false, "suffix" : "" }, { "dropping-particle" : "", "family" : "Cheeseman", "given" : "Ian H", "non-dropping-particle" : "", "parse-names" : false, "suffix" : "" }, { "dropping-particle" : "", "family" : "Camargo", "given" : "Nelly", "non-dropping-particle" : "", "parse-names" : false, "suffix" : "" }, { "dropping-particle" : "", "family" : "Fishbaugher", "given" : "Matthew", "non-dropping-particle" : "", "parse-names" : false, "suffix" : "" }, { "dropping-particle" : "", "family" : "Checkley", "given" : "Lisa A", "non-dropping-particle" : "", "parse-names" : false, "suffix" : "" }, { "dropping-particle" : "", "family" : "Nair", "given" : "Shalini", "non-dropping-particle" : "", "parse-names" : false, "suffix" : "" }, { "dropping-particle" : "", "family" : "Hutyra", "given" : "Carolyn A", "non-dropping-particle" : "", "parse-names" : false, "suffix" : "" }, { "dropping-particle" : "", "family" : "Nosten", "given" : "Fran\u00e7ois H", "non-dropping-particle" : "", "parse-names" : false, "suffix" : "" }, { "dropping-particle" : "", "family" : "Anderson", "given" : "Timothy J C", "non-dropping-particle" : "", "parse-names" : false, "suffix" : "" }, { "dropping-particle" : "", "family" : "Ferdig", "given" : "Michael T", "non-dropping-particle" : "", "parse-names" : false, "suffix" : "" }, { "dropping-particle" : "", "family" : "Kappe", "given" : "Stefan H I", "non-dropping-particle" : "", "parse-names" : false, "suffix" : "" } ], "container-title" : "Nature methods", "id" : "ITEM-1", "issue" : "7", "issued" : { "date-parts" : [ [ "2015", "6", "1" ] ] }, "page" : "631-633", "publisher" : "Nature Publishing Group, a division of Macmillan Publishers Limited. All Rights Reserved.", "title" : "Plasmodium falciparum genetic crosses in a humanized mouse model.", "title-short" : "Nat Meth", "type" : "article-journal", "volume" : "12" }, "uris" : [ "http://www.mendeley.com/documents/?uuid=d7b5e195-5700-4f41-89b1-fed5467d2e85" ] } ], "mendeley" : { "formattedCitation" : "(Vaughan et al. 2015)", "plainTextFormattedCitation" : "(Vaughan et al. 2015)", "previouslyFormattedCitation" : "(Vaughan et al. 2015)" }, "properties" : { "noteIndex" : 0 }, "schema" : "https://github.com/citation-style-language/schema/raw/master/csl-citation.json" }</w:instrText>
      </w:r>
      <w:r w:rsidR="00A47DDF">
        <w:fldChar w:fldCharType="separate"/>
      </w:r>
      <w:r w:rsidR="00A47DDF" w:rsidRPr="00A47DDF">
        <w:rPr>
          <w:noProof/>
        </w:rPr>
        <w:t>(Vaughan et al. 2015)</w:t>
      </w:r>
      <w:r w:rsidR="00A47DDF">
        <w:fldChar w:fldCharType="end"/>
      </w:r>
      <w:r w:rsidR="00FD7AB6">
        <w:t xml:space="preserve"> opening the possibility for many new crosses to be generated. </w:t>
      </w:r>
      <w:r w:rsidR="00BD2070">
        <w:t xml:space="preserve">It would </w:t>
      </w:r>
      <w:r w:rsidR="00EC7A42">
        <w:t xml:space="preserve">significantly </w:t>
      </w:r>
      <w:r w:rsidR="00BD2070">
        <w:t xml:space="preserve">benefit the research community if standardised genomic data on these additional crosses could be generated and incorporated into a single data resource. </w:t>
      </w:r>
      <w:r w:rsidR="00FD7AB6">
        <w:t xml:space="preserve">The web application we have developed for exploring sequence and variation data has a flexible design and could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D92607">
      <w:pPr>
        <w:spacing w:line="480" w:lineRule="auto"/>
      </w:pPr>
      <w:r>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hypervariable regions containing </w:t>
      </w:r>
      <w:proofErr w:type="spellStart"/>
      <w:r>
        <w:rPr>
          <w:i/>
        </w:rPr>
        <w:t>var</w:t>
      </w:r>
      <w:proofErr w:type="spellEnd"/>
      <w:r>
        <w:t xml:space="preserve"> genes, because divergence from the reference </w:t>
      </w:r>
      <w:r w:rsidR="0042585D">
        <w:t>genome</w:t>
      </w:r>
      <w:r>
        <w:t xml:space="preserve"> and </w:t>
      </w:r>
      <w:proofErr w:type="spellStart"/>
      <w:r w:rsidR="00CF7888">
        <w:t>paralogous</w:t>
      </w:r>
      <w:proofErr w:type="spellEnd"/>
      <w:r w:rsidR="00CF7888">
        <w:t xml:space="preserve">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t>using</w:t>
      </w:r>
      <w:r w:rsidR="00CF7888">
        <w:t xml:space="preserve"> short sequence reads. </w:t>
      </w:r>
      <w:r w:rsidR="00EC7A42">
        <w:t>However, 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w:t>
      </w:r>
      <w:r w:rsidR="00EC7A42">
        <w:t xml:space="preserve">are clearly capable of dealing with highly divergent sequences and </w:t>
      </w:r>
      <w:r w:rsidR="00CF7888">
        <w:t xml:space="preserve">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and complete assembly will be required to fully characterise the structural rearrangements</w:t>
      </w:r>
      <w:r w:rsidR="008337E7">
        <w:t xml:space="preserve"> between </w:t>
      </w:r>
      <w:proofErr w:type="spellStart"/>
      <w:r w:rsidR="008337E7">
        <w:rPr>
          <w:i/>
        </w:rPr>
        <w:t>var</w:t>
      </w:r>
      <w:proofErr w:type="spellEnd"/>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5C3FF3">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56071D" w:rsidRPr="0056071D">
        <w:rPr>
          <w:noProof/>
        </w:rPr>
        <w:t>(Claessens et al. 2014)</w:t>
      </w:r>
      <w:r w:rsidR="005C3FF3">
        <w:fldChar w:fldCharType="end"/>
      </w:r>
      <w:r w:rsidR="00CF7888">
        <w:t xml:space="preserve">. </w:t>
      </w:r>
    </w:p>
    <w:p w:rsidR="00E551B5" w:rsidRDefault="00CF7888" w:rsidP="00D92607">
      <w:pPr>
        <w:spacing w:line="480" w:lineRule="auto"/>
      </w:pPr>
      <w:r>
        <w:t xml:space="preserve">The </w:t>
      </w:r>
      <w:r w:rsidR="0042585D">
        <w:t xml:space="preserve">SNP and INDEL variants </w:t>
      </w:r>
      <w:r w:rsidR="00A42392">
        <w:t>presented here could be used as a truth set to calibrate variant calling and filtering methods</w:t>
      </w:r>
      <w:r w:rsidR="00EC7A42">
        <w:t xml:space="preserve"> in other studies</w:t>
      </w:r>
      <w:r w:rsidR="00295C75">
        <w:t xml:space="preserve">, for example studies of </w:t>
      </w:r>
      <w:r w:rsidR="00A42392">
        <w:t>variation in parasite DNA samples extracted directly from natural infections. By comparing our variant calls wit</w:t>
      </w:r>
      <w:r w:rsidR="0056071D">
        <w:t xml:space="preserve">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SNP and INDEL alleles was highly concordant in all three crosses, and INDEL genotypes were almost perfectly </w:t>
      </w:r>
      <w:r w:rsidR="00A80866">
        <w:lastRenderedPageBreak/>
        <w:t xml:space="preserve">reproducible across multiple </w:t>
      </w:r>
      <w:r w:rsidR="004C0B1A">
        <w:t>biological</w:t>
      </w:r>
      <w:r w:rsidR="00FA1985">
        <w:t xml:space="preserve">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This </w:t>
      </w:r>
      <w:r w:rsidR="00295C75">
        <w:t>could</w:t>
      </w:r>
      <w:r w:rsidR="00BF5E41">
        <w:t xml:space="preserve"> 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noted considerable discordance between the</w:t>
      </w:r>
      <w:r w:rsidR="00AF1774">
        <w:t xml:space="preserve"> </w:t>
      </w:r>
      <w:r w:rsidR="00BF5E41">
        <w:t xml:space="preserve">HB3 draft assembly and published </w:t>
      </w:r>
      <w:r w:rsidR="00AF1774">
        <w:t>gene</w:t>
      </w:r>
      <w:r w:rsidR="00BF5E41">
        <w:t xml:space="preserve"> sequences regarding INDELs</w:t>
      </w:r>
      <w:r w:rsidR="00DA6F10">
        <w:t>. A</w:t>
      </w:r>
      <w:r w:rsidR="00BF5E41">
        <w:t>lthough the draft assembly seemed generally more 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assembled to the same quality as the current 3D7 reference, so that methods for calling all</w:t>
      </w:r>
      <w:r w:rsidR="00A80866">
        <w:t xml:space="preserve"> types</w:t>
      </w:r>
      <w:r w:rsidR="00DA6F10">
        <w:t xml:space="preserve"> of polymorphism </w:t>
      </w:r>
      <w:r w:rsidR="00AF1774">
        <w:t>and can be accurately evaluated.</w:t>
      </w:r>
    </w:p>
    <w:p w:rsidR="00FA1985" w:rsidRPr="00757C5C" w:rsidRDefault="00FA1985" w:rsidP="00D92607">
      <w:pPr>
        <w:spacing w:line="480" w:lineRule="auto"/>
      </w:pPr>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5C3FF3">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5C3FF3">
        <w:fldChar w:fldCharType="separate"/>
      </w:r>
      <w:r w:rsidR="00E32851" w:rsidRPr="00E32851">
        <w:rPr>
          <w:noProof/>
        </w:rPr>
        <w:t>(Li et al. 2002; Muzzey et al. 2013)</w:t>
      </w:r>
      <w:r w:rsidR="005C3FF3">
        <w:fldChar w:fldCharType="end"/>
      </w:r>
      <w:r w:rsidR="00757C5C">
        <w:t xml:space="preserve">. Using the HB3xDd2 cross, </w:t>
      </w:r>
      <w:r w:rsidR="005C3FF3">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5C3FF3">
        <w:fldChar w:fldCharType="separate"/>
      </w:r>
      <w:r w:rsidR="00757C5C" w:rsidRPr="003D3144">
        <w:rPr>
          <w:noProof/>
        </w:rPr>
        <w:t xml:space="preserve">Gonzales et al. </w:t>
      </w:r>
      <w:r w:rsidR="00757C5C">
        <w:rPr>
          <w:noProof/>
        </w:rPr>
        <w:t>(</w:t>
      </w:r>
      <w:r w:rsidR="00757C5C" w:rsidRPr="003D3144">
        <w:rPr>
          <w:noProof/>
        </w:rPr>
        <w:t>2008)</w:t>
      </w:r>
      <w:r w:rsidR="005C3FF3">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5C3FF3">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5C3FF3">
        <w:fldChar w:fldCharType="separate"/>
      </w:r>
      <w:r w:rsidR="00FC41D8" w:rsidRPr="00FC41D8">
        <w:rPr>
          <w:noProof/>
        </w:rPr>
        <w:t xml:space="preserve">Mok et al. </w:t>
      </w:r>
      <w:r w:rsidR="00FC41D8">
        <w:rPr>
          <w:noProof/>
        </w:rPr>
        <w:t>(</w:t>
      </w:r>
      <w:r w:rsidR="00FC41D8" w:rsidRPr="00FC41D8">
        <w:rPr>
          <w:noProof/>
        </w:rPr>
        <w:t>2014)</w:t>
      </w:r>
      <w:r w:rsidR="005C3FF3">
        <w:fldChar w:fldCharType="end"/>
      </w:r>
      <w:r w:rsidR="00E551B5">
        <w:t xml:space="preserve"> found that deletion of a promoter upstream of </w:t>
      </w:r>
      <w:r w:rsidR="00E551B5">
        <w:rPr>
          <w:i/>
        </w:rPr>
        <w:t>pfmrp2</w:t>
      </w:r>
      <w:r w:rsidR="00E551B5">
        <w:t xml:space="preserve"> altered sensitivity to </w:t>
      </w:r>
      <w:proofErr w:type="spellStart"/>
      <w:r w:rsidR="00E551B5">
        <w:t>quinoline</w:t>
      </w:r>
      <w:proofErr w:type="spellEnd"/>
      <w:r w:rsidR="00E551B5">
        <w:t xml:space="preserve"> drugs. </w:t>
      </w:r>
      <w:r w:rsidR="00AF1774">
        <w:t>The data on non-coding variation presented here could provide a starting point for f</w:t>
      </w:r>
      <w:r w:rsidR="00E551B5">
        <w:t xml:space="preserve">urther experimental work to explore the impact of non-coding variation in </w:t>
      </w:r>
      <w:r w:rsidR="00E551B5" w:rsidRPr="00E551B5">
        <w:rPr>
          <w:i/>
        </w:rPr>
        <w:t>P. falciparum</w:t>
      </w:r>
      <w:r w:rsidR="00E551B5">
        <w:t>.</w:t>
      </w:r>
    </w:p>
    <w:p w:rsidR="00DE2B43" w:rsidRDefault="00E551B5" w:rsidP="00D92607">
      <w:pPr>
        <w:spacing w:line="480" w:lineRule="auto"/>
      </w:pPr>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5C3FF3">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Pr="00622F1D">
        <w:rPr>
          <w:noProof/>
        </w:rPr>
        <w:t xml:space="preserve">(Walliker et al. </w:t>
      </w:r>
      <w:r w:rsidRPr="00622F1D">
        <w:rPr>
          <w:noProof/>
        </w:rPr>
        <w:lastRenderedPageBreak/>
        <w:t>1987)</w:t>
      </w:r>
      <w:r w:rsidR="005C3FF3">
        <w:fldChar w:fldCharType="end"/>
      </w:r>
      <w:r>
        <w:t xml:space="preserve">. </w:t>
      </w:r>
      <w:r w:rsidR="008337E7">
        <w:t xml:space="preserve">We combined </w:t>
      </w:r>
      <w:r>
        <w:t>data from all three crosses</w:t>
      </w:r>
      <w:r w:rsidR="00DE2B43">
        <w:t xml:space="preserve"> </w:t>
      </w:r>
      <w:r w:rsidR="008337E7">
        <w:t xml:space="preserve">to estimate a </w:t>
      </w:r>
      <w:r>
        <w:t>CO recombination rate in the range 12.7-14.3 kb/</w:t>
      </w:r>
      <w:proofErr w:type="spellStart"/>
      <w:r>
        <w:t>cM</w:t>
      </w:r>
      <w:proofErr w:type="spellEnd"/>
      <w:r>
        <w:t xml:space="preserve"> </w:t>
      </w:r>
      <w:r w:rsidR="00DE2B43">
        <w:t>in close agreeme</w:t>
      </w:r>
      <w:r w:rsidR="003E405C">
        <w:t xml:space="preserve">nt with previous studies </w:t>
      </w:r>
      <w:r w:rsidR="005C3FF3">
        <w:fldChar w:fldCharType="begin" w:fldLock="1"/>
      </w:r>
      <w:r w:rsidR="003E405C">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&amp; Mwangi 2012)", "plainTextFormattedCitation" : "(Jiang et al. 2011; Ranford-Cartwright &amp; Mwangi 2012)", "previouslyFormattedCitation" : "(Jiang et al. 2011; Ranford-Cartwright &amp; Mwangi 2012)" }, "properties" : { "noteIndex" : 0 }, "schema" : "https://github.com/citation-style-language/schema/raw/master/csl-citation.json" }</w:instrText>
      </w:r>
      <w:r w:rsidR="005C3FF3">
        <w:fldChar w:fldCharType="separate"/>
      </w:r>
      <w:r w:rsidR="003E405C" w:rsidRPr="003E405C">
        <w:rPr>
          <w:noProof/>
        </w:rPr>
        <w:t>(Jiang et al. 2011; Ranford-Cartwright &amp; Mwangi 2012)</w:t>
      </w:r>
      <w:r w:rsidR="005C3FF3">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5C3FF3">
        <w:fldChar w:fldCharType="begin" w:fldLock="1"/>
      </w:r>
      <w:r w:rsidR="003E405C">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3E405C" w:rsidRPr="003E405C">
        <w:rPr>
          <w:noProof/>
        </w:rPr>
        <w:t xml:space="preserve">Samarakoon, Regier, et al. </w:t>
      </w:r>
      <w:r w:rsidR="003E405C">
        <w:rPr>
          <w:noProof/>
        </w:rPr>
        <w:t>(</w:t>
      </w:r>
      <w:r w:rsidR="003E405C" w:rsidRPr="003E405C">
        <w:rPr>
          <w:noProof/>
        </w:rPr>
        <w:t>2011)</w:t>
      </w:r>
      <w:r w:rsidR="005C3FF3">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power to observe NCO tracts should be higher. We found that conversion tract lengths in </w:t>
      </w:r>
      <w:r w:rsidR="00AA140E" w:rsidRPr="00AA140E">
        <w:rPr>
          <w:i/>
        </w:rPr>
        <w:t>P. falciparum</w:t>
      </w:r>
      <w:r w:rsidR="00AA140E">
        <w:t xml:space="preserve"> are comparable to yeast </w:t>
      </w:r>
      <w:r w:rsidR="005C3FF3">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AA140E" w:rsidRPr="00D5776C">
        <w:rPr>
          <w:noProof/>
        </w:rPr>
        <w:t>(Mancera et al. 2008)</w:t>
      </w:r>
      <w:r w:rsidR="005C3FF3">
        <w:fldChar w:fldCharType="end"/>
      </w:r>
      <w:r w:rsidR="00AA140E">
        <w:t xml:space="preserve"> but longer than humans </w:t>
      </w:r>
      <w:r w:rsidR="005C3FF3">
        <w:fldChar w:fldCharType="begin" w:fldLock="1"/>
      </w:r>
      <w:r w:rsidR="00AA140E">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&amp; May 2004)", "plainTextFormattedCitation" : "(Jeffreys &amp; May 2004)", "previouslyFormattedCitation" : "(Jeffreys &amp; May 2004)" }, "properties" : { "noteIndex" : 0 }, "schema" : "https://github.com/citation-style-language/schema/raw/master/csl-citation.json" }</w:instrText>
      </w:r>
      <w:r w:rsidR="005C3FF3">
        <w:fldChar w:fldCharType="separate"/>
      </w:r>
      <w:r w:rsidR="00AA140E" w:rsidRPr="0076105D">
        <w:rPr>
          <w:noProof/>
        </w:rPr>
        <w:t>(Jeffreys &amp; May 2004)</w:t>
      </w:r>
      <w:r w:rsidR="005C3FF3">
        <w:fldChar w:fldCharType="end"/>
      </w:r>
      <w:r w:rsidR="00AA140E">
        <w:t xml:space="preserve"> and </w:t>
      </w:r>
      <w:r w:rsidR="00AA140E" w:rsidRPr="007A5FFB">
        <w:rPr>
          <w:i/>
        </w:rPr>
        <w:t>Drosophila</w:t>
      </w:r>
      <w:r w:rsidR="00AA140E">
        <w:t xml:space="preserve"> </w:t>
      </w:r>
      <w:r w:rsidR="005C3FF3">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AA140E" w:rsidRPr="007A5FFB">
        <w:rPr>
          <w:noProof/>
        </w:rPr>
        <w:t>(Hilliker et al. 1994)</w:t>
      </w:r>
      <w:r w:rsidR="005C3FF3">
        <w:fldChar w:fldCharType="end"/>
      </w:r>
      <w:r w:rsidR="00AA140E">
        <w:t>. Our observation</w:t>
      </w:r>
      <w:r w:rsidR="00BE1CB2">
        <w:t>s</w:t>
      </w:r>
      <w:r w:rsidR="00AA140E">
        <w:t xml:space="preserve"> of apparent long-range complex recombination events spanning &gt;60kb in some progeny do not fit well with current models </w:t>
      </w:r>
      <w:r w:rsidR="008337E7">
        <w:t xml:space="preserve">for eukaryotic recombination pathways </w:t>
      </w:r>
      <w:r w:rsidR="00AA140E">
        <w:t>and remain to be explained.</w:t>
      </w:r>
    </w:p>
    <w:p w:rsidR="000C7B24" w:rsidRDefault="00A42F7A" w:rsidP="00D92607">
      <w:pPr>
        <w:spacing w:line="480" w:lineRule="auto"/>
      </w:pPr>
      <w:r>
        <w:t xml:space="preserve">In higher eukaryotes the recombination rate is known to be highly variable over the genome, with most recombination concentrated within narrow hotspots </w:t>
      </w:r>
      <w:r w:rsidR="005C3FF3">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E91A85" w:rsidRPr="00E91A85">
        <w:rPr>
          <w:noProof/>
        </w:rPr>
        <w:t>(Myers et al. 2005)</w:t>
      </w:r>
      <w:r w:rsidR="005C3FF3">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5C3FF3">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91A85" w:rsidRPr="00E91A85">
        <w:rPr>
          <w:noProof/>
        </w:rPr>
        <w:t>(Jiang et al. 2011)</w:t>
      </w:r>
      <w:r w:rsidR="005C3FF3">
        <w:fldChar w:fldCharType="end"/>
      </w:r>
      <w:r>
        <w:t>.</w:t>
      </w:r>
      <w:r w:rsidR="00A44E52">
        <w:t xml:space="preserve"> </w:t>
      </w:r>
      <w:r w:rsidR="00ED4067">
        <w:t xml:space="preserve">Data from natural populations </w:t>
      </w:r>
      <w:r w:rsidR="0084749C">
        <w:t>will be required to robustly evaluate the support for different hotspot mode</w:t>
      </w:r>
      <w:r w:rsidR="00414247">
        <w:t>ls</w:t>
      </w:r>
      <w:r w:rsidR="00AF1774">
        <w:t xml:space="preserve"> in P. falciparum. We observed a small but significant bias towards recombination within coding </w:t>
      </w:r>
      <w:proofErr w:type="gramStart"/>
      <w:r w:rsidR="00AF1774">
        <w:t>regions,</w:t>
      </w:r>
      <w:proofErr w:type="gramEnd"/>
      <w:r w:rsidR="00AF1774">
        <w:t xml:space="preserve"> however</w:t>
      </w:r>
      <w:r w:rsidR="00ED4067">
        <w:t xml:space="preserve"> </w:t>
      </w:r>
      <w:r w:rsidR="00414247">
        <w:t>recombination events</w:t>
      </w:r>
      <w:r w:rsidR="0084749C">
        <w:t xml:space="preserve"> </w:t>
      </w:r>
      <w:r w:rsidR="00AF1774">
        <w:t>were frequent</w:t>
      </w:r>
      <w:r w:rsidR="0084749C">
        <w:t xml:space="preserve"> in 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finding</w:t>
      </w:r>
      <w:r w:rsidR="00BE1CB2">
        <w:t>s apply only to the core genome</w:t>
      </w:r>
      <w:r w:rsidR="00D329C7">
        <w:t xml:space="preserve"> and entirely different processes may operate within hypervariable regions</w:t>
      </w:r>
      <w:r w:rsidR="0017234E">
        <w:t xml:space="preserve">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ED4067">
        <w:t>.</w:t>
      </w:r>
    </w:p>
    <w:p w:rsidR="002F7A46" w:rsidRDefault="006927BD" w:rsidP="00D92607">
      <w:pPr>
        <w:spacing w:line="480" w:lineRule="auto"/>
      </w:pPr>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5C3FF3">
        <w:fldChar w:fldCharType="begin" w:fldLock="1"/>
      </w:r>
      <w:r w:rsidR="00AC053E">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AC053E" w:rsidRPr="00AC053E">
        <w:rPr>
          <w:noProof/>
        </w:rPr>
        <w:t>(Samarakoon, Gonzales, et al. 2011)</w:t>
      </w:r>
      <w:r w:rsidR="005C3FF3">
        <w:fldChar w:fldCharType="end"/>
      </w:r>
      <w:r>
        <w:t xml:space="preserve"> to illustrate</w:t>
      </w:r>
      <w:r w:rsidR="00C21A3B">
        <w:t xml:space="preserve"> two</w:t>
      </w:r>
      <w:r>
        <w:t xml:space="preserve"> other cases of </w:t>
      </w:r>
      <w:r>
        <w:lastRenderedPageBreak/>
        <w:t>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w:t>
      </w:r>
      <w:r w:rsidR="00AF1774">
        <w:t>pseudo-</w:t>
      </w:r>
      <w:r>
        <w:t xml:space="preserve">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5C3FF3">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5C3FF3">
        <w:fldChar w:fldCharType="separate"/>
      </w:r>
      <w:r w:rsidR="00141CF3" w:rsidRPr="00141CF3">
        <w:rPr>
          <w:noProof/>
        </w:rPr>
        <w:t>(Kondrashov 2012; Anderson et al. 2009; Rosenthal 2013)</w:t>
      </w:r>
      <w:r w:rsidR="005C3FF3">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5C3FF3">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5C3FF3">
        <w:fldChar w:fldCharType="separate"/>
      </w:r>
      <w:r w:rsidR="008C5FF4" w:rsidRPr="008C5FF4">
        <w:rPr>
          <w:noProof/>
        </w:rPr>
        <w:t>(Anderson et al. 2009)</w:t>
      </w:r>
      <w:r w:rsidR="005C3FF3">
        <w:fldChar w:fldCharType="end"/>
      </w:r>
      <w:r w:rsidR="00DF4B94">
        <w:t>. The process of amplification followed by homologous recombination could provide a mechanism by which both mutant and wild type alleles are acquired</w:t>
      </w:r>
      <w:r w:rsidR="00AF1774">
        <w:t xml:space="preserve"> and could both be expressed simultaneously</w:t>
      </w:r>
      <w:r w:rsidR="00DF4B94">
        <w:t xml:space="preserve">, compensating for fitness costs associated with </w:t>
      </w:r>
      <w:r w:rsidR="00D329C7">
        <w:t xml:space="preserve">either </w:t>
      </w:r>
      <w:r w:rsidR="00DF4B94">
        <w:t xml:space="preserve">allele alone. </w:t>
      </w:r>
      <w:r w:rsidR="005B6E1D">
        <w:t xml:space="preserve">The acquisition of both alleles </w:t>
      </w:r>
      <w:r w:rsidR="00AF1774">
        <w:t xml:space="preserve">also </w:t>
      </w:r>
      <w:r w:rsidR="004C0B1A">
        <w:t xml:space="preserve">creates an </w:t>
      </w:r>
      <w:r w:rsidR="005B6E1D">
        <w:t xml:space="preserve">opportunity to silence one allele and switch expression between alleles if conditions change. Switching expression between duplicated genes has been shown to occur at the </w:t>
      </w:r>
      <w:r w:rsidR="005B6E1D" w:rsidRPr="005B6E1D">
        <w:rPr>
          <w:i/>
        </w:rPr>
        <w:t>clag3</w:t>
      </w:r>
      <w:r w:rsidR="005B6E1D">
        <w:t xml:space="preserve"> locus in response to in vitro drug pressure </w:t>
      </w:r>
      <w:r w:rsidR="005C3FF3">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5C3FF3">
        <w:fldChar w:fldCharType="separate"/>
      </w:r>
      <w:r w:rsidR="00ED4067" w:rsidRPr="00ED4067">
        <w:rPr>
          <w:noProof/>
        </w:rPr>
        <w:t>(Mira-Martínez et al. 2013)</w:t>
      </w:r>
      <w:r w:rsidR="005C3FF3">
        <w:fldChar w:fldCharType="end"/>
      </w:r>
      <w:r w:rsidR="005B6E1D">
        <w:t xml:space="preserve">. </w:t>
      </w:r>
      <w:r w:rsidR="00AF1774">
        <w:t>Over a longer timescale, g</w:t>
      </w:r>
      <w:r w:rsidR="00090410">
        <w:t>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7A6D4F">
        <w:fldChar w:fldCharType="begin" w:fldLock="1"/>
      </w:r>
      <w:r w:rsidR="001412D0">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"previouslyFormattedCitation" : "(Valli et al. 2007)" }, "properties" : { "noteIndex" : 0 }, "schema" : "https://github.com/citation-style-language/schema/raw/master/csl-citation.json" }</w:instrText>
      </w:r>
      <w:r w:rsidR="007A6D4F">
        <w:fldChar w:fldCharType="separate"/>
      </w:r>
      <w:r w:rsidR="007A6D4F" w:rsidRPr="007A6D4F">
        <w:rPr>
          <w:noProof/>
        </w:rPr>
        <w:t>(Valli et al. 2007)</w:t>
      </w:r>
      <w:r w:rsidR="007A6D4F">
        <w:fldChar w:fldCharType="end"/>
      </w:r>
      <w:r w:rsidR="00090410">
        <w:t xml:space="preserve">. </w:t>
      </w:r>
    </w:p>
    <w:p w:rsidR="004A6CF5" w:rsidRDefault="002F7A46" w:rsidP="00D92607">
      <w:pPr>
        <w:spacing w:line="480" w:lineRule="auto"/>
      </w:pPr>
      <w:r>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5C3FF3">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5C3FF3">
        <w:fldChar w:fldCharType="separate"/>
      </w:r>
      <w:r w:rsidR="008C5FF4" w:rsidRPr="008C5FF4">
        <w:rPr>
          <w:noProof/>
        </w:rPr>
        <w:t>(Nair et al. 2007)</w:t>
      </w:r>
      <w:r w:rsidR="005C3FF3">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5C3FF3">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5C3FF3">
        <w:fldChar w:fldCharType="separate"/>
      </w:r>
      <w:r w:rsidR="00ED4067" w:rsidRPr="00ED4067">
        <w:rPr>
          <w:noProof/>
        </w:rPr>
        <w:t>Nair et al.</w:t>
      </w:r>
      <w:r w:rsidR="005C3FF3">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genome-wide average</w:t>
      </w:r>
      <w:r w:rsidR="004C0B1A">
        <w:t>,</w:t>
      </w:r>
      <w:r w:rsidR="00D70420">
        <w:t xml:space="preserv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AF1774">
        <w:t>populations.</w:t>
      </w:r>
    </w:p>
    <w:p w:rsidR="00D51DCC" w:rsidRDefault="003C72B7" w:rsidP="00D92607">
      <w:pPr>
        <w:spacing w:line="480" w:lineRule="auto"/>
      </w:pPr>
      <w:r>
        <w:lastRenderedPageBreak/>
        <w:t xml:space="preserve">The core genome </w:t>
      </w:r>
      <w:r w:rsidR="0017234E">
        <w:t xml:space="preserve">of </w:t>
      </w:r>
      <w:r w:rsidR="0017234E" w:rsidRPr="0017234E">
        <w:rPr>
          <w:i/>
        </w:rPr>
        <w:t>P. falciparum</w:t>
      </w:r>
      <w:r w:rsidR="0017234E">
        <w:t xml:space="preserve"> </w:t>
      </w:r>
      <w:r w:rsidR="00D51DCC">
        <w:t xml:space="preserve">thus </w:t>
      </w:r>
      <w:r>
        <w:t xml:space="preserve">appears </w:t>
      </w:r>
      <w:r w:rsidR="00D51DCC">
        <w:t xml:space="preserve">stable yet poised to undergo </w:t>
      </w:r>
      <w:r w:rsidR="00E4440B">
        <w:t>rapid</w:t>
      </w:r>
      <w:r w:rsidR="00D51DCC">
        <w:t xml:space="preserve"> evolution within any region that come</w:t>
      </w:r>
      <w:r w:rsidR="00E63D8E">
        <w:t>s</w:t>
      </w:r>
      <w:r w:rsidR="00D51DCC">
        <w:t xml:space="preserve"> under </w:t>
      </w:r>
      <w:r w:rsidR="00E63D8E">
        <w:t>selection</w:t>
      </w:r>
      <w:r w:rsidR="00D51DCC">
        <w:t>.</w:t>
      </w:r>
      <w:r w:rsidR="00E63D8E">
        <w:t xml:space="preserve"> This may be</w:t>
      </w:r>
      <w:r w:rsidR="004A6CF5">
        <w:t>come particularly</w:t>
      </w:r>
      <w:r w:rsidR="00E63D8E">
        <w:t xml:space="preserve"> relevant as malaria elimination intensifies in South-East Asia, applying ever stronger selective pressures to parasite populations.</w:t>
      </w:r>
    </w:p>
    <w:p w:rsidR="009E1600" w:rsidRDefault="009E1600" w:rsidP="00D92607">
      <w:pPr>
        <w:pStyle w:val="Heading1"/>
        <w:spacing w:line="480" w:lineRule="auto"/>
      </w:pPr>
      <w:r>
        <w:t>Methods</w:t>
      </w:r>
    </w:p>
    <w:p w:rsidR="00AC67A5" w:rsidRDefault="00AC67A5" w:rsidP="00D92607">
      <w:pPr>
        <w:pStyle w:val="Heading2"/>
        <w:spacing w:line="480" w:lineRule="auto"/>
      </w:pPr>
      <w:r>
        <w:t>Whole genome sequencing</w:t>
      </w:r>
    </w:p>
    <w:p w:rsidR="00AC67A5" w:rsidRDefault="00AC67A5" w:rsidP="00D92607">
      <w:pPr>
        <w:spacing w:line="480" w:lineRule="auto"/>
      </w:pPr>
      <w:r>
        <w:t>All sequencing was carried out using Illumina high throughput technology as described in</w:t>
      </w:r>
      <w:r w:rsidR="00457090">
        <w:t xml:space="preserve"> </w:t>
      </w:r>
      <w:r w:rsidR="005C3FF3">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5C3FF3">
        <w:fldChar w:fldCharType="separate"/>
      </w:r>
      <w:r w:rsidR="00457090" w:rsidRPr="00457090">
        <w:rPr>
          <w:noProof/>
        </w:rPr>
        <w:t>(Manske et al. 2012)</w:t>
      </w:r>
      <w:r w:rsidR="005C3FF3">
        <w:fldChar w:fldCharType="end"/>
      </w:r>
      <w:r w:rsidR="00457090">
        <w:t xml:space="preserve"> </w:t>
      </w:r>
      <w:r>
        <w:t xml:space="preserve">except that the PCR-free method of library preparation as described in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457090" w:rsidRPr="00457090">
        <w:rPr>
          <w:noProof/>
        </w:rPr>
        <w:t>(Kozarewa et al. 2009)</w:t>
      </w:r>
      <w:r w:rsidR="005C3FF3">
        <w:fldChar w:fldCharType="end"/>
      </w:r>
      <w:r>
        <w:t xml:space="preserve"> was used.</w:t>
      </w:r>
    </w:p>
    <w:p w:rsidR="000E06C9" w:rsidRDefault="000E06C9" w:rsidP="00D92607">
      <w:pPr>
        <w:pStyle w:val="Heading2"/>
        <w:spacing w:line="480" w:lineRule="auto"/>
      </w:pPr>
      <w:r>
        <w:t>Variant calling</w:t>
      </w:r>
    </w:p>
    <w:p w:rsidR="00536C74" w:rsidRDefault="000E06C9" w:rsidP="00D92607">
      <w:pPr>
        <w:spacing w:line="480" w:lineRule="auto"/>
      </w:pPr>
      <w:r>
        <w:t>Variants were called by two independent methods.</w:t>
      </w:r>
      <w:r w:rsidR="00BB10EC">
        <w:t xml:space="preserve"> </w:t>
      </w:r>
      <w:r>
        <w:t xml:space="preserve">The alignment method used </w:t>
      </w:r>
      <w:r w:rsidR="00CD5EC1">
        <w:t xml:space="preserve">BWA </w:t>
      </w:r>
      <w:r w:rsidR="005C3FF3">
        <w:fldChar w:fldCharType="begin" w:fldLock="1"/>
      </w:r>
      <w:r w:rsidR="00CD5EC1">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&amp; Durbin 2009)", "plainTextFormattedCitation" : "(Li &amp; Durbin 2009)", "previouslyFormattedCitation" : "(Li &amp; Durbin 2009)" }, "properties" : { "noteIndex" : 0 }, "schema" : "https://github.com/citation-style-language/schema/raw/master/csl-citation.json" }</w:instrText>
      </w:r>
      <w:r w:rsidR="005C3FF3">
        <w:fldChar w:fldCharType="separate"/>
      </w:r>
      <w:r w:rsidR="00CD5EC1" w:rsidRPr="00CD5EC1">
        <w:rPr>
          <w:noProof/>
        </w:rPr>
        <w:t>(Li &amp; Durbin 2009)</w:t>
      </w:r>
      <w:r w:rsidR="005C3FF3">
        <w:fldChar w:fldCharType="end"/>
      </w:r>
      <w:r w:rsidR="00CD5EC1">
        <w:t xml:space="preserve"> </w:t>
      </w:r>
      <w:r w:rsidR="00077681">
        <w:t xml:space="preserve">to align reads to the 3D7 version 3 reference genome, then applied GATK </w:t>
      </w:r>
      <w:r w:rsidR="005C3FF3">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5C3FF3">
        <w:fldChar w:fldCharType="separate"/>
      </w:r>
      <w:r w:rsidR="00077681" w:rsidRPr="00077681">
        <w:rPr>
          <w:noProof/>
        </w:rPr>
        <w:t>(McKenna et al. 2010)</w:t>
      </w:r>
      <w:r w:rsidR="005C3FF3">
        <w:fldChar w:fldCharType="end"/>
      </w:r>
      <w:r w:rsidR="00077681">
        <w:t xml:space="preserve"> base quality score recalibration, </w:t>
      </w:r>
      <w:r w:rsidR="0042544D">
        <w:t>INDEL</w:t>
      </w:r>
      <w:r w:rsidR="00077681">
        <w:t xml:space="preserve"> realignment, duplicate removal, and performed SNP and INDEL discovery and genotyping across samples within each cross simultaneously</w:t>
      </w:r>
      <w:r w:rsidR="00B34836">
        <w:t xml:space="preserve"> using the Unified </w:t>
      </w:r>
      <w:proofErr w:type="spellStart"/>
      <w:r w:rsidR="00B34836">
        <w:t>Genotyper</w:t>
      </w:r>
      <w:proofErr w:type="spellEnd"/>
      <w:r w:rsidR="00077681">
        <w:t>, then used variant quality score recalibration to filter variants, following</w:t>
      </w:r>
      <w:r>
        <w:t xml:space="preserve"> </w:t>
      </w:r>
      <w:r w:rsidR="00077681">
        <w:t xml:space="preserve">GATK </w:t>
      </w:r>
      <w:r>
        <w:t xml:space="preserve">best practice </w:t>
      </w:r>
      <w:r w:rsidR="00077681">
        <w:t xml:space="preserve">recommendations </w:t>
      </w:r>
      <w:r w:rsidR="005C3FF3">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5C3FF3">
        <w:fldChar w:fldCharType="separate"/>
      </w:r>
      <w:r w:rsidR="00E32851" w:rsidRPr="00E32851">
        <w:rPr>
          <w:noProof/>
        </w:rPr>
        <w:t>(DePristo et al. 2011; Van der Auwera et al. 2013)</w:t>
      </w:r>
      <w:r w:rsidR="005C3FF3">
        <w:fldChar w:fldCharType="end"/>
      </w:r>
      <w:r w:rsidR="00077681">
        <w:t xml:space="preserve"> </w:t>
      </w:r>
      <w:r>
        <w:t xml:space="preserve">with some adaptations for </w:t>
      </w:r>
      <w:r w:rsidRPr="000E06C9">
        <w:rPr>
          <w:i/>
        </w:rPr>
        <w:t>P. falciparum</w:t>
      </w:r>
      <w:r>
        <w:t>.</w:t>
      </w:r>
      <w:r w:rsidR="00B6677C">
        <w:t xml:space="preserve"> </w:t>
      </w:r>
      <w:r w:rsidR="00EE5A51">
        <w:t>The assembly method</w:t>
      </w:r>
      <w:r w:rsidR="00CD5EC1">
        <w:t xml:space="preserve"> used Cortex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CD5EC1" w:rsidRPr="00CD5EC1">
        <w:rPr>
          <w:noProof/>
        </w:rPr>
        <w:t>(Iqbal et al. 2012)</w:t>
      </w:r>
      <w:r w:rsidR="005C3FF3">
        <w:fldChar w:fldCharType="end"/>
      </w:r>
      <w:r w:rsidR="00536C74">
        <w:t xml:space="preserve"> following the independent workflow</w:t>
      </w:r>
      <w:r w:rsidR="00EE5A51">
        <w:t>.</w:t>
      </w:r>
      <w:r w:rsidR="00536C74">
        <w:t xml:space="preserve"> </w:t>
      </w:r>
      <w:r w:rsidR="00B34836">
        <w:t xml:space="preserve">Mendelian errors were used to calibrate variant filtering methods. </w:t>
      </w:r>
      <w:r w:rsidR="00536C74">
        <w:t>Filtered variants from both calling methods were t</w:t>
      </w:r>
      <w:r w:rsidR="00CD5EC1">
        <w:t xml:space="preserve">hen combined into a single </w:t>
      </w:r>
      <w:r w:rsidR="00536C74">
        <w:t>set of segregating variation for each cross.</w:t>
      </w:r>
      <w:r w:rsidR="00B34836">
        <w:t xml:space="preserve"> Further details are provided in the Supplementary Information.</w:t>
      </w:r>
      <w:r w:rsidR="00EE5A51">
        <w:t xml:space="preserve"> </w:t>
      </w:r>
    </w:p>
    <w:p w:rsidR="0077582B" w:rsidRDefault="0077582B" w:rsidP="00D92607">
      <w:pPr>
        <w:pStyle w:val="Heading2"/>
        <w:spacing w:line="480" w:lineRule="auto"/>
      </w:pPr>
      <w:r>
        <w:t>Inference of CO and NCO recombination events and conversion tracts</w:t>
      </w:r>
    </w:p>
    <w:p w:rsidR="0077582B" w:rsidRPr="0077582B" w:rsidRDefault="0077582B" w:rsidP="00D92607">
      <w:pPr>
        <w:spacing w:line="480" w:lineRule="auto"/>
      </w:pPr>
      <w:r>
        <w:t xml:space="preserve">The combined </w:t>
      </w:r>
      <w:r w:rsidR="00536C74">
        <w:t xml:space="preserve">variant </w:t>
      </w:r>
      <w:r>
        <w:t>call set</w:t>
      </w:r>
      <w:r w:rsidR="00536C74">
        <w:t>s</w:t>
      </w:r>
      <w:r w:rsidR="004C0B1A">
        <w:t xml:space="preserve"> were</w:t>
      </w:r>
      <w:r>
        <w:t xml:space="preserve">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xml:space="preserve">, by iterating through variants </w:t>
      </w:r>
      <w:r w:rsidR="00DD58EF">
        <w:lastRenderedPageBreak/>
        <w:t>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ny such blocks occurring in isolation were assumed to be simple conversion tracts. A</w:t>
      </w:r>
      <w:r w:rsidR="00502205">
        <w:t xml:space="preserve">ny such blocks occurring </w:t>
      </w:r>
      <w:r w:rsidR="00A50A39">
        <w:t xml:space="preserve">directly </w:t>
      </w:r>
      <w:r w:rsidR="00502205">
        <w:t>adjacent to each other were merged</w:t>
      </w:r>
      <w:r w:rsidR="003C72B7">
        <w:t xml:space="preserve"> into a single complex 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t xml:space="preserve">directly </w:t>
      </w:r>
      <w:r w:rsidR="00502205">
        <w:t>adjacent to a CO were then identified, and the remaining conve</w:t>
      </w:r>
      <w:r w:rsidR="00DD58EF">
        <w:t>rsion tracts were assumed to be</w:t>
      </w:r>
      <w:r w:rsidR="00502205">
        <w:t xml:space="preserve"> NCO events.</w:t>
      </w:r>
      <w:r w:rsidR="00A50A39">
        <w:t xml:space="preserve"> Putative conversion tracts supported by a single marker or with a minimal length less than 100bp were excluded from further analyses. </w:t>
      </w:r>
    </w:p>
    <w:p w:rsidR="0077582B" w:rsidRDefault="005E5FE9" w:rsidP="00D92607">
      <w:pPr>
        <w:pStyle w:val="Heading2"/>
        <w:spacing w:line="480" w:lineRule="auto"/>
      </w:pPr>
      <w:r>
        <w:t>Recombination analyses</w:t>
      </w:r>
    </w:p>
    <w:p w:rsidR="005E5FE9" w:rsidRDefault="005E5FE9" w:rsidP="00D92607">
      <w:pPr>
        <w:spacing w:line="480" w:lineRule="auto"/>
      </w:pPr>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high and thus we assume</w:t>
      </w:r>
      <w:r w:rsidR="0042544D">
        <w:t>d</w:t>
      </w:r>
      <w:r>
        <w:t xml:space="preserve"> </w:t>
      </w:r>
      <w:r w:rsidR="00C333D0">
        <w:t>all crossovers were observed</w:t>
      </w:r>
      <w:r>
        <w:t xml:space="preserve">. </w:t>
      </w:r>
      <w:r w:rsidR="00F7616C">
        <w:t xml:space="preserve">To estimate the true conversion tract length distribution, conversion tracts were simulated </w:t>
      </w:r>
      <w:r w:rsidR="0042544D">
        <w:t xml:space="preserve">from geometric distributions with different values for the parameter </w:t>
      </w:r>
      <w:r w:rsidR="0042544D">
        <w:rPr>
          <w:i/>
        </w:rPr>
        <w:t>phi</w:t>
      </w:r>
      <w:r w:rsidR="0042544D">
        <w:t xml:space="preserve"> (the per-base-pair probability of extending a tract). Within each simulation run, </w:t>
      </w:r>
      <w:r w:rsidR="00F7616C">
        <w:t xml:space="preserve">the distribution of tract lengths that would be observed given the available markers within each cross was computed. </w:t>
      </w:r>
      <w:r w:rsidR="0042544D">
        <w:t>After all simulations were run, t</w:t>
      </w:r>
      <w:r w:rsidR="00F7616C">
        <w:t xml:space="preserve">he parameter </w:t>
      </w:r>
      <w:r w:rsidR="00F7616C" w:rsidRPr="00F7616C">
        <w:rPr>
          <w:i/>
        </w:rPr>
        <w:t>phi</w:t>
      </w:r>
      <w:r w:rsidR="00F7616C">
        <w:t xml:space="preserve"> was fitted</w:t>
      </w:r>
      <w:r w:rsidR="0042544D">
        <w:t xml:space="preserve"> to the data</w:t>
      </w:r>
      <w:r w:rsidR="00F7616C">
        <w:t xml:space="preserve">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D92607">
      <w:pPr>
        <w:pStyle w:val="Heading2"/>
        <w:spacing w:line="480" w:lineRule="auto"/>
      </w:pPr>
      <w:r>
        <w:t>C</w:t>
      </w:r>
      <w:r w:rsidR="00F7616C">
        <w:t>opy number variation</w:t>
      </w:r>
    </w:p>
    <w:p w:rsidR="00F7616C" w:rsidRDefault="00F7616C" w:rsidP="00D270DA">
      <w:pPr>
        <w:spacing w:line="480" w:lineRule="auto"/>
      </w:pPr>
      <w:r>
        <w:t xml:space="preserve">The genome was divided into 300bp non-overlapping bins and the number of reads whose alignment started within each bin was calculated for each sample. These binned read counts were </w:t>
      </w:r>
      <w:r>
        <w:lastRenderedPageBreak/>
        <w:t>then normalise</w:t>
      </w:r>
      <w:r w:rsidR="00D7475C">
        <w:t xml:space="preserve">d by dividing by the median read count found within the core regions of chromosome 14. Bins where the GC content was lower than 20% were excluded from coverage analyses due to coverage bias in most samples. The fraction of aligned reads with face-away orientation and same-strand orientation was calculated per position for each sample using </w:t>
      </w:r>
      <w:proofErr w:type="spellStart"/>
      <w:r w:rsidR="00D7475C">
        <w:t>pysamstats</w:t>
      </w:r>
      <w:proofErr w:type="spellEnd"/>
      <w:r w:rsidR="00501A82">
        <w:rPr>
          <w:rStyle w:val="FootnoteReference"/>
        </w:rPr>
        <w:footnoteReference w:id="13"/>
      </w:r>
      <w:r w:rsidR="00D7475C">
        <w:t xml:space="preserve">. Copy number state was predicted in all samples by fitting a Gaussian hidden Markov model to </w:t>
      </w:r>
      <w:r w:rsidR="00BE0BCD">
        <w:t>the normalised coverage data</w:t>
      </w:r>
      <w:r w:rsidR="004C0B1A">
        <w:t xml:space="preserve"> (Supplementary Information)</w:t>
      </w:r>
      <w:r w:rsidR="00BE0BCD">
        <w:t>.</w:t>
      </w:r>
    </w:p>
    <w:p w:rsidR="00325FF3" w:rsidRDefault="00325FF3" w:rsidP="00D270DA">
      <w:pPr>
        <w:pStyle w:val="Heading1"/>
        <w:spacing w:line="480" w:lineRule="auto"/>
      </w:pPr>
      <w:r>
        <w:t>Data access</w:t>
      </w:r>
    </w:p>
    <w:p w:rsidR="00325FF3" w:rsidRPr="00325FF3" w:rsidRDefault="00325FF3" w:rsidP="00D270DA">
      <w:pPr>
        <w:spacing w:line="480" w:lineRule="auto"/>
      </w:pPr>
      <w:r>
        <w:t xml:space="preserve">All sequence data generated in this study are available from the European Nucleotide Archive (ENA). A mapping from clone identifiers to ENA run accessions is given in Table S1. BAM files containing alignments of sequence reads to the 3D7 version </w:t>
      </w:r>
      <w:proofErr w:type="gramStart"/>
      <w:r>
        <w:t>3 reference genome</w:t>
      </w:r>
      <w:proofErr w:type="gramEnd"/>
      <w:r>
        <w:t xml:space="preserve"> can be downloaded from a public FTP site hosted by the Wellcome Trust Sanger Institute at </w:t>
      </w:r>
      <w:hyperlink r:id="rId12" w:history="1">
        <w:r w:rsidRPr="009A7AFD">
          <w:rPr>
            <w:rStyle w:val="Hyperlink"/>
          </w:rPr>
          <w:t>ftp://ngs.sanger.ac.uk/production/malaria/pf-crosses/1.0/</w:t>
        </w:r>
      </w:hyperlink>
      <w:r>
        <w:t xml:space="preserve">. VCF files containing variant calls for each of the three crosses, from both calling methods as well as the combined call sets, can be downloaded from the same FTP site. All these data can also be explored interactively via the web application at </w:t>
      </w:r>
      <w:hyperlink r:id="rId13" w:history="1">
        <w:r w:rsidRPr="009A7AFD">
          <w:rPr>
            <w:rStyle w:val="Hyperlink"/>
          </w:rPr>
          <w:t>http://www.malariagen.net/apps/pf-crosses/1.0/</w:t>
        </w:r>
      </w:hyperlink>
      <w:r>
        <w:t xml:space="preserve">. </w:t>
      </w:r>
    </w:p>
    <w:p w:rsidR="001F6267" w:rsidRDefault="001F6267" w:rsidP="00D270DA">
      <w:pPr>
        <w:pStyle w:val="Heading1"/>
        <w:spacing w:line="480" w:lineRule="auto"/>
      </w:pPr>
      <w:r>
        <w:t>Acknowledgments</w:t>
      </w:r>
    </w:p>
    <w:p w:rsidR="001F6267" w:rsidRDefault="0042544D" w:rsidP="00D270DA">
      <w:pPr>
        <w:spacing w:line="480" w:lineRule="auto"/>
      </w:pPr>
      <w:r w:rsidRPr="0042544D">
        <w:t>This work was supported in part by the Division of Intramural Research, National Institute of Allergy and Infectious Diseases, National Institutes of Health.</w:t>
      </w:r>
      <w:r>
        <w:t xml:space="preserve"> </w:t>
      </w:r>
      <w:r w:rsidR="001F6267" w:rsidRPr="001F6267">
        <w:t>Research in LRC’s laboratory was supported by the Wellcome Trust (grant reference number 091791).</w:t>
      </w:r>
      <w:r>
        <w:t xml:space="preserve"> </w:t>
      </w:r>
    </w:p>
    <w:p w:rsidR="00B339B7" w:rsidRDefault="00B339B7" w:rsidP="00D270DA">
      <w:pPr>
        <w:pStyle w:val="Heading1"/>
        <w:spacing w:line="480" w:lineRule="auto"/>
      </w:pPr>
      <w:r>
        <w:t>Disclosure declaration</w:t>
      </w:r>
    </w:p>
    <w:p w:rsidR="00BF129B" w:rsidRDefault="00B339B7" w:rsidP="00D270DA">
      <w:pPr>
        <w:spacing w:line="480" w:lineRule="auto"/>
      </w:pPr>
      <w:r>
        <w:t xml:space="preserve">We </w:t>
      </w:r>
      <w:r w:rsidR="00431284">
        <w:t>declare no competing interests.</w:t>
      </w:r>
      <w:r w:rsidR="00BF129B">
        <w:br w:type="page"/>
      </w:r>
    </w:p>
    <w:p w:rsidR="005F76A4" w:rsidRDefault="005F76A4" w:rsidP="000A1F02">
      <w:pPr>
        <w:pStyle w:val="Heading1"/>
      </w:pPr>
      <w:r>
        <w:lastRenderedPageBreak/>
        <w:t>Tables</w:t>
      </w:r>
    </w:p>
    <w:p w:rsidR="005F76A4" w:rsidRPr="005F76A4" w:rsidRDefault="005F76A4" w:rsidP="005F76A4">
      <w:proofErr w:type="gramStart"/>
      <w:r>
        <w:rPr>
          <w:b/>
        </w:rPr>
        <w:t>Table 1.</w:t>
      </w:r>
      <w:proofErr w:type="gramEnd"/>
      <w:r>
        <w:rPr>
          <w:b/>
        </w:rPr>
        <w:t xml:space="preserve"> </w:t>
      </w:r>
      <w:proofErr w:type="gramStart"/>
      <w:r w:rsidRPr="007238BB">
        <w:t xml:space="preserve">Summary of </w:t>
      </w:r>
      <w:r>
        <w:t>sequence and variation data.</w:t>
      </w:r>
      <w:proofErr w:type="gramEnd"/>
    </w:p>
    <w:tbl>
      <w:tblPr>
        <w:tblStyle w:val="MediumList2-Accent1"/>
        <w:tblW w:w="5000" w:type="pct"/>
        <w:tblLook w:val="04A0" w:firstRow="1" w:lastRow="0" w:firstColumn="1" w:lastColumn="0" w:noHBand="0" w:noVBand="1"/>
      </w:tblPr>
      <w:tblGrid>
        <w:gridCol w:w="2774"/>
        <w:gridCol w:w="2448"/>
        <w:gridCol w:w="2009"/>
        <w:gridCol w:w="2011"/>
      </w:tblGrid>
      <w:tr w:rsidR="005F76A4" w:rsidRPr="009D0DED" w:rsidTr="0083016F">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sz w:val="22"/>
                <w:szCs w:val="22"/>
              </w:rPr>
            </w:pPr>
          </w:p>
        </w:tc>
        <w:tc>
          <w:tcPr>
            <w:tcW w:w="1340"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4"/>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5F76A4" w:rsidRPr="009D0DED" w:rsidTr="0083016F">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15"/>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16"/>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17"/>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18"/>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42544D" w:rsidP="0083016F">
            <w:pPr>
              <w:rPr>
                <w:rFonts w:asciiTheme="minorHAnsi" w:eastAsiaTheme="minorEastAsia" w:hAnsiTheme="minorHAnsi" w:cs="Arial"/>
              </w:rPr>
            </w:pPr>
            <w:r>
              <w:rPr>
                <w:rFonts w:asciiTheme="minorHAnsi" w:eastAsiaTheme="minorEastAsia" w:hAnsiTheme="minorHAnsi" w:cs="Arial"/>
              </w:rPr>
              <w:t>INDEL</w:t>
            </w:r>
            <w:r w:rsidR="005F76A4">
              <w:rPr>
                <w:rFonts w:asciiTheme="minorHAnsi" w:eastAsiaTheme="minorEastAsia" w:hAnsiTheme="minorHAnsi" w:cs="Arial"/>
              </w:rPr>
              <w:t xml:space="preserve"> diversity (kbp</w:t>
            </w:r>
            <w:r w:rsidR="005F76A4">
              <w:rPr>
                <w:rFonts w:asciiTheme="minorHAnsi" w:eastAsiaTheme="minorEastAsia" w:hAnsiTheme="minorHAnsi" w:cs="Arial"/>
                <w:vertAlign w:val="superscript"/>
              </w:rPr>
              <w:t>-1</w:t>
            </w:r>
            <w:r w:rsidR="005F76A4" w:rsidRPr="009D0DED">
              <w:rPr>
                <w:rFonts w:asciiTheme="minorHAnsi" w:eastAsiaTheme="minorEastAsia" w:hAnsiTheme="minorHAnsi" w:cs="Arial"/>
              </w:rPr>
              <w:t>)</w:t>
            </w:r>
            <w:r w:rsidR="005F76A4" w:rsidRPr="009D0DED">
              <w:rPr>
                <w:rStyle w:val="FootnoteReference"/>
                <w:rFonts w:asciiTheme="minorHAnsi" w:eastAsiaTheme="minorEastAsia" w:hAnsiTheme="minorHAnsi" w:cs="Arial"/>
              </w:rPr>
              <w:footnoteReference w:id="19"/>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20"/>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5F76A4" w:rsidRPr="005F76A4" w:rsidRDefault="005F76A4" w:rsidP="005F76A4"/>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D270DA">
      <w:pPr>
        <w:pStyle w:val="Heading1"/>
        <w:spacing w:line="480" w:lineRule="auto"/>
      </w:pPr>
      <w:r>
        <w:lastRenderedPageBreak/>
        <w:t>Figures</w:t>
      </w:r>
    </w:p>
    <w:p w:rsidR="005F76A4" w:rsidRDefault="005F76A4" w:rsidP="00D270DA">
      <w:pPr>
        <w:spacing w:line="480" w:lineRule="auto"/>
      </w:pPr>
      <w:proofErr w:type="gramStart"/>
      <w:r>
        <w:rPr>
          <w:b/>
        </w:rPr>
        <w:t>Figure 1.</w:t>
      </w:r>
      <w:proofErr w:type="gramEnd"/>
      <w:r>
        <w:rPr>
          <w:b/>
        </w:rPr>
        <w:t xml:space="preserve"> </w:t>
      </w:r>
      <w:proofErr w:type="gramStart"/>
      <w:r>
        <w:t>Properties of INDELs.</w:t>
      </w:r>
      <w:proofErr w:type="gramEnd"/>
      <w:r>
        <w:t xml:space="preserve"> </w:t>
      </w:r>
      <w:r w:rsidRPr="00B14FB1">
        <w:rPr>
          <w:b/>
        </w:rPr>
        <w:t>A</w:t>
      </w:r>
      <w: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t>poly(</w:t>
      </w:r>
      <w:proofErr w:type="gramEnd"/>
      <w:r>
        <w:t xml:space="preserve">AT) repeats in non-coding regions. </w:t>
      </w:r>
      <w:r>
        <w:rPr>
          <w:b/>
        </w:rPr>
        <w:t>B</w:t>
      </w:r>
      <w:r>
        <w:t xml:space="preserve">, </w:t>
      </w:r>
      <w:r w:rsidR="004C0B1A">
        <w:t>A</w:t>
      </w:r>
      <w:r>
        <w:t xml:space="preserve">mino acids inserted and deleted (relative to the 3D7 reference genome). </w:t>
      </w:r>
      <w:proofErr w:type="gramStart"/>
      <w:r>
        <w:rPr>
          <w:b/>
        </w:rPr>
        <w:t>C</w:t>
      </w:r>
      <w:r>
        <w:t>, INDEL diversity in intergenic regions relative to the position of core promoters predicted by Brick et al. (2008).</w:t>
      </w:r>
      <w:proofErr w:type="gramEnd"/>
      <w:r>
        <w:t xml:space="preserve">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p>
    <w:p w:rsidR="005F76A4" w:rsidRPr="005F76A4" w:rsidRDefault="005F76A4" w:rsidP="00D270DA">
      <w:pPr>
        <w:spacing w:line="480" w:lineRule="auto"/>
      </w:pPr>
      <w:r w:rsidRPr="005F76A4">
        <w:rPr>
          <w:noProof/>
          <w:lang w:eastAsia="en-GB"/>
        </w:rPr>
        <w:drawing>
          <wp:inline distT="0" distB="0" distL="0" distR="0" wp14:anchorId="3C54DA2C" wp14:editId="1E429B6F">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5F76A4" w:rsidRDefault="005F76A4" w:rsidP="00D270DA">
      <w:pPr>
        <w:spacing w:line="480"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D270DA">
      <w:pPr>
        <w:spacing w:line="480" w:lineRule="auto"/>
      </w:pPr>
      <w:proofErr w:type="gramStart"/>
      <w:r>
        <w:rPr>
          <w:b/>
        </w:rPr>
        <w:lastRenderedPageBreak/>
        <w:t>Figure 2.</w:t>
      </w:r>
      <w:proofErr w:type="gramEnd"/>
      <w:r>
        <w:t xml:space="preserve"> </w:t>
      </w:r>
      <w:proofErr w:type="gramStart"/>
      <w:r w:rsidR="004C0B1A">
        <w:t>Variation in n</w:t>
      </w:r>
      <w:r>
        <w:t xml:space="preserve">ucleotide diversity </w:t>
      </w:r>
      <w:r w:rsidR="004C0B1A">
        <w:t xml:space="preserve">over </w:t>
      </w:r>
      <w:r>
        <w:t>the core genome.</w:t>
      </w:r>
      <w:proofErr w:type="gramEnd"/>
      <w:r>
        <w:t xml:space="preserve"> Nucleotide diversity is shown for each cross in 500bp half-overlapping windows across the core genome (which excludes hypervariable regions containing </w:t>
      </w:r>
      <w:proofErr w:type="spellStart"/>
      <w:r>
        <w:rPr>
          <w:i/>
        </w:rPr>
        <w:t>var</w:t>
      </w:r>
      <w:proofErr w:type="spellEnd"/>
      <w:r>
        <w:t xml:space="preserve">, </w:t>
      </w:r>
      <w:proofErr w:type="spellStart"/>
      <w:r>
        <w:rPr>
          <w:i/>
        </w:rPr>
        <w:t>rif</w:t>
      </w:r>
      <w:proofErr w:type="spellEnd"/>
      <w:r>
        <w:t xml:space="preserve"> or </w:t>
      </w:r>
      <w:proofErr w:type="spellStart"/>
      <w:r>
        <w:rPr>
          <w:i/>
        </w:rPr>
        <w:t>stevor</w:t>
      </w:r>
      <w:proofErr w:type="spellEnd"/>
      <w:r>
        <w:t xml:space="preserve"> genes) using SNPs </w:t>
      </w:r>
      <w:r w:rsidR="004C0B1A">
        <w:t xml:space="preserve">combined from both </w:t>
      </w:r>
      <w:r>
        <w:t>variant calling method</w:t>
      </w:r>
      <w:r w:rsidR="004C0B1A">
        <w:t>s</w:t>
      </w:r>
      <w:r>
        <w:t xml:space="preserve"> and passing all quality filters. The peak of nucleotide diversity in chromosome 10 is expanded to show four distinct peaks due to genes </w:t>
      </w:r>
      <w:r>
        <w:rPr>
          <w:i/>
        </w:rPr>
        <w:t>msp</w:t>
      </w:r>
      <w:r w:rsidRPr="001447BA">
        <w:rPr>
          <w:i/>
        </w:rPr>
        <w:t>3</w:t>
      </w:r>
      <w:r>
        <w:t xml:space="preserve">, </w:t>
      </w:r>
      <w:r>
        <w:rPr>
          <w:i/>
        </w:rPr>
        <w:t>msp</w:t>
      </w:r>
      <w:r w:rsidRPr="001447BA">
        <w:rPr>
          <w:i/>
        </w:rPr>
        <w:t>6</w:t>
      </w:r>
      <w:r>
        <w:t xml:space="preserve">, </w:t>
      </w:r>
      <w:proofErr w:type="spellStart"/>
      <w:r>
        <w:rPr>
          <w:i/>
        </w:rPr>
        <w:t>dblmsp</w:t>
      </w:r>
      <w:proofErr w:type="spellEnd"/>
      <w:r>
        <w:rPr>
          <w:i/>
        </w:rPr>
        <w:t xml:space="preserve"> </w:t>
      </w:r>
      <w:r>
        <w:t xml:space="preserve">and </w:t>
      </w:r>
      <w:r>
        <w:rPr>
          <w:i/>
        </w:rPr>
        <w:t>dblmsp</w:t>
      </w:r>
      <w:r w:rsidRPr="001447BA">
        <w:rPr>
          <w:i/>
        </w:rPr>
        <w:t>2</w:t>
      </w:r>
      <w:r>
        <w:rPr>
          <w:i/>
        </w:rPr>
        <w:t xml:space="preserve"> </w:t>
      </w:r>
      <w:r>
        <w:t>encoding merozoite surface antigens</w:t>
      </w:r>
      <w:r>
        <w:rPr>
          <w:i/>
        </w:rPr>
        <w:t>.</w:t>
      </w:r>
      <w:r>
        <w:t xml:space="preserve"> All labelled loci (with the exception of </w:t>
      </w:r>
      <w:r>
        <w:rPr>
          <w:i/>
        </w:rPr>
        <w:t>ama</w:t>
      </w:r>
      <w:r w:rsidRPr="0030404B">
        <w:rPr>
          <w:i/>
        </w:rPr>
        <w:t>1</w:t>
      </w:r>
      <w:r>
        <w:t>) are sites of complex variation where assembly of sequence reads is required to determine the non-reference alleles.</w:t>
      </w:r>
    </w:p>
    <w:p w:rsidR="005F76A4" w:rsidRDefault="005F76A4" w:rsidP="00D270DA">
      <w:pPr>
        <w:spacing w:line="480" w:lineRule="auto"/>
      </w:pPr>
      <w:r w:rsidRPr="005F76A4">
        <w:rPr>
          <w:noProof/>
          <w:lang w:eastAsia="en-GB"/>
        </w:rPr>
        <w:drawing>
          <wp:inline distT="0" distB="0" distL="0" distR="0" wp14:anchorId="7C51B5CE" wp14:editId="65B8A0C9">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5F76A4" w:rsidRDefault="005F76A4" w:rsidP="00D270DA">
      <w:pPr>
        <w:spacing w:line="480" w:lineRule="auto"/>
      </w:pPr>
      <w:r>
        <w:br w:type="page"/>
      </w:r>
    </w:p>
    <w:p w:rsidR="005F76A4" w:rsidRDefault="005F76A4" w:rsidP="00D270DA">
      <w:pPr>
        <w:spacing w:line="480" w:lineRule="auto"/>
      </w:pPr>
      <w:proofErr w:type="gramStart"/>
      <w:r w:rsidRPr="00DA1F35">
        <w:rPr>
          <w:b/>
        </w:rPr>
        <w:lastRenderedPageBreak/>
        <w:t>Figure 3.</w:t>
      </w:r>
      <w:proofErr w:type="gramEnd"/>
      <w:r>
        <w:t xml:space="preserve"> </w:t>
      </w:r>
      <w:proofErr w:type="gramStart"/>
      <w:r>
        <w:t>Crossover (CO) and non-crossover (NCO) recombination parameters.</w:t>
      </w:r>
      <w:proofErr w:type="gramEnd"/>
      <w:r>
        <w:t xml:space="preserve"> </w:t>
      </w:r>
      <w:proofErr w:type="gramStart"/>
      <w:r>
        <w:rPr>
          <w:b/>
        </w:rPr>
        <w:t>A,</w:t>
      </w:r>
      <w:r>
        <w:t xml:space="preserve"> </w:t>
      </w:r>
      <w:r w:rsidR="004C0B1A">
        <w:t xml:space="preserve">Genetic map length </w:t>
      </w:r>
      <w:r>
        <w:t>by cross.</w:t>
      </w:r>
      <w:proofErr w:type="gramEnd"/>
      <w:r w:rsidR="00BF129B">
        <w:t xml:space="preserve"> For each cross the red line shows the median map length averaged over progeny, boxes extend from lower to upper quartiles.</w:t>
      </w:r>
      <w:r>
        <w:t xml:space="preserve"> </w:t>
      </w:r>
      <w:proofErr w:type="gramStart"/>
      <w:r>
        <w:rPr>
          <w:b/>
        </w:rPr>
        <w:t xml:space="preserve">B, </w:t>
      </w:r>
      <w:r w:rsidR="004C0B1A">
        <w:t xml:space="preserve">Map length </w:t>
      </w:r>
      <w:r>
        <w:t>by chromosome.</w:t>
      </w:r>
      <w:proofErr w:type="gramEnd"/>
      <w:r w:rsidR="00BF129B">
        <w:t xml:space="preserve"> </w:t>
      </w:r>
      <w:r w:rsidR="0058320B">
        <w:t xml:space="preserve">Each point shows the mean map length for a single chromosome averaged over progeny, with an error bar showing the 95% confidence interval from </w:t>
      </w:r>
      <w:r w:rsidR="000B2834">
        <w:t>1000 bootstraps</w:t>
      </w:r>
      <w:r w:rsidR="0058320B">
        <w:t xml:space="preserve">. </w:t>
      </w:r>
      <w:r w:rsidR="00BF129B">
        <w:t>The line shows a</w:t>
      </w:r>
      <w:r w:rsidR="000B2834">
        <w:t xml:space="preserve"> fitted linear regression model</w:t>
      </w:r>
      <w:r w:rsidR="00BF129B">
        <w:t xml:space="preserve"> with shading </w:t>
      </w:r>
      <w:r w:rsidR="0058320B">
        <w:t xml:space="preserve">showing the 95% </w:t>
      </w:r>
      <w:r w:rsidR="000B2834">
        <w:t xml:space="preserve">bootstrap </w:t>
      </w:r>
      <w:r w:rsidR="0058320B">
        <w:t>confidence interval.</w:t>
      </w:r>
      <w:r>
        <w:t xml:space="preserve"> </w:t>
      </w:r>
      <w:proofErr w:type="gramStart"/>
      <w:r>
        <w:rPr>
          <w:b/>
        </w:rPr>
        <w:t>C,</w:t>
      </w:r>
      <w:r>
        <w:t xml:space="preserve"> CO recombination rate relative to centromere position.</w:t>
      </w:r>
      <w:proofErr w:type="gramEnd"/>
      <w:r>
        <w:t xml:space="preserve"> Error bars show the 95% confidence interval from 1000 bootstraps. </w:t>
      </w:r>
      <w:proofErr w:type="gramStart"/>
      <w:r>
        <w:rPr>
          <w:b/>
        </w:rPr>
        <w:t>D,</w:t>
      </w:r>
      <w:r>
        <w:t xml:space="preserve"> NCO tract length distribution.</w:t>
      </w:r>
      <w:proofErr w:type="gramEnd"/>
      <w:r>
        <w:t xml:space="preserve"> The dashed line shows the distribution of minimal tract lengths that would be observed with the available markers if NCO tract lengths follow a geometric distribution with parameter </w:t>
      </w:r>
      <w:r>
        <w:rPr>
          <w:i/>
        </w:rPr>
        <w:t>phi</w:t>
      </w:r>
      <w:r>
        <w:t xml:space="preserve"> = 0.9993. </w:t>
      </w:r>
      <w:r>
        <w:rPr>
          <w:b/>
        </w:rPr>
        <w:t>E,</w:t>
      </w:r>
      <w:r>
        <w:t xml:space="preserve"> Quantile-quantile plot of actual NCO minimal tract lengths versus the expected distribution of minimal tract lengths that would be observed with the given markers if NCO tract length is modelled as a geometric distribution with parameter </w:t>
      </w:r>
      <w:r>
        <w:rPr>
          <w:i/>
        </w:rPr>
        <w:t>phi</w:t>
      </w:r>
      <w:r>
        <w:t xml:space="preserve"> = 0.9993. The data fit the model well except for an excess of tracts with minimal length greater than ~3kb. </w:t>
      </w:r>
      <w:r>
        <w:rPr>
          <w:b/>
        </w:rPr>
        <w:t xml:space="preserve">F, </w:t>
      </w:r>
      <w:r>
        <w:t xml:space="preserve">NCO </w:t>
      </w:r>
      <w:r w:rsidR="004C0B1A">
        <w:t xml:space="preserve">frequency </w:t>
      </w:r>
      <w:r>
        <w:t>by chromosome, adjusted for incomplete discovery of NCO events.</w:t>
      </w:r>
      <w:r w:rsidR="000B2834">
        <w:t xml:space="preserve"> Error bars and linear regression as per </w:t>
      </w:r>
      <w:r w:rsidR="000B2834" w:rsidRPr="000B2834">
        <w:rPr>
          <w:b/>
        </w:rPr>
        <w:t>B</w:t>
      </w:r>
      <w:r w:rsidR="000B2834">
        <w:t>.</w:t>
      </w:r>
    </w:p>
    <w:p w:rsidR="005F76A4" w:rsidRDefault="005F76A4" w:rsidP="00D270DA">
      <w:pPr>
        <w:spacing w:line="480" w:lineRule="auto"/>
      </w:pPr>
      <w:r w:rsidRPr="005F76A4">
        <w:rPr>
          <w:noProof/>
          <w:lang w:eastAsia="en-GB"/>
        </w:rPr>
        <w:lastRenderedPageBreak/>
        <w:drawing>
          <wp:inline distT="0" distB="0" distL="0" distR="0" wp14:anchorId="76FD3015" wp14:editId="6A2A9980">
            <wp:extent cx="5731508" cy="3812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5F76A4" w:rsidRDefault="005F76A4" w:rsidP="00D270DA">
      <w:pPr>
        <w:spacing w:line="480" w:lineRule="auto"/>
      </w:pPr>
      <w:r>
        <w:br w:type="page"/>
      </w:r>
    </w:p>
    <w:p w:rsidR="005F76A4" w:rsidRDefault="005F76A4" w:rsidP="00D270DA">
      <w:pPr>
        <w:spacing w:line="480" w:lineRule="auto"/>
      </w:pPr>
      <w:proofErr w:type="gramStart"/>
      <w:r w:rsidRPr="00DA1F35">
        <w:rPr>
          <w:b/>
        </w:rPr>
        <w:lastRenderedPageBreak/>
        <w:t>Figure 4.</w:t>
      </w:r>
      <w:proofErr w:type="gramEnd"/>
      <w:r>
        <w:t xml:space="preserve"> </w:t>
      </w:r>
      <w:proofErr w:type="gramStart"/>
      <w:r>
        <w:t xml:space="preserve">Copy number variation and recombination spanning the anti-folate resistance gene </w:t>
      </w:r>
      <w:r>
        <w:rPr>
          <w:i/>
        </w:rPr>
        <w:t xml:space="preserve">gch1 </w:t>
      </w:r>
      <w:r>
        <w:t>on chromosome 12.</w:t>
      </w:r>
      <w:proofErr w:type="gramEnd"/>
      <w:r>
        <w:t xml:space="preserve"> </w:t>
      </w:r>
      <w:r w:rsidRPr="00B95EC7">
        <w:rPr>
          <w:b/>
        </w:rPr>
        <w:t>A</w:t>
      </w:r>
      <w:r>
        <w:t xml:space="preserve">, CNVs in the 3D7 and </w:t>
      </w:r>
      <w:proofErr w:type="gramStart"/>
      <w:r>
        <w:t>HB3(</w:t>
      </w:r>
      <w:proofErr w:type="gramEnd"/>
      <w:r>
        <w:t xml:space="preserve">1) parental clones; </w:t>
      </w:r>
      <w:r w:rsidRPr="0037590A">
        <w:rPr>
          <w:rFonts w:ascii="Times New Roman" w:hAnsi="Times New Roman" w:cs="Times New Roman"/>
          <w:i/>
        </w:rPr>
        <w:t>α</w:t>
      </w:r>
      <w:r>
        <w:t xml:space="preserve"> labels the segment amplified in HB3, </w:t>
      </w:r>
      <w:r w:rsidRPr="0037590A">
        <w:rPr>
          <w:rFonts w:ascii="Times New Roman" w:hAnsi="Times New Roman" w:cs="Times New Roman"/>
          <w:i/>
        </w:rPr>
        <w:t>β</w:t>
      </w:r>
      <w:r w:rsidRPr="0037590A">
        <w:rPr>
          <w:rFonts w:ascii="Times New Roman" w:hAnsi="Times New Roman" w:cs="Times New Roman"/>
        </w:rPr>
        <w:t xml:space="preserve"> </w:t>
      </w:r>
      <w:r>
        <w:t xml:space="preserve">labels the segment amplified in 3D7. </w:t>
      </w:r>
      <w:r>
        <w:rPr>
          <w:b/>
        </w:rPr>
        <w:t>B</w:t>
      </w:r>
      <w:r>
        <w:t xml:space="preserve">, CNV and recombination in clone C06, progeny of 3D7xHB3. </w:t>
      </w:r>
      <w:r>
        <w:rPr>
          <w:b/>
        </w:rPr>
        <w:t>C</w:t>
      </w:r>
      <w:r>
        <w:t xml:space="preserve">, CNV and recombination in clone C05, progeny of 3D7xHB3. </w:t>
      </w:r>
      <w:r>
        <w:rPr>
          <w:b/>
        </w:rPr>
        <w:t>D</w:t>
      </w:r>
      <w:r>
        <w:t xml:space="preserve">, CNVs in the </w:t>
      </w:r>
      <w:proofErr w:type="gramStart"/>
      <w:r>
        <w:t>HB3(</w:t>
      </w:r>
      <w:proofErr w:type="gramEnd"/>
      <w:r>
        <w:t xml:space="preserve">2) and Dd2 parental clones; </w:t>
      </w:r>
      <w:r w:rsidRPr="0037590A">
        <w:rPr>
          <w:rFonts w:ascii="Times New Roman" w:hAnsi="Times New Roman" w:cs="Times New Roman"/>
          <w:i/>
        </w:rPr>
        <w:t>γ</w:t>
      </w:r>
      <w:r>
        <w:t xml:space="preserve"> labels the segment amplified in Dd2.</w:t>
      </w:r>
      <w:r w:rsidR="0042544D">
        <w:t xml:space="preserve"> Note that the HB3(2) clone sequenced here appears to be a mixture, with a minor proportion of parasites carrying the amplification visible in HB3(1).</w:t>
      </w:r>
      <w:r>
        <w:t xml:space="preserve"> </w:t>
      </w:r>
      <w:r>
        <w:rPr>
          <w:b/>
        </w:rPr>
        <w:t>E</w:t>
      </w:r>
      <w:r>
        <w:t xml:space="preserve">, CNV and recombination in clone CH3_61, progeny of HB3xDd2. </w:t>
      </w:r>
      <w:r>
        <w:rPr>
          <w:b/>
        </w:rPr>
        <w:t>F</w:t>
      </w:r>
      <w:r>
        <w:t xml:space="preserve">, CNVs in the 7G8 and GB4 parental clones. CN = copy number, black circular markers show </w:t>
      </w:r>
      <w:r w:rsidR="004C0B1A">
        <w:t xml:space="preserve">normalised read counts </w:t>
      </w:r>
      <w:r>
        <w:t xml:space="preserve">within 300bp non-overlapping windows, excluding windows where GC content was below 20%; solid black line is the copy number state 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(i.e., </w:t>
      </w:r>
      <w:r w:rsidR="000B2834">
        <w:t>number of reads aligned at each position with the given orientation</w:t>
      </w:r>
      <w:r>
        <w:t>). AB = fraction of aligned reads containing the first parent’s allele; recombination events within an amplified region can lead to regions of pseudo-heterozygosity within a progeny clone, where one copy of the amplified region is inherited from each parent, indicated by regions where the allele balance is approximately 0.5.</w:t>
      </w:r>
    </w:p>
    <w:p w:rsidR="005F76A4" w:rsidRDefault="005F76A4" w:rsidP="00D270DA">
      <w:pPr>
        <w:spacing w:line="480" w:lineRule="auto"/>
      </w:pPr>
      <w:r w:rsidRPr="005F76A4">
        <w:rPr>
          <w:noProof/>
          <w:lang w:eastAsia="en-GB"/>
        </w:rPr>
        <w:lastRenderedPageBreak/>
        <w:drawing>
          <wp:inline distT="0" distB="0" distL="0" distR="0" wp14:anchorId="7F4FB7B6" wp14:editId="3047B6C2">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7" cstate="print"/>
                    <a:stretch>
                      <a:fillRect/>
                    </a:stretch>
                  </pic:blipFill>
                  <pic:spPr>
                    <a:xfrm>
                      <a:off x="0" y="0"/>
                      <a:ext cx="5731510" cy="8107045"/>
                    </a:xfrm>
                    <a:prstGeom prst="rect">
                      <a:avLst/>
                    </a:prstGeom>
                  </pic:spPr>
                </pic:pic>
              </a:graphicData>
            </a:graphic>
          </wp:inline>
        </w:drawing>
      </w:r>
      <w:bookmarkStart w:id="6" w:name="_GoBack"/>
      <w:bookmarkEnd w:id="6"/>
    </w:p>
    <w:p w:rsidR="005F76A4" w:rsidRDefault="005F76A4" w:rsidP="00D270DA">
      <w:pPr>
        <w:spacing w:line="480" w:lineRule="auto"/>
      </w:pPr>
      <w:r>
        <w:br w:type="page"/>
      </w:r>
    </w:p>
    <w:p w:rsidR="005F76A4" w:rsidRDefault="005F76A4" w:rsidP="00D270DA">
      <w:pPr>
        <w:spacing w:line="480" w:lineRule="auto"/>
      </w:pPr>
      <w:proofErr w:type="gramStart"/>
      <w:r w:rsidRPr="00DA1F35">
        <w:rPr>
          <w:b/>
        </w:rPr>
        <w:lastRenderedPageBreak/>
        <w:t>Figure 5.</w:t>
      </w:r>
      <w:proofErr w:type="gramEnd"/>
      <w:r>
        <w:t xml:space="preserve"> Screenshots from the web application at </w:t>
      </w:r>
      <w:hyperlink r:id="rId18" w:history="1">
        <w:r w:rsidRPr="00885396">
          <w:rPr>
            <w:rStyle w:val="Hyperlink"/>
          </w:rPr>
          <w:t>www.malariagen.net/apps/pf-crosses/</w:t>
        </w:r>
      </w:hyperlink>
      <w:r>
        <w:t xml:space="preserve"> providing access to sequence and variation data on the three crosses. </w:t>
      </w:r>
      <w:proofErr w:type="gramStart"/>
      <w:r w:rsidRPr="0088396D">
        <w:rPr>
          <w:b/>
        </w:rPr>
        <w:t>A</w:t>
      </w:r>
      <w:r w:rsidR="004C0B1A">
        <w:t>, I</w:t>
      </w:r>
      <w:r>
        <w:t>ntroduction page, providing navigation to different tools for data exploration.</w:t>
      </w:r>
      <w:proofErr w:type="gramEnd"/>
      <w:r>
        <w:t xml:space="preserve"> </w:t>
      </w:r>
      <w:r w:rsidRPr="0088396D">
        <w:rPr>
          <w:b/>
        </w:rPr>
        <w:t>B</w:t>
      </w:r>
      <w:r>
        <w:t xml:space="preserve">, </w:t>
      </w:r>
      <w:r w:rsidR="004C0B1A">
        <w:t>B</w:t>
      </w:r>
      <w:r>
        <w:t xml:space="preserve">rowse and query data on variants (SNPs and INDELs) discovered in the crosses by different calling methods. </w:t>
      </w:r>
      <w:r w:rsidRPr="0088396D">
        <w:rPr>
          <w:b/>
        </w:rPr>
        <w:t>C</w:t>
      </w:r>
      <w:r>
        <w:t xml:space="preserve">, </w:t>
      </w:r>
      <w:r w:rsidR="004C0B1A">
        <w:t>B</w:t>
      </w:r>
      <w:r>
        <w:t xml:space="preserve">rowse genotype calls in parents and progeny and visualise patterns of allelic inheritance and recombination. </w:t>
      </w:r>
      <w:proofErr w:type="gramStart"/>
      <w:r>
        <w:rPr>
          <w:b/>
        </w:rPr>
        <w:t>D</w:t>
      </w:r>
      <w:r>
        <w:t xml:space="preserve">, </w:t>
      </w:r>
      <w:r w:rsidR="004C0B1A">
        <w:t>G</w:t>
      </w:r>
      <w:r>
        <w:t>enome browser, providing multi-resolution views of various data tracks including coverage and mapping quality.</w:t>
      </w:r>
      <w:proofErr w:type="gramEnd"/>
      <w:r>
        <w:t xml:space="preserve"> </w:t>
      </w:r>
      <w:proofErr w:type="gramStart"/>
      <w:r>
        <w:rPr>
          <w:b/>
        </w:rPr>
        <w:t>E</w:t>
      </w:r>
      <w:r w:rsidR="004C0B1A">
        <w:t>, S</w:t>
      </w:r>
      <w:r>
        <w:t>equence alignment browser (</w:t>
      </w:r>
      <w:proofErr w:type="spellStart"/>
      <w:r>
        <w:t>LookSeq</w:t>
      </w:r>
      <w:proofErr w:type="spellEnd"/>
      <w:r>
        <w:t>).</w:t>
      </w:r>
      <w:proofErr w:type="gramEnd"/>
    </w:p>
    <w:p w:rsidR="005F76A4" w:rsidRDefault="005F76A4" w:rsidP="00D270DA">
      <w:pPr>
        <w:spacing w:line="480" w:lineRule="auto"/>
      </w:pPr>
      <w:r w:rsidRPr="005F76A4">
        <w:rPr>
          <w:noProof/>
          <w:lang w:eastAsia="en-GB"/>
        </w:rPr>
        <w:drawing>
          <wp:inline distT="0" distB="0" distL="0" distR="0" wp14:anchorId="4A3AEAD8" wp14:editId="51504D6A">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9" cstate="print"/>
                    <a:stretch>
                      <a:fillRect/>
                    </a:stretch>
                  </pic:blipFill>
                  <pic:spPr>
                    <a:xfrm>
                      <a:off x="0" y="0"/>
                      <a:ext cx="5731510" cy="6003925"/>
                    </a:xfrm>
                    <a:prstGeom prst="rect">
                      <a:avLst/>
                    </a:prstGeom>
                  </pic:spPr>
                </pic:pic>
              </a:graphicData>
            </a:graphic>
          </wp:inline>
        </w:drawing>
      </w:r>
      <w:r>
        <w:br w:type="page"/>
      </w:r>
    </w:p>
    <w:p w:rsidR="009E1600" w:rsidRDefault="009E1600" w:rsidP="000A1F02">
      <w:pPr>
        <w:pStyle w:val="Heading1"/>
      </w:pPr>
      <w:r>
        <w:lastRenderedPageBreak/>
        <w:t>References</w:t>
      </w:r>
    </w:p>
    <w:p w:rsidR="00716BD6" w:rsidRPr="00716BD6" w:rsidRDefault="005C3FF3">
      <w:pPr>
        <w:pStyle w:val="NormalWeb"/>
        <w:ind w:left="480" w:hanging="480"/>
        <w:divId w:val="1299148219"/>
        <w:rPr>
          <w:rFonts w:ascii="Calibri" w:hAnsi="Calibri"/>
          <w:noProof/>
          <w:sz w:val="22"/>
        </w:rPr>
      </w:pPr>
      <w:r>
        <w:fldChar w:fldCharType="begin" w:fldLock="1"/>
      </w:r>
      <w:r w:rsidR="00CB6C32">
        <w:instrText xml:space="preserve">ADDIN Mendeley Bibliography CSL_BIBLIOGRAPHY </w:instrText>
      </w:r>
      <w:r>
        <w:fldChar w:fldCharType="separate"/>
      </w:r>
      <w:r w:rsidR="00716BD6" w:rsidRPr="00716BD6">
        <w:rPr>
          <w:rFonts w:ascii="Calibri" w:hAnsi="Calibri"/>
          <w:noProof/>
          <w:sz w:val="22"/>
        </w:rPr>
        <w:t xml:space="preserve">Anderson, T.J.C., Patel, J. &amp; Ferdig, M.T., 2009. Gene copy number and malaria biology. </w:t>
      </w:r>
      <w:r w:rsidR="00716BD6" w:rsidRPr="00716BD6">
        <w:rPr>
          <w:rFonts w:ascii="Calibri" w:hAnsi="Calibri"/>
          <w:i/>
          <w:iCs/>
          <w:noProof/>
          <w:sz w:val="22"/>
        </w:rPr>
        <w:t>Trends in parasitology</w:t>
      </w:r>
      <w:r w:rsidR="00716BD6" w:rsidRPr="00716BD6">
        <w:rPr>
          <w:rFonts w:ascii="Calibri" w:hAnsi="Calibri"/>
          <w:noProof/>
          <w:sz w:val="22"/>
        </w:rPr>
        <w:t>, 25(7), pp.336–43. Available at: http://www.pubmedcentral.nih.gov/articlerender.fcgi?artid=2839409&amp;tool=pmcentrez&amp;rendertype=abstract [Accessed November 17,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Ariey, F. et al., 2014. A molecular marker of artemisinin-resistant Plasmodium falciparum malaria. </w:t>
      </w:r>
      <w:r w:rsidRPr="00716BD6">
        <w:rPr>
          <w:rFonts w:ascii="Calibri" w:hAnsi="Calibri"/>
          <w:i/>
          <w:iCs/>
          <w:noProof/>
          <w:sz w:val="22"/>
        </w:rPr>
        <w:t>Nature</w:t>
      </w:r>
      <w:r w:rsidRPr="00716BD6">
        <w:rPr>
          <w:rFonts w:ascii="Calibri" w:hAnsi="Calibri"/>
          <w:noProof/>
          <w:sz w:val="22"/>
        </w:rPr>
        <w:t>, 505(7481), pp.50–5. Available at: http://www.ncbi.nlm.nih.gov/pubmed/24352242 [Accessed July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Ashley, E.A. et al., 2014. Spread of Artemisinin Resistance in Plasmodium falciparum Malaria. </w:t>
      </w:r>
      <w:r w:rsidRPr="00716BD6">
        <w:rPr>
          <w:rFonts w:ascii="Calibri" w:hAnsi="Calibri"/>
          <w:i/>
          <w:iCs/>
          <w:noProof/>
          <w:sz w:val="22"/>
        </w:rPr>
        <w:t>New England Journal of Medicine</w:t>
      </w:r>
      <w:r w:rsidRPr="00716BD6">
        <w:rPr>
          <w:rFonts w:ascii="Calibri" w:hAnsi="Calibri"/>
          <w:noProof/>
          <w:sz w:val="22"/>
        </w:rPr>
        <w:t>, 371(5), pp.411–423. Available at: http://www.ncbi.nlm.nih.gov/pubmed/25075834 [Accessed July 31,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Van der Auwera, G.A. et al., 2013. </w:t>
      </w:r>
      <w:r w:rsidRPr="00716BD6">
        <w:rPr>
          <w:rFonts w:ascii="Calibri" w:hAnsi="Calibri"/>
          <w:i/>
          <w:iCs/>
          <w:noProof/>
          <w:sz w:val="22"/>
        </w:rPr>
        <w:t>Current Protocols in Bioinformatics</w:t>
      </w:r>
      <w:r w:rsidRPr="00716BD6">
        <w:rPr>
          <w:rFonts w:ascii="Calibri" w:hAnsi="Calibri"/>
          <w:noProof/>
          <w:sz w:val="22"/>
        </w:rPr>
        <w:t xml:space="preserve"> A. Bateman et al., eds., Hoboken, NJ, USA: John Wiley &amp; Sons, Inc. Available at: http://www.pubmedcentral.nih.gov/articlerender.fcgi?artid=4243306&amp;tool=pmcentrez&amp;rendertype=abstract [Accessed July 16,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Baudat, F. &amp; de Massy, B., 2007. Regulating double-stranded DNA break repair towards crossover or non-crossover during mammalian meiosis. </w:t>
      </w:r>
      <w:r w:rsidRPr="00716BD6">
        <w:rPr>
          <w:rFonts w:ascii="Calibri" w:hAnsi="Calibri"/>
          <w:i/>
          <w:iCs/>
          <w:noProof/>
          <w:sz w:val="22"/>
        </w:rPr>
        <w:t>Chromosome research : an international journal on the molecular, supramolecular and evolutionary aspects of chromosome biology</w:t>
      </w:r>
      <w:r w:rsidRPr="00716BD6">
        <w:rPr>
          <w:rFonts w:ascii="Calibri" w:hAnsi="Calibri"/>
          <w:noProof/>
          <w:sz w:val="22"/>
        </w:rPr>
        <w:t>, 15(5), pp.565–77. Available at: http://www.ncbi.nlm.nih.gov/pubmed/17674146 [Accessed December 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Birren, B. et al., 2006. Plasmodium falciparum HB3, whole genome shotgun sequencing project. Available at: http://www.ncbi.nlm.nih.gov/nuccore/AANS00000000.</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Bopp, S.E.R. et al., 2013. Mitotic evolution of Plasmodium falciparum shows a stable core genome but recombination in antigen families. N. Maizels, ed. </w:t>
      </w:r>
      <w:r w:rsidRPr="00716BD6">
        <w:rPr>
          <w:rFonts w:ascii="Calibri" w:hAnsi="Calibri"/>
          <w:i/>
          <w:iCs/>
          <w:noProof/>
          <w:sz w:val="22"/>
        </w:rPr>
        <w:t>PLoS genetics</w:t>
      </w:r>
      <w:r w:rsidRPr="00716BD6">
        <w:rPr>
          <w:rFonts w:ascii="Calibri" w:hAnsi="Calibri"/>
          <w:noProof/>
          <w:sz w:val="22"/>
        </w:rPr>
        <w:t>, 9(2), p.e1003293. Available at: http://dx.plos.org/10.1371/journal.pgen.1003293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Brick, K., Watanabe, J. &amp; Pizzi, E., 2008. Core promoters are predicted by their distinct physicochemical properties in the genome of Plasmodium falciparum. </w:t>
      </w:r>
      <w:r w:rsidRPr="00716BD6">
        <w:rPr>
          <w:rFonts w:ascii="Calibri" w:hAnsi="Calibri"/>
          <w:i/>
          <w:iCs/>
          <w:noProof/>
          <w:sz w:val="22"/>
        </w:rPr>
        <w:t>Genome biology</w:t>
      </w:r>
      <w:r w:rsidRPr="00716BD6">
        <w:rPr>
          <w:rFonts w:ascii="Calibri" w:hAnsi="Calibri"/>
          <w:noProof/>
          <w:sz w:val="22"/>
        </w:rPr>
        <w:t>, 9(12), p.R178. Available at: http://genomebiology.com/2008/9/12/R178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Chen, J.-Q. et al., 2009. Variation in the ratio of nucleotide substitution and indel rates across genomes in mammals and bacteria. </w:t>
      </w:r>
      <w:r w:rsidRPr="00716BD6">
        <w:rPr>
          <w:rFonts w:ascii="Calibri" w:hAnsi="Calibri"/>
          <w:i/>
          <w:iCs/>
          <w:noProof/>
          <w:sz w:val="22"/>
        </w:rPr>
        <w:t>Molecular biology and evolution</w:t>
      </w:r>
      <w:r w:rsidRPr="00716BD6">
        <w:rPr>
          <w:rFonts w:ascii="Calibri" w:hAnsi="Calibri"/>
          <w:noProof/>
          <w:sz w:val="22"/>
        </w:rPr>
        <w:t>, 26(7), pp.1523–31. Available at: http://www.ncbi.nlm.nih.gov/pubmed/19329651 [Accessed April 22,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Claessens, A. et al., 2014. Generation of antigenic diversity in Plasmodium falciparum by structured rearrangement of var genes during mitosis K. Deitsch, ed. </w:t>
      </w:r>
      <w:r w:rsidRPr="00716BD6">
        <w:rPr>
          <w:rFonts w:ascii="Calibri" w:hAnsi="Calibri"/>
          <w:i/>
          <w:iCs/>
          <w:noProof/>
          <w:sz w:val="22"/>
        </w:rPr>
        <w:t>PLoS genetics</w:t>
      </w:r>
      <w:r w:rsidRPr="00716BD6">
        <w:rPr>
          <w:rFonts w:ascii="Calibri" w:hAnsi="Calibri"/>
          <w:noProof/>
          <w:sz w:val="22"/>
        </w:rPr>
        <w:t>, 10(12), p.e1004812. Available at: http://journals.plos.org/plosgenetics/article?id=10.1371/journal.pgen.1004812 [Accessed December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Cowman, A.F., Galatis, D. &amp; Thompson, J.K., 1994. Selection for mefloquine resistance in Plasmodium falciparum is linked to amplification of the pfmdr1 gene and cross-resistance to halofantrine and quinine. </w:t>
      </w:r>
      <w:r w:rsidRPr="00716BD6">
        <w:rPr>
          <w:rFonts w:ascii="Calibri" w:hAnsi="Calibri"/>
          <w:i/>
          <w:iCs/>
          <w:noProof/>
          <w:sz w:val="22"/>
        </w:rPr>
        <w:t>Proceedings of the National Academy of Sciences of the United States of America</w:t>
      </w:r>
      <w:r w:rsidRPr="00716BD6">
        <w:rPr>
          <w:rFonts w:ascii="Calibri" w:hAnsi="Calibri"/>
          <w:noProof/>
          <w:sz w:val="22"/>
        </w:rPr>
        <w:t xml:space="preserve">, </w:t>
      </w:r>
      <w:r w:rsidRPr="00716BD6">
        <w:rPr>
          <w:rFonts w:ascii="Calibri" w:hAnsi="Calibri"/>
          <w:noProof/>
          <w:sz w:val="22"/>
        </w:rPr>
        <w:lastRenderedPageBreak/>
        <w:t>91(3), pp.1143–7. Available at: http://www.pubmedcentral.nih.gov/articlerender.fcgi?artid=521470&amp;tool=pmcentrez&amp;rendertype=abstract [Accessed November 12,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DePristo, M.A. et al., 2011. A framework for variation discovery and genotyping using next-generation DNA sequencing data. </w:t>
      </w:r>
      <w:r w:rsidRPr="00716BD6">
        <w:rPr>
          <w:rFonts w:ascii="Calibri" w:hAnsi="Calibri"/>
          <w:i/>
          <w:iCs/>
          <w:noProof/>
          <w:sz w:val="22"/>
        </w:rPr>
        <w:t>Nature genetics</w:t>
      </w:r>
      <w:r w:rsidRPr="00716BD6">
        <w:rPr>
          <w:rFonts w:ascii="Calibri" w:hAnsi="Calibri"/>
          <w:noProof/>
          <w:sz w:val="22"/>
        </w:rPr>
        <w:t>, 43(5), pp.491–8. Available at: http://www.pubmedcentral.nih.gov/articlerender.fcgi?artid=3083463&amp;tool=pmcentrez&amp;rendertype=abstract [Accessed July 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DePristo, M.A., Zilversmit, M.M. &amp; Hartl, D.L., 2006. On the abundance, amino acid composition, and evolutionary dynamics of low-complexity regions in proteins. </w:t>
      </w:r>
      <w:r w:rsidRPr="00716BD6">
        <w:rPr>
          <w:rFonts w:ascii="Calibri" w:hAnsi="Calibri"/>
          <w:i/>
          <w:iCs/>
          <w:noProof/>
          <w:sz w:val="22"/>
        </w:rPr>
        <w:t>Gene</w:t>
      </w:r>
      <w:r w:rsidRPr="00716BD6">
        <w:rPr>
          <w:rFonts w:ascii="Calibri" w:hAnsi="Calibri"/>
          <w:noProof/>
          <w:sz w:val="22"/>
        </w:rPr>
        <w:t>, 378, pp.19–30. Available at: http://www.ncbi.nlm.nih.gov/pubmed/16806741 [Accessed November 3,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Fang, H. et al., 2014. Reducing INDEL calling errors in whole genome and exome sequencing data. </w:t>
      </w:r>
      <w:r w:rsidRPr="00716BD6">
        <w:rPr>
          <w:rFonts w:ascii="Calibri" w:hAnsi="Calibri"/>
          <w:i/>
          <w:iCs/>
          <w:noProof/>
          <w:sz w:val="22"/>
        </w:rPr>
        <w:t>Genome medicine</w:t>
      </w:r>
      <w:r w:rsidRPr="00716BD6">
        <w:rPr>
          <w:rFonts w:ascii="Calibri" w:hAnsi="Calibri"/>
          <w:noProof/>
          <w:sz w:val="22"/>
        </w:rPr>
        <w:t>, 6(10), p.89. Available at: http://www.pubmedcentral.nih.gov/articlerender.fcgi?artid=4240813&amp;tool=pmcentrez&amp;rendertype=abstract [Accessed January 15,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Ferreira, M.U. et al., 2003. Sequence diversity and evolution of the malaria vaccine candidate merozoite surface protein-1 (MSP-1) of Plasmodium falciparum. </w:t>
      </w:r>
      <w:r w:rsidRPr="00716BD6">
        <w:rPr>
          <w:rFonts w:ascii="Calibri" w:hAnsi="Calibri"/>
          <w:i/>
          <w:iCs/>
          <w:noProof/>
          <w:sz w:val="22"/>
        </w:rPr>
        <w:t>Gene</w:t>
      </w:r>
      <w:r w:rsidRPr="00716BD6">
        <w:rPr>
          <w:rFonts w:ascii="Calibri" w:hAnsi="Calibri"/>
          <w:noProof/>
          <w:sz w:val="22"/>
        </w:rPr>
        <w:t>, 304, pp.65–75. Available at: http://www.ncbi.nlm.nih.gov/pubmed/12568716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Flueck, C. et al., 2009. Plasmodium falciparum heterochromatin protein 1 marks genomic loci linked to phenotypic variation of exported virulence factors. </w:t>
      </w:r>
      <w:r w:rsidRPr="00716BD6">
        <w:rPr>
          <w:rFonts w:ascii="Calibri" w:hAnsi="Calibri"/>
          <w:i/>
          <w:iCs/>
          <w:noProof/>
          <w:sz w:val="22"/>
        </w:rPr>
        <w:t>PLoS pathogens</w:t>
      </w:r>
      <w:r w:rsidRPr="00716BD6">
        <w:rPr>
          <w:rFonts w:ascii="Calibri" w:hAnsi="Calibri"/>
          <w:noProof/>
          <w:sz w:val="22"/>
        </w:rPr>
        <w:t>, 5(9), p.e1000569. Available at: http://www.pubmedcentral.nih.gov/articlerender.fcgi?artid=2731224&amp;tool=pmcentrez&amp;rendertype=abstract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Freitas-Junior, L.H. et al., 2000. Frequent ectopic recombination of virulence factor genes in telomeric chromosome clusters of P. falciparum. </w:t>
      </w:r>
      <w:r w:rsidRPr="00716BD6">
        <w:rPr>
          <w:rFonts w:ascii="Calibri" w:hAnsi="Calibri"/>
          <w:i/>
          <w:iCs/>
          <w:noProof/>
          <w:sz w:val="22"/>
        </w:rPr>
        <w:t>Nature</w:t>
      </w:r>
      <w:r w:rsidRPr="00716BD6">
        <w:rPr>
          <w:rFonts w:ascii="Calibri" w:hAnsi="Calibri"/>
          <w:noProof/>
          <w:sz w:val="22"/>
        </w:rPr>
        <w:t>, 407(6807), pp.1018–22. Available at: http://www.ncbi.nlm.nih.gov/pubmed/11069183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Gardner, M.J. et al., 2002. Genome sequence of the human malaria parasite Plasmodium falciparum. </w:t>
      </w:r>
      <w:r w:rsidRPr="00716BD6">
        <w:rPr>
          <w:rFonts w:ascii="Calibri" w:hAnsi="Calibri"/>
          <w:i/>
          <w:iCs/>
          <w:noProof/>
          <w:sz w:val="22"/>
        </w:rPr>
        <w:t>Nature</w:t>
      </w:r>
      <w:r w:rsidRPr="00716BD6">
        <w:rPr>
          <w:rFonts w:ascii="Calibri" w:hAnsi="Calibri"/>
          <w:noProof/>
          <w:sz w:val="22"/>
        </w:rPr>
        <w:t>, 419(6906), pp.498–511. Available at: http://www.pubmedcentral.nih.gov/articlerender.fcgi?artid=3836256&amp;tool=pmcentrez&amp;rendertype=abstract [Accessed October 22,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Gonzales, J.M. et al., 2008. Regulatory hotspots in the malaria parasite genome dictate transcriptional variation. </w:t>
      </w:r>
      <w:r w:rsidRPr="00716BD6">
        <w:rPr>
          <w:rFonts w:ascii="Calibri" w:hAnsi="Calibri"/>
          <w:i/>
          <w:iCs/>
          <w:noProof/>
          <w:sz w:val="22"/>
        </w:rPr>
        <w:t>PLoS biology</w:t>
      </w:r>
      <w:r w:rsidRPr="00716BD6">
        <w:rPr>
          <w:rFonts w:ascii="Calibri" w:hAnsi="Calibri"/>
          <w:noProof/>
          <w:sz w:val="22"/>
        </w:rPr>
        <w:t>, 6(9), p.e238. Available at: http://www.pubmedcentral.nih.gov/articlerender.fcgi?artid=2553844&amp;tool=pmcentrez&amp;rendertype=abstract [Accessed November 17,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Haerty, W. &amp; Golding, G.B., 2011. Increased polymorphism near low-complexity sequences across the genomes of Plasmodium falciparum isolates. </w:t>
      </w:r>
      <w:r w:rsidRPr="00716BD6">
        <w:rPr>
          <w:rFonts w:ascii="Calibri" w:hAnsi="Calibri"/>
          <w:i/>
          <w:iCs/>
          <w:noProof/>
          <w:sz w:val="22"/>
        </w:rPr>
        <w:t>Genome biology and evolution</w:t>
      </w:r>
      <w:r w:rsidRPr="00716BD6">
        <w:rPr>
          <w:rFonts w:ascii="Calibri" w:hAnsi="Calibri"/>
          <w:noProof/>
          <w:sz w:val="22"/>
        </w:rPr>
        <w:t>, 3, pp.539–50. Available at: http://www.pubmedcentral.nih.gov/articlerender.fcgi?artid=3140889&amp;tool=pmcentrez&amp;rendertype=abstract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Hastings, P.J., 1992. Mechanism and control of recombination in fungi. </w:t>
      </w:r>
      <w:r w:rsidRPr="00716BD6">
        <w:rPr>
          <w:rFonts w:ascii="Calibri" w:hAnsi="Calibri"/>
          <w:i/>
          <w:iCs/>
          <w:noProof/>
          <w:sz w:val="22"/>
        </w:rPr>
        <w:t>Mutation research</w:t>
      </w:r>
      <w:r w:rsidRPr="00716BD6">
        <w:rPr>
          <w:rFonts w:ascii="Calibri" w:hAnsi="Calibri"/>
          <w:noProof/>
          <w:sz w:val="22"/>
        </w:rPr>
        <w:t>, 284(1), pp.97–110. Available at: http://www.ncbi.nlm.nih.gov/pubmed/1279396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Hayton, K. et al., 2008. Erythrocyte binding protein PfRH5 polymorphisms determine species-specific pathways of Plasmodium falciparum invasion. </w:t>
      </w:r>
      <w:r w:rsidRPr="00716BD6">
        <w:rPr>
          <w:rFonts w:ascii="Calibri" w:hAnsi="Calibri"/>
          <w:i/>
          <w:iCs/>
          <w:noProof/>
          <w:sz w:val="22"/>
        </w:rPr>
        <w:t>Cell host &amp; microbe</w:t>
      </w:r>
      <w:r w:rsidRPr="00716BD6">
        <w:rPr>
          <w:rFonts w:ascii="Calibri" w:hAnsi="Calibri"/>
          <w:noProof/>
          <w:sz w:val="22"/>
        </w:rPr>
        <w:t>, 4(1), pp.40–51. Available at: http://www.pubmedcentral.nih.gov/articlerender.fcgi?artid=2677973&amp;tool=pmcentrez&amp;rendertype=abstract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Heinberg, A. et al., 2013. Direct evidence for the adaptive role of copy number variation on antifolate susceptibility in Plasmodium falciparum. </w:t>
      </w:r>
      <w:r w:rsidRPr="00716BD6">
        <w:rPr>
          <w:rFonts w:ascii="Calibri" w:hAnsi="Calibri"/>
          <w:i/>
          <w:iCs/>
          <w:noProof/>
          <w:sz w:val="22"/>
        </w:rPr>
        <w:t>Molecular microbiology</w:t>
      </w:r>
      <w:r w:rsidRPr="00716BD6">
        <w:rPr>
          <w:rFonts w:ascii="Calibri" w:hAnsi="Calibri"/>
          <w:noProof/>
          <w:sz w:val="22"/>
        </w:rPr>
        <w:t>, 88(4), pp.702–12. Available at: http://www.pubmedcentral.nih.gov/articlerender.fcgi?artid=3654098&amp;tool=pmcentrez&amp;rendertype=abstract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Hilliker, A.J. et al., 1994. Meiotic gene conversion tract length distribution within the rosy locus of Drosophila melanogaster. </w:t>
      </w:r>
      <w:r w:rsidRPr="00716BD6">
        <w:rPr>
          <w:rFonts w:ascii="Calibri" w:hAnsi="Calibri"/>
          <w:i/>
          <w:iCs/>
          <w:noProof/>
          <w:sz w:val="22"/>
        </w:rPr>
        <w:t>Genetics</w:t>
      </w:r>
      <w:r w:rsidRPr="00716BD6">
        <w:rPr>
          <w:rFonts w:ascii="Calibri" w:hAnsi="Calibri"/>
          <w:noProof/>
          <w:sz w:val="22"/>
        </w:rPr>
        <w:t>, 137(4), pp.1019–26. Available at: http://www.pubmedcentral.nih.gov/articlerender.fcgi?artid=1206049&amp;tool=pmcentrez&amp;rendertype=abstract [Accessed December 16,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Iqbal, Z. et al., 2012. De novo assembly and genotyping of variants using colored de Bruijn graphs. </w:t>
      </w:r>
      <w:r w:rsidRPr="00716BD6">
        <w:rPr>
          <w:rFonts w:ascii="Calibri" w:hAnsi="Calibri"/>
          <w:i/>
          <w:iCs/>
          <w:noProof/>
          <w:sz w:val="22"/>
        </w:rPr>
        <w:t>Nature genetics</w:t>
      </w:r>
      <w:r w:rsidRPr="00716BD6">
        <w:rPr>
          <w:rFonts w:ascii="Calibri" w:hAnsi="Calibri"/>
          <w:noProof/>
          <w:sz w:val="22"/>
        </w:rPr>
        <w:t>, 44(2), pp.226–32. Available at: http://dx.doi.org/10.1038/ng.1028 [Accessed July 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Jeffares, D.C. et al., 2007. Genome variation and evolution of the malaria parasite Plasmodium falciparum. </w:t>
      </w:r>
      <w:r w:rsidRPr="00716BD6">
        <w:rPr>
          <w:rFonts w:ascii="Calibri" w:hAnsi="Calibri"/>
          <w:i/>
          <w:iCs/>
          <w:noProof/>
          <w:sz w:val="22"/>
        </w:rPr>
        <w:t>Nature genetics</w:t>
      </w:r>
      <w:r w:rsidRPr="00716BD6">
        <w:rPr>
          <w:rFonts w:ascii="Calibri" w:hAnsi="Calibri"/>
          <w:noProof/>
          <w:sz w:val="22"/>
        </w:rPr>
        <w:t>, 39(1), pp.120–5. Available at: http://www.pubmedcentral.nih.gov/articlerender.fcgi?artid=2663918&amp;tool=pmcentrez&amp;rendertype=abstract [Accessed November 13,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Jeffreys, A.J. &amp; May, C.A., 2004. Intense and highly localized gene conversion activity in human meiotic crossover hot spots. </w:t>
      </w:r>
      <w:r w:rsidRPr="00716BD6">
        <w:rPr>
          <w:rFonts w:ascii="Calibri" w:hAnsi="Calibri"/>
          <w:i/>
          <w:iCs/>
          <w:noProof/>
          <w:sz w:val="22"/>
        </w:rPr>
        <w:t>Nature genetics</w:t>
      </w:r>
      <w:r w:rsidRPr="00716BD6">
        <w:rPr>
          <w:rFonts w:ascii="Calibri" w:hAnsi="Calibri"/>
          <w:noProof/>
          <w:sz w:val="22"/>
        </w:rPr>
        <w:t>, 36(2), pp.151–6. Available at: http://www.ncbi.nlm.nih.gov/pubmed/14704667 [Accessed December 17,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Jiang, H. et al., 2011. High recombination rates and hotspots in a Plasmodium falciparum genetic cross. </w:t>
      </w:r>
      <w:r w:rsidRPr="00716BD6">
        <w:rPr>
          <w:rFonts w:ascii="Calibri" w:hAnsi="Calibri"/>
          <w:i/>
          <w:iCs/>
          <w:noProof/>
          <w:sz w:val="22"/>
        </w:rPr>
        <w:t>Genome biology</w:t>
      </w:r>
      <w:r w:rsidRPr="00716BD6">
        <w:rPr>
          <w:rFonts w:ascii="Calibri" w:hAnsi="Calibri"/>
          <w:noProof/>
          <w:sz w:val="22"/>
        </w:rPr>
        <w:t>, 12(4), p.R33. Available at: http://genomebiology.com/2011/12/4/R33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Kerr, P.J., Ranford-Cartwright, L.C. &amp; Walliker, D., 1994. Proof of intragenic recombination in Plasmodium falciparum. </w:t>
      </w:r>
      <w:r w:rsidRPr="00716BD6">
        <w:rPr>
          <w:rFonts w:ascii="Calibri" w:hAnsi="Calibri"/>
          <w:i/>
          <w:iCs/>
          <w:noProof/>
          <w:sz w:val="22"/>
        </w:rPr>
        <w:t>Molecular and biochemical parasitology</w:t>
      </w:r>
      <w:r w:rsidRPr="00716BD6">
        <w:rPr>
          <w:rFonts w:ascii="Calibri" w:hAnsi="Calibri"/>
          <w:noProof/>
          <w:sz w:val="22"/>
        </w:rPr>
        <w:t>, 66(2), pp.241–8. Available at: http://www.ncbi.nlm.nih.gov/pubmed/7808474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Kidgell, C. et al., 2006. A systematic map of genetic variation in Plasmodium falciparum. </w:t>
      </w:r>
      <w:r w:rsidRPr="00716BD6">
        <w:rPr>
          <w:rFonts w:ascii="Calibri" w:hAnsi="Calibri"/>
          <w:i/>
          <w:iCs/>
          <w:noProof/>
          <w:sz w:val="22"/>
        </w:rPr>
        <w:t>PLoS pathogens</w:t>
      </w:r>
      <w:r w:rsidRPr="00716BD6">
        <w:rPr>
          <w:rFonts w:ascii="Calibri" w:hAnsi="Calibri"/>
          <w:noProof/>
          <w:sz w:val="22"/>
        </w:rPr>
        <w:t>, 2(6), p.e57. Available at: http://www.pubmedcentral.nih.gov/articlerender.fcgi?artid=1480597&amp;tool=pmcentrez&amp;rendertype=abstract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Kondrashov, F.A., 2012. Gene duplication as a mechanism of genomic adaptation to a changing environment. </w:t>
      </w:r>
      <w:r w:rsidRPr="00716BD6">
        <w:rPr>
          <w:rFonts w:ascii="Calibri" w:hAnsi="Calibri"/>
          <w:i/>
          <w:iCs/>
          <w:noProof/>
          <w:sz w:val="22"/>
        </w:rPr>
        <w:t>Proceedings. Biological sciences / The Royal Society</w:t>
      </w:r>
      <w:r w:rsidRPr="00716BD6">
        <w:rPr>
          <w:rFonts w:ascii="Calibri" w:hAnsi="Calibri"/>
          <w:noProof/>
          <w:sz w:val="22"/>
        </w:rPr>
        <w:t>, 279(1749), pp.5048–57. Available at: http://www.pubmedcentral.nih.gov/articlerender.fcgi?artid=3497230&amp;tool=pmcentrez&amp;rendertype=abstract [Accessed November 12,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Kozarewa, I. et al., 2009. Amplification-free Illumina sequencing-library preparation facilitates improved mapping and assembly of (G+C)-biased genomes. </w:t>
      </w:r>
      <w:r w:rsidRPr="00716BD6">
        <w:rPr>
          <w:rFonts w:ascii="Calibri" w:hAnsi="Calibri"/>
          <w:i/>
          <w:iCs/>
          <w:noProof/>
          <w:sz w:val="22"/>
        </w:rPr>
        <w:t>Nature methods</w:t>
      </w:r>
      <w:r w:rsidRPr="00716BD6">
        <w:rPr>
          <w:rFonts w:ascii="Calibri" w:hAnsi="Calibri"/>
          <w:noProof/>
          <w:sz w:val="22"/>
        </w:rPr>
        <w:t>, 6(4), pp.291–5. Available at: http://dx.doi.org/10.1038/nmeth.1311 [Accessed October 31,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Lasonder, E. et al., 2008. Proteomic profiling of Plasmodium sporozoite maturation identifies new proteins essential for parasite development and infectivity. D. E. Goldberg, ed. </w:t>
      </w:r>
      <w:r w:rsidRPr="00716BD6">
        <w:rPr>
          <w:rFonts w:ascii="Calibri" w:hAnsi="Calibri"/>
          <w:i/>
          <w:iCs/>
          <w:noProof/>
          <w:sz w:val="22"/>
        </w:rPr>
        <w:t>PLoS pathogens</w:t>
      </w:r>
      <w:r w:rsidRPr="00716BD6">
        <w:rPr>
          <w:rFonts w:ascii="Calibri" w:hAnsi="Calibri"/>
          <w:noProof/>
          <w:sz w:val="22"/>
        </w:rPr>
        <w:t>, 4(10), p.e1000195. Available at: http://dx.plos.org/10.1371/journal.ppat.1000195 [Accessed December 16,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Li, H. &amp; Durbin, R., 2009. Fast and accurate short read alignment with Burrows-Wheeler transform. </w:t>
      </w:r>
      <w:r w:rsidRPr="00716BD6">
        <w:rPr>
          <w:rFonts w:ascii="Calibri" w:hAnsi="Calibri"/>
          <w:i/>
          <w:iCs/>
          <w:noProof/>
          <w:sz w:val="22"/>
        </w:rPr>
        <w:t>Bioinformatics (Oxford, England)</w:t>
      </w:r>
      <w:r w:rsidRPr="00716BD6">
        <w:rPr>
          <w:rFonts w:ascii="Calibri" w:hAnsi="Calibri"/>
          <w:noProof/>
          <w:sz w:val="22"/>
        </w:rPr>
        <w:t>, 25(14), pp.1754–60. Available at: http://www.pubmedcentral.nih.gov/articlerender.fcgi?artid=2705234&amp;tool=pmcentrez&amp;rendertype=abstract [Accessed July 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Li, Y.-C. et al., 2002. Microsatellites: genomic distribution, putative functions and mutational mechanisms: a review. </w:t>
      </w:r>
      <w:r w:rsidRPr="00716BD6">
        <w:rPr>
          <w:rFonts w:ascii="Calibri" w:hAnsi="Calibri"/>
          <w:i/>
          <w:iCs/>
          <w:noProof/>
          <w:sz w:val="22"/>
        </w:rPr>
        <w:t>Molecular ecology</w:t>
      </w:r>
      <w:r w:rsidRPr="00716BD6">
        <w:rPr>
          <w:rFonts w:ascii="Calibri" w:hAnsi="Calibri"/>
          <w:noProof/>
          <w:sz w:val="22"/>
        </w:rPr>
        <w:t>, 11(12), pp.2453–65. Available at: http://www.ncbi.nlm.nih.gov/pubmed/12453231 [Accessed November 18,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Lovett, S.T., 2004. Encoded errors: mutations and rearrangements mediated by misalignment at repetitive DNA sequences. </w:t>
      </w:r>
      <w:r w:rsidRPr="00716BD6">
        <w:rPr>
          <w:rFonts w:ascii="Calibri" w:hAnsi="Calibri"/>
          <w:i/>
          <w:iCs/>
          <w:noProof/>
          <w:sz w:val="22"/>
        </w:rPr>
        <w:t>Molecular microbiology</w:t>
      </w:r>
      <w:r w:rsidRPr="00716BD6">
        <w:rPr>
          <w:rFonts w:ascii="Calibri" w:hAnsi="Calibri"/>
          <w:noProof/>
          <w:sz w:val="22"/>
        </w:rPr>
        <w:t>, 52(5), pp.1243–53. Available at: http://www.ncbi.nlm.nih.gov/pubmed/15165229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Mancera, E. et al., 2008. High-resolution mapping of meiotic crossovers and non-crossovers in yeast. </w:t>
      </w:r>
      <w:r w:rsidRPr="00716BD6">
        <w:rPr>
          <w:rFonts w:ascii="Calibri" w:hAnsi="Calibri"/>
          <w:i/>
          <w:iCs/>
          <w:noProof/>
          <w:sz w:val="22"/>
        </w:rPr>
        <w:t>Nature</w:t>
      </w:r>
      <w:r w:rsidRPr="00716BD6">
        <w:rPr>
          <w:rFonts w:ascii="Calibri" w:hAnsi="Calibri"/>
          <w:noProof/>
          <w:sz w:val="22"/>
        </w:rPr>
        <w:t>, 454(7203), pp.479–85. Available at: http://www.pubmedcentral.nih.gov/articlerender.fcgi?artid=2780006&amp;tool=pmcentrez&amp;rendertype=abstract [Accessed November 18,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Manske, H.M. &amp; Kwiatkowski, D.P., 2009. LookSeq: a browser-based viewer for deep sequencing data. </w:t>
      </w:r>
      <w:r w:rsidRPr="00716BD6">
        <w:rPr>
          <w:rFonts w:ascii="Calibri" w:hAnsi="Calibri"/>
          <w:i/>
          <w:iCs/>
          <w:noProof/>
          <w:sz w:val="22"/>
        </w:rPr>
        <w:t>Genome research</w:t>
      </w:r>
      <w:r w:rsidRPr="00716BD6">
        <w:rPr>
          <w:rFonts w:ascii="Calibri" w:hAnsi="Calibri"/>
          <w:noProof/>
          <w:sz w:val="22"/>
        </w:rPr>
        <w:t>, 19(11), pp.2125–32. Available at: http://www.pubmedcentral.nih.gov/articlerender.fcgi?artid=2775587&amp;tool=pmcentrez&amp;rendertype=abstract [Accessed December 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Manske, M. et al., 2012. Analysis of Plasmodium falciparum diversity in natural infections by deep sequencing. </w:t>
      </w:r>
      <w:r w:rsidRPr="00716BD6">
        <w:rPr>
          <w:rFonts w:ascii="Calibri" w:hAnsi="Calibri"/>
          <w:i/>
          <w:iCs/>
          <w:noProof/>
          <w:sz w:val="22"/>
        </w:rPr>
        <w:t>Nature</w:t>
      </w:r>
      <w:r w:rsidRPr="00716BD6">
        <w:rPr>
          <w:rFonts w:ascii="Calibri" w:hAnsi="Calibri"/>
          <w:noProof/>
          <w:sz w:val="22"/>
        </w:rPr>
        <w:t>, 487(7407), pp.375–9. Available at: http://www.pubmedcentral.nih.gov/articlerender.fcgi?artid=3738909&amp;tool=pmcentrez&amp;rendertype=abstract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Martinez-Perez, E. &amp; Colaiácovo, M.P., 2009. Distribution of meiotic recombination events: talking to your neighbors. </w:t>
      </w:r>
      <w:r w:rsidRPr="00716BD6">
        <w:rPr>
          <w:rFonts w:ascii="Calibri" w:hAnsi="Calibri"/>
          <w:i/>
          <w:iCs/>
          <w:noProof/>
          <w:sz w:val="22"/>
        </w:rPr>
        <w:t>Current opinion in genetics &amp; development</w:t>
      </w:r>
      <w:r w:rsidRPr="00716BD6">
        <w:rPr>
          <w:rFonts w:ascii="Calibri" w:hAnsi="Calibri"/>
          <w:noProof/>
          <w:sz w:val="22"/>
        </w:rPr>
        <w:t>, 19(2), pp.105–12. Available at: http://www.pubmedcentral.nih.gov/articlerender.fcgi?artid=2729281&amp;tool=pmcentrez&amp;rendertype=abstract [Accessed December 16,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McKenna, A. et al., 2010. The Genome Analysis Toolkit: a MapReduce framework for analyzing next-generation DNA sequencing data. </w:t>
      </w:r>
      <w:r w:rsidRPr="00716BD6">
        <w:rPr>
          <w:rFonts w:ascii="Calibri" w:hAnsi="Calibri"/>
          <w:i/>
          <w:iCs/>
          <w:noProof/>
          <w:sz w:val="22"/>
        </w:rPr>
        <w:t>Genome research</w:t>
      </w:r>
      <w:r w:rsidRPr="00716BD6">
        <w:rPr>
          <w:rFonts w:ascii="Calibri" w:hAnsi="Calibri"/>
          <w:noProof/>
          <w:sz w:val="22"/>
        </w:rPr>
        <w:t>, 20(9), pp.1297–303. Available at: http://www.pubmedcentral.nih.gov/articlerender.fcgi?artid=2928508&amp;tool=pmcentrez&amp;rendertype=abstract [Accessed July 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Miotto, O. et al., 2013. Multiple populations of artemisinin-resistant Plasmodium falciparum in Cambodia. </w:t>
      </w:r>
      <w:r w:rsidRPr="00716BD6">
        <w:rPr>
          <w:rFonts w:ascii="Calibri" w:hAnsi="Calibri"/>
          <w:i/>
          <w:iCs/>
          <w:noProof/>
          <w:sz w:val="22"/>
        </w:rPr>
        <w:t>Nature genetics</w:t>
      </w:r>
      <w:r w:rsidRPr="00716BD6">
        <w:rPr>
          <w:rFonts w:ascii="Calibri" w:hAnsi="Calibri"/>
          <w:noProof/>
          <w:sz w:val="22"/>
        </w:rPr>
        <w:t>, 45(6), pp.648–55. Available at: http://www.pubmedcentral.nih.gov/articlerender.fcgi?artid=3807790&amp;tool=pmcentrez&amp;rendertype=abstract [Accessed September 30,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Mira-Martínez, S. et al., 2013. Epigenetic switches in clag3 genes mediate blasticidin S resistance in malaria parasites. </w:t>
      </w:r>
      <w:r w:rsidRPr="00716BD6">
        <w:rPr>
          <w:rFonts w:ascii="Calibri" w:hAnsi="Calibri"/>
          <w:i/>
          <w:iCs/>
          <w:noProof/>
          <w:sz w:val="22"/>
        </w:rPr>
        <w:t>Cellular microbiology</w:t>
      </w:r>
      <w:r w:rsidRPr="00716BD6">
        <w:rPr>
          <w:rFonts w:ascii="Calibri" w:hAnsi="Calibri"/>
          <w:noProof/>
          <w:sz w:val="22"/>
        </w:rPr>
        <w:t>, 15(11), pp.1913–23. Available at: http://www.ncbi.nlm.nih.gov/pubmed/23819786 [Accessed December 10,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Mok, S. et al., 2014. Structural polymorphism in the promoter of pfmrp2 confers Plasmodium falciparum tolerance to quinoline drugs. </w:t>
      </w:r>
      <w:r w:rsidRPr="00716BD6">
        <w:rPr>
          <w:rFonts w:ascii="Calibri" w:hAnsi="Calibri"/>
          <w:i/>
          <w:iCs/>
          <w:noProof/>
          <w:sz w:val="22"/>
        </w:rPr>
        <w:t>Molecular microbiology</w:t>
      </w:r>
      <w:r w:rsidRPr="00716BD6">
        <w:rPr>
          <w:rFonts w:ascii="Calibri" w:hAnsi="Calibri"/>
          <w:noProof/>
          <w:sz w:val="22"/>
        </w:rPr>
        <w:t>, 91(5), pp.918–34. Available at: http://www.ncbi.nlm.nih.gov/pubmed/24372851 [Accessed November 13,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Montgomery, S.B. et al., 2013. The origin, evolution, and functional impact of short insertion-deletion variants identified in 179 human genomes. </w:t>
      </w:r>
      <w:r w:rsidRPr="00716BD6">
        <w:rPr>
          <w:rFonts w:ascii="Calibri" w:hAnsi="Calibri"/>
          <w:i/>
          <w:iCs/>
          <w:noProof/>
          <w:sz w:val="22"/>
        </w:rPr>
        <w:t>Genome research</w:t>
      </w:r>
      <w:r w:rsidRPr="00716BD6">
        <w:rPr>
          <w:rFonts w:ascii="Calibri" w:hAnsi="Calibri"/>
          <w:noProof/>
          <w:sz w:val="22"/>
        </w:rPr>
        <w:t>, 23(5), pp.749–61. Available at: http://www.pubmedcentral.nih.gov/articlerender.fcgi?artid=3638132&amp;tool=pmcentrez&amp;rendertype=abstract [Accessed August 21,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Muralidharan, V. &amp; Goldberg, D.E., 2013. Asparagine repeats in Plasmodium falciparum proteins: good for nothing? L. J. Knoll, ed. </w:t>
      </w:r>
      <w:r w:rsidRPr="00716BD6">
        <w:rPr>
          <w:rFonts w:ascii="Calibri" w:hAnsi="Calibri"/>
          <w:i/>
          <w:iCs/>
          <w:noProof/>
          <w:sz w:val="22"/>
        </w:rPr>
        <w:t>PLoS pathogens</w:t>
      </w:r>
      <w:r w:rsidRPr="00716BD6">
        <w:rPr>
          <w:rFonts w:ascii="Calibri" w:hAnsi="Calibri"/>
          <w:noProof/>
          <w:sz w:val="22"/>
        </w:rPr>
        <w:t>, 9(8), p.e1003488. Available at: http://dx.plos.org/10.1371/journal.ppat.1003488 [Accessed December 8,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Muzzey, D. et al., 2013. Assembly of a phased diploid Candida albicans genome facilitates allele-specific measurements and provides a simple model for repeat and indel structure. </w:t>
      </w:r>
      <w:r w:rsidRPr="00716BD6">
        <w:rPr>
          <w:rFonts w:ascii="Calibri" w:hAnsi="Calibri"/>
          <w:i/>
          <w:iCs/>
          <w:noProof/>
          <w:sz w:val="22"/>
        </w:rPr>
        <w:t>Genome biology</w:t>
      </w:r>
      <w:r w:rsidRPr="00716BD6">
        <w:rPr>
          <w:rFonts w:ascii="Calibri" w:hAnsi="Calibri"/>
          <w:noProof/>
          <w:sz w:val="22"/>
        </w:rPr>
        <w:t>, 14(9), p.R97. Available at: http://genomebiology.com/2013/14/9/R97 [Accessed April 22,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Myers, S. et al., 2005. A fine-scale map of recombination rates and hotspots across the human genome. </w:t>
      </w:r>
      <w:r w:rsidRPr="00716BD6">
        <w:rPr>
          <w:rFonts w:ascii="Calibri" w:hAnsi="Calibri"/>
          <w:i/>
          <w:iCs/>
          <w:noProof/>
          <w:sz w:val="22"/>
        </w:rPr>
        <w:t>Science (New York, N.Y.)</w:t>
      </w:r>
      <w:r w:rsidRPr="00716BD6">
        <w:rPr>
          <w:rFonts w:ascii="Calibri" w:hAnsi="Calibri"/>
          <w:noProof/>
          <w:sz w:val="22"/>
        </w:rPr>
        <w:t>, 310(5746), pp.321–4. Available at: http://www.sciencemag.org/content/310/5746/321 [Accessed July 23,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Nair, S. et al., 2008. Adaptive copy number evolution in malaria parasites. </w:t>
      </w:r>
      <w:r w:rsidRPr="00716BD6">
        <w:rPr>
          <w:rFonts w:ascii="Calibri" w:hAnsi="Calibri"/>
          <w:i/>
          <w:iCs/>
          <w:noProof/>
          <w:sz w:val="22"/>
        </w:rPr>
        <w:t>PLoS genetics</w:t>
      </w:r>
      <w:r w:rsidRPr="00716BD6">
        <w:rPr>
          <w:rFonts w:ascii="Calibri" w:hAnsi="Calibri"/>
          <w:noProof/>
          <w:sz w:val="22"/>
        </w:rPr>
        <w:t>, 4(10), p.e1000243. Available at: http://www.pubmedcentral.nih.gov/articlerender.fcgi?artid=2570623&amp;tool=pmcentrez&amp;rendertype=abstract [Accessed November 17,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Nair, S. et al., 2007. Recurrent gene amplification and soft selective sweeps during evolution of multidrug resistance in malaria parasites. </w:t>
      </w:r>
      <w:r w:rsidRPr="00716BD6">
        <w:rPr>
          <w:rFonts w:ascii="Calibri" w:hAnsi="Calibri"/>
          <w:i/>
          <w:iCs/>
          <w:noProof/>
          <w:sz w:val="22"/>
        </w:rPr>
        <w:t>Molecular biology and evolution</w:t>
      </w:r>
      <w:r w:rsidRPr="00716BD6">
        <w:rPr>
          <w:rFonts w:ascii="Calibri" w:hAnsi="Calibri"/>
          <w:noProof/>
          <w:sz w:val="22"/>
        </w:rPr>
        <w:t>, 24(2), pp.562–73. Available at: http://www.ncbi.nlm.nih.gov/pubmed/17124182 [Accessed November 12,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Ranford-Cartwright, L.C. &amp; Mwangi, J.M., 2012. Analysis of malaria parasite phenotypes using experimental genetic crosses of Plasmodium falciparum. </w:t>
      </w:r>
      <w:r w:rsidRPr="00716BD6">
        <w:rPr>
          <w:rFonts w:ascii="Calibri" w:hAnsi="Calibri"/>
          <w:i/>
          <w:iCs/>
          <w:noProof/>
          <w:sz w:val="22"/>
        </w:rPr>
        <w:t>International journal for parasitology</w:t>
      </w:r>
      <w:r w:rsidRPr="00716BD6">
        <w:rPr>
          <w:rFonts w:ascii="Calibri" w:hAnsi="Calibri"/>
          <w:noProof/>
          <w:sz w:val="22"/>
        </w:rPr>
        <w:t>, 42(6), pp.529–34. Available at: http://www.pubmedcentral.nih.gov/articlerender.fcgi?artid=4039998&amp;tool=pmcentrez&amp;rendertype=abstract [Accessed November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Robasky, K., Lewis, N.E. &amp; Church, G.M., 2014. The role of replicates for error mitigation in next-generation sequencing. </w:t>
      </w:r>
      <w:r w:rsidRPr="00716BD6">
        <w:rPr>
          <w:rFonts w:ascii="Calibri" w:hAnsi="Calibri"/>
          <w:i/>
          <w:iCs/>
          <w:noProof/>
          <w:sz w:val="22"/>
        </w:rPr>
        <w:t>Nature reviews. Genetics</w:t>
      </w:r>
      <w:r w:rsidRPr="00716BD6">
        <w:rPr>
          <w:rFonts w:ascii="Calibri" w:hAnsi="Calibri"/>
          <w:noProof/>
          <w:sz w:val="22"/>
        </w:rPr>
        <w:t>, 15(1), pp.56–62. Available at: http://dx.doi.org/10.1038/nrg3655 [Accessed July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Rosenthal, P.J., 2013. The interplay between drug resistance and fitness in malaria parasites. </w:t>
      </w:r>
      <w:r w:rsidRPr="00716BD6">
        <w:rPr>
          <w:rFonts w:ascii="Calibri" w:hAnsi="Calibri"/>
          <w:i/>
          <w:iCs/>
          <w:noProof/>
          <w:sz w:val="22"/>
        </w:rPr>
        <w:t>Molecular microbiology</w:t>
      </w:r>
      <w:r w:rsidRPr="00716BD6">
        <w:rPr>
          <w:rFonts w:ascii="Calibri" w:hAnsi="Calibri"/>
          <w:noProof/>
          <w:sz w:val="22"/>
        </w:rPr>
        <w:t>, 89(6), pp.1025–38. Available at: http://www.pubmedcentral.nih.gov/articlerender.fcgi?artid=3792794&amp;tool=pmcentrez&amp;rendertype=abstract [Accessed April 22,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Roy, S.W., Ferreira, M.U. &amp; Hartl, D.L., 2008. Evolution of allelic dimorphism in malarial surface antigens. </w:t>
      </w:r>
      <w:r w:rsidRPr="00716BD6">
        <w:rPr>
          <w:rFonts w:ascii="Calibri" w:hAnsi="Calibri"/>
          <w:i/>
          <w:iCs/>
          <w:noProof/>
          <w:sz w:val="22"/>
        </w:rPr>
        <w:t>Heredity</w:t>
      </w:r>
      <w:r w:rsidRPr="00716BD6">
        <w:rPr>
          <w:rFonts w:ascii="Calibri" w:hAnsi="Calibri"/>
          <w:noProof/>
          <w:sz w:val="22"/>
        </w:rPr>
        <w:t>, 100(2), pp.103–10. Available at: http://www.ncbi.nlm.nih.gov/pubmed/17021615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Samarakoon, U., Regier, A., et al., 2011. High-throughput 454 resequencing for allele discovery and recombination mapping in Plasmodium falciparum. </w:t>
      </w:r>
      <w:r w:rsidRPr="00716BD6">
        <w:rPr>
          <w:rFonts w:ascii="Calibri" w:hAnsi="Calibri"/>
          <w:i/>
          <w:iCs/>
          <w:noProof/>
          <w:sz w:val="22"/>
        </w:rPr>
        <w:t>BMC genomics</w:t>
      </w:r>
      <w:r w:rsidRPr="00716BD6">
        <w:rPr>
          <w:rFonts w:ascii="Calibri" w:hAnsi="Calibri"/>
          <w:noProof/>
          <w:sz w:val="22"/>
        </w:rPr>
        <w:t>, 12, p.116. Available at: http://www.pubmedcentral.nih.gov/articlerender.fcgi?artid=3055840&amp;tool=pmcentrez&amp;rendertype=abstract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Samarakoon, U., Gonzales, J.M., et al., 2011. The landscape of inherited and de novo copy number variants in a Plasmodium falciparum genetic cross. </w:t>
      </w:r>
      <w:r w:rsidRPr="00716BD6">
        <w:rPr>
          <w:rFonts w:ascii="Calibri" w:hAnsi="Calibri"/>
          <w:i/>
          <w:iCs/>
          <w:noProof/>
          <w:sz w:val="22"/>
        </w:rPr>
        <w:t>BMC genomics</w:t>
      </w:r>
      <w:r w:rsidRPr="00716BD6">
        <w:rPr>
          <w:rFonts w:ascii="Calibri" w:hAnsi="Calibri"/>
          <w:noProof/>
          <w:sz w:val="22"/>
        </w:rPr>
        <w:t>, 12, p.457. Available at: http://www.pubmedcentral.nih.gov/articlerender.fcgi?artid=3191341&amp;tool=pmcentrez&amp;rendertype=abstract [Accessed October 18,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Saunders, I.W., Brohede, J. &amp; Hannan, G.N., 2007. Estimating genotyping error rates from Mendelian errors in SNP array genotypes and their impact on inference. </w:t>
      </w:r>
      <w:r w:rsidRPr="00716BD6">
        <w:rPr>
          <w:rFonts w:ascii="Calibri" w:hAnsi="Calibri"/>
          <w:i/>
          <w:iCs/>
          <w:noProof/>
          <w:sz w:val="22"/>
        </w:rPr>
        <w:t>Genomics</w:t>
      </w:r>
      <w:r w:rsidRPr="00716BD6">
        <w:rPr>
          <w:rFonts w:ascii="Calibri" w:hAnsi="Calibri"/>
          <w:noProof/>
          <w:sz w:val="22"/>
        </w:rPr>
        <w:t>, 90(3), pp.291–6. Available at: http://www.sciencedirect.com/science/article/pii/S088875430700136X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Sepúlveda, N. et al., 2013. A Poisson hierarchical modelling approach to detecting copy number variation in sequence coverage data. </w:t>
      </w:r>
      <w:r w:rsidRPr="00716BD6">
        <w:rPr>
          <w:rFonts w:ascii="Calibri" w:hAnsi="Calibri"/>
          <w:i/>
          <w:iCs/>
          <w:noProof/>
          <w:sz w:val="22"/>
        </w:rPr>
        <w:t>BMC genomics</w:t>
      </w:r>
      <w:r w:rsidRPr="00716BD6">
        <w:rPr>
          <w:rFonts w:ascii="Calibri" w:hAnsi="Calibri"/>
          <w:noProof/>
          <w:sz w:val="22"/>
        </w:rPr>
        <w:t>, 14, p.128. Available at: http://www.pubmedcentral.nih.gov/articlerender.fcgi?artid=3679970&amp;tool=pmcentrez&amp;rendertype=abstract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Su, X. et al., 1999. A genetic map and recombination parameters of the human malaria parasite Plasmodium falciparum. </w:t>
      </w:r>
      <w:r w:rsidRPr="00716BD6">
        <w:rPr>
          <w:rFonts w:ascii="Calibri" w:hAnsi="Calibri"/>
          <w:i/>
          <w:iCs/>
          <w:noProof/>
          <w:sz w:val="22"/>
        </w:rPr>
        <w:t>Science (New York, N.Y.)</w:t>
      </w:r>
      <w:r w:rsidRPr="00716BD6">
        <w:rPr>
          <w:rFonts w:ascii="Calibri" w:hAnsi="Calibri"/>
          <w:noProof/>
          <w:sz w:val="22"/>
        </w:rPr>
        <w:t>, 286(5443), pp.1351–3. Available at: http://www.ncbi.nlm.nih.gov/pubmed/10558988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Su, X., Hayton, K. &amp; Wellems, T.E., 2007. Genetic linkage and association analyses for trait mapping in Plasmodium falciparum. </w:t>
      </w:r>
      <w:r w:rsidRPr="00716BD6">
        <w:rPr>
          <w:rFonts w:ascii="Calibri" w:hAnsi="Calibri"/>
          <w:i/>
          <w:iCs/>
          <w:noProof/>
          <w:sz w:val="22"/>
        </w:rPr>
        <w:t>Nature reviews. Genetics</w:t>
      </w:r>
      <w:r w:rsidRPr="00716BD6">
        <w:rPr>
          <w:rFonts w:ascii="Calibri" w:hAnsi="Calibri"/>
          <w:noProof/>
          <w:sz w:val="22"/>
        </w:rPr>
        <w:t>, 8(7), pp.497–506. Available at: http://dx.doi.org/10.1038/nrg2126 [Accessed January 20,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Tan, J.C. et al., 2010. Variable numbers of tandem repeats in Plasmodium falciparum genes. </w:t>
      </w:r>
      <w:r w:rsidRPr="00716BD6">
        <w:rPr>
          <w:rFonts w:ascii="Calibri" w:hAnsi="Calibri"/>
          <w:i/>
          <w:iCs/>
          <w:noProof/>
          <w:sz w:val="22"/>
        </w:rPr>
        <w:t>Journal of molecular evolution</w:t>
      </w:r>
      <w:r w:rsidRPr="00716BD6">
        <w:rPr>
          <w:rFonts w:ascii="Calibri" w:hAnsi="Calibri"/>
          <w:noProof/>
          <w:sz w:val="22"/>
        </w:rPr>
        <w:t>, 71(4), pp.268–78. Available at: http://www.pubmedcentral.nih.gov/articlerender.fcgi?artid=3205454&amp;tool=pmcentrez&amp;rendertype=abstract [Accessed November 21,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Valli, A., López-Moya, J.J. &amp; García, J.A., 2007. Recombination and gene duplication in the evolutionary diversification of P1 proteins in the family Potyviridae. </w:t>
      </w:r>
      <w:r w:rsidRPr="00716BD6">
        <w:rPr>
          <w:rFonts w:ascii="Calibri" w:hAnsi="Calibri"/>
          <w:i/>
          <w:iCs/>
          <w:noProof/>
          <w:sz w:val="22"/>
        </w:rPr>
        <w:t>The Journal of general virology</w:t>
      </w:r>
      <w:r w:rsidRPr="00716BD6">
        <w:rPr>
          <w:rFonts w:ascii="Calibri" w:hAnsi="Calibri"/>
          <w:noProof/>
          <w:sz w:val="22"/>
        </w:rPr>
        <w:t>, 88(Pt 3), pp.1016–28. Available at: http://www.ncbi.nlm.nih.gov/pubmed/17325376 [Accessed May 12,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Vaughan, A.M. et al., 2015. Plasmodium falciparum genetic crosses in a humanized mouse model. </w:t>
      </w:r>
      <w:r w:rsidRPr="00716BD6">
        <w:rPr>
          <w:rFonts w:ascii="Calibri" w:hAnsi="Calibri"/>
          <w:i/>
          <w:iCs/>
          <w:noProof/>
          <w:sz w:val="22"/>
        </w:rPr>
        <w:t>Nature methods</w:t>
      </w:r>
      <w:r w:rsidRPr="00716BD6">
        <w:rPr>
          <w:rFonts w:ascii="Calibri" w:hAnsi="Calibri"/>
          <w:noProof/>
          <w:sz w:val="22"/>
        </w:rPr>
        <w:t>, 12(7), pp.631–633. Available at: http://dx.doi.org/10.1038/nmeth.3432 [Accessed June 29,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Völker, M. et al., 2010. Copy number variation, chromosome rearrangement, and their association with recombination during avian evolution. </w:t>
      </w:r>
      <w:r w:rsidRPr="00716BD6">
        <w:rPr>
          <w:rFonts w:ascii="Calibri" w:hAnsi="Calibri"/>
          <w:i/>
          <w:iCs/>
          <w:noProof/>
          <w:sz w:val="22"/>
        </w:rPr>
        <w:t>Genome research</w:t>
      </w:r>
      <w:r w:rsidRPr="00716BD6">
        <w:rPr>
          <w:rFonts w:ascii="Calibri" w:hAnsi="Calibri"/>
          <w:noProof/>
          <w:sz w:val="22"/>
        </w:rPr>
        <w:t>, 20(4), pp.503–11. Available at: http://genome.cshlp.org/content/20/4/503.full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Walker-Jonah, A. et al., 1992. An RFLP map of the Plasmodium falciparum genome, recombination rates and favored linkage groups in a genetic cross. </w:t>
      </w:r>
      <w:r w:rsidRPr="00716BD6">
        <w:rPr>
          <w:rFonts w:ascii="Calibri" w:hAnsi="Calibri"/>
          <w:i/>
          <w:iCs/>
          <w:noProof/>
          <w:sz w:val="22"/>
        </w:rPr>
        <w:t>Molecular and biochemical parasitology</w:t>
      </w:r>
      <w:r w:rsidRPr="00716BD6">
        <w:rPr>
          <w:rFonts w:ascii="Calibri" w:hAnsi="Calibri"/>
          <w:noProof/>
          <w:sz w:val="22"/>
        </w:rPr>
        <w:t>, 51(2), pp.313–20. Available at: http://www.ncbi.nlm.nih.gov/pubmed/1349423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Walliker, D. et al., 1987. Genetic analysis of the human malaria parasite Plasmodium falciparum. </w:t>
      </w:r>
      <w:r w:rsidRPr="00716BD6">
        <w:rPr>
          <w:rFonts w:ascii="Calibri" w:hAnsi="Calibri"/>
          <w:i/>
          <w:iCs/>
          <w:noProof/>
          <w:sz w:val="22"/>
        </w:rPr>
        <w:t>Science (New York, N.Y.)</w:t>
      </w:r>
      <w:r w:rsidRPr="00716BD6">
        <w:rPr>
          <w:rFonts w:ascii="Calibri" w:hAnsi="Calibri"/>
          <w:noProof/>
          <w:sz w:val="22"/>
        </w:rPr>
        <w:t>, 236(4809), pp.1661–6. Available at: http://www.ncbi.nlm.nih.gov/pubmed/3299700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Wellems, T.E. et al., 1990. Chloroquine resistance not linked to mdr-like genes in a Plasmodium falciparum cross. </w:t>
      </w:r>
      <w:r w:rsidRPr="00716BD6">
        <w:rPr>
          <w:rFonts w:ascii="Calibri" w:hAnsi="Calibri"/>
          <w:i/>
          <w:iCs/>
          <w:noProof/>
          <w:sz w:val="22"/>
        </w:rPr>
        <w:t>Nature</w:t>
      </w:r>
      <w:r w:rsidRPr="00716BD6">
        <w:rPr>
          <w:rFonts w:ascii="Calibri" w:hAnsi="Calibri"/>
          <w:noProof/>
          <w:sz w:val="22"/>
        </w:rPr>
        <w:t>, 345(6272), pp.253–5. Available at: http://www.ncbi.nlm.nih.gov/pubmed/1970614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Wellems, T.E., Walker-Jonah, A. &amp; Panton, L.J., 1991. Genetic mapping of the chloroquine-resistance locus on Plasmodium falciparum chromosome 7. </w:t>
      </w:r>
      <w:r w:rsidRPr="00716BD6">
        <w:rPr>
          <w:rFonts w:ascii="Calibri" w:hAnsi="Calibri"/>
          <w:i/>
          <w:iCs/>
          <w:noProof/>
          <w:sz w:val="22"/>
        </w:rPr>
        <w:t>Proceedings of the National Academy of Sciences of the United States of America</w:t>
      </w:r>
      <w:r w:rsidRPr="00716BD6">
        <w:rPr>
          <w:rFonts w:ascii="Calibri" w:hAnsi="Calibri"/>
          <w:noProof/>
          <w:sz w:val="22"/>
        </w:rPr>
        <w:t>, 88(8), pp.3382–6. Available at: http://www.pubmedcentral.nih.gov/articlerender.fcgi?artid=51451&amp;tool=pmcentrez&amp;rendertype=abstract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Youds, J.L. &amp; Boulton, S.J., 2011. The choice in meiosis - defining the factors that influence crossover or non-crossover formation. </w:t>
      </w:r>
      <w:r w:rsidRPr="00716BD6">
        <w:rPr>
          <w:rFonts w:ascii="Calibri" w:hAnsi="Calibri"/>
          <w:i/>
          <w:iCs/>
          <w:noProof/>
          <w:sz w:val="22"/>
        </w:rPr>
        <w:t>Journal of cell science</w:t>
      </w:r>
      <w:r w:rsidRPr="00716BD6">
        <w:rPr>
          <w:rFonts w:ascii="Calibri" w:hAnsi="Calibri"/>
          <w:noProof/>
          <w:sz w:val="22"/>
        </w:rPr>
        <w:t>, 124(Pt 4), pp.501–13. Available at: http://www.ncbi.nlm.nih.gov/pubmed/21282472 [Accessed December 12,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Zilversmit, M.M. et al., 2010. Low-complexity regions in Plasmodium falciparum: missing links in the evolution of an extreme genome. </w:t>
      </w:r>
      <w:r w:rsidRPr="00716BD6">
        <w:rPr>
          <w:rFonts w:ascii="Calibri" w:hAnsi="Calibri"/>
          <w:i/>
          <w:iCs/>
          <w:noProof/>
          <w:sz w:val="22"/>
        </w:rPr>
        <w:t>Molecular biology and evolution</w:t>
      </w:r>
      <w:r w:rsidRPr="00716BD6">
        <w:rPr>
          <w:rFonts w:ascii="Calibri" w:hAnsi="Calibri"/>
          <w:noProof/>
          <w:sz w:val="22"/>
        </w:rPr>
        <w:t>, 27(9), pp.2198–209. Available at: http://www.pubmedcentral.nih.gov/articlerender.fcgi?artid=2922621&amp;tool=pmcentrez&amp;rendertype=abstract [Accessed October 20, 2014].</w:t>
      </w:r>
    </w:p>
    <w:p w:rsidR="009E1600" w:rsidRPr="009E1600" w:rsidRDefault="005C3FF3" w:rsidP="00716BD6">
      <w:pPr>
        <w:pStyle w:val="NormalWeb"/>
        <w:ind w:left="480" w:hanging="480"/>
        <w:divId w:val="985088373"/>
      </w:pPr>
      <w:r>
        <w:fldChar w:fldCharType="end"/>
      </w:r>
    </w:p>
    <w:sectPr w:rsidR="009E1600" w:rsidRPr="009E1600" w:rsidSect="00355A6C">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24BF" w:rsidRDefault="000124BF" w:rsidP="008B66D9">
      <w:pPr>
        <w:spacing w:after="0" w:line="240" w:lineRule="auto"/>
      </w:pPr>
      <w:r>
        <w:separator/>
      </w:r>
    </w:p>
  </w:endnote>
  <w:endnote w:type="continuationSeparator" w:id="0">
    <w:p w:rsidR="000124BF" w:rsidRDefault="000124BF" w:rsidP="008B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24BF" w:rsidRDefault="000124BF" w:rsidP="008B66D9">
      <w:pPr>
        <w:spacing w:after="0" w:line="240" w:lineRule="auto"/>
      </w:pPr>
      <w:r>
        <w:separator/>
      </w:r>
    </w:p>
  </w:footnote>
  <w:footnote w:type="continuationSeparator" w:id="0">
    <w:p w:rsidR="000124BF" w:rsidRDefault="000124BF" w:rsidP="008B66D9">
      <w:pPr>
        <w:spacing w:after="0" w:line="240" w:lineRule="auto"/>
      </w:pPr>
      <w:r>
        <w:continuationSeparator/>
      </w:r>
    </w:p>
  </w:footnote>
  <w:footnote w:id="1">
    <w:p w:rsidR="004533B9" w:rsidRDefault="004533B9">
      <w:pPr>
        <w:pStyle w:val="FootnoteText"/>
      </w:pPr>
      <w:r>
        <w:rPr>
          <w:rStyle w:val="FootnoteReference"/>
        </w:rPr>
        <w:footnoteRef/>
      </w:r>
      <w:r>
        <w:t xml:space="preserve"> MRC Centre for Genomics and Global Health, University of Oxford, Oxford, UK</w:t>
      </w:r>
    </w:p>
  </w:footnote>
  <w:footnote w:id="2">
    <w:p w:rsidR="004533B9" w:rsidRDefault="004533B9">
      <w:pPr>
        <w:pStyle w:val="FootnoteText"/>
      </w:pPr>
      <w:r>
        <w:rPr>
          <w:rStyle w:val="FootnoteReference"/>
        </w:rPr>
        <w:footnoteRef/>
      </w:r>
      <w:r>
        <w:t xml:space="preserve"> Malaria Programme, Wellcome Trust Sanger Institute, </w:t>
      </w:r>
      <w:proofErr w:type="spellStart"/>
      <w:r>
        <w:t>Hinxton</w:t>
      </w:r>
      <w:proofErr w:type="spellEnd"/>
      <w:r>
        <w:t>, UK</w:t>
      </w:r>
    </w:p>
  </w:footnote>
  <w:footnote w:id="3">
    <w:p w:rsidR="004533B9" w:rsidRDefault="004533B9">
      <w:pPr>
        <w:pStyle w:val="FootnoteText"/>
      </w:pPr>
      <w:r>
        <w:rPr>
          <w:rStyle w:val="FootnoteReference"/>
        </w:rPr>
        <w:footnoteRef/>
      </w:r>
      <w:r>
        <w:t xml:space="preserve"> Wellcome Trust Centre for Human Genetics, University of Oxford, Oxford, UK</w:t>
      </w:r>
    </w:p>
  </w:footnote>
  <w:footnote w:id="4">
    <w:p w:rsidR="004533B9" w:rsidRDefault="004533B9">
      <w:pPr>
        <w:pStyle w:val="FootnoteText"/>
      </w:pPr>
      <w:r>
        <w:rPr>
          <w:rStyle w:val="FootnoteReference"/>
        </w:rPr>
        <w:footnoteRef/>
      </w:r>
      <w:r>
        <w:t xml:space="preserve"> Bowdoin College, Brunswick, Maine, USA</w:t>
      </w:r>
    </w:p>
  </w:footnote>
  <w:footnote w:id="5">
    <w:p w:rsidR="004533B9" w:rsidRDefault="004533B9">
      <w:pPr>
        <w:pStyle w:val="FootnoteText"/>
      </w:pPr>
      <w:r>
        <w:rPr>
          <w:rStyle w:val="FootnoteReference"/>
        </w:rPr>
        <w:footnoteRef/>
      </w:r>
      <w:r>
        <w:t xml:space="preserve"> Broad Institute of Harvard and MIT, Cambridge, Massachusetts, USA</w:t>
      </w:r>
    </w:p>
  </w:footnote>
  <w:footnote w:id="6">
    <w:p w:rsidR="004533B9" w:rsidRDefault="004533B9">
      <w:pPr>
        <w:pStyle w:val="FootnoteText"/>
      </w:pPr>
      <w:r>
        <w:rPr>
          <w:rStyle w:val="FootnoteReference"/>
        </w:rPr>
        <w:footnoteRef/>
      </w:r>
      <w:r>
        <w:t xml:space="preserve"> </w:t>
      </w:r>
      <w:r w:rsidRPr="00123EBE">
        <w:t xml:space="preserve">Department of Biochemistry, Medical School, Mount Kenya University, General </w:t>
      </w:r>
      <w:proofErr w:type="spellStart"/>
      <w:r w:rsidRPr="00123EBE">
        <w:t>Kago</w:t>
      </w:r>
      <w:proofErr w:type="spellEnd"/>
      <w:r w:rsidRPr="00123EBE">
        <w:t xml:space="preserve"> </w:t>
      </w:r>
      <w:r>
        <w:t xml:space="preserve">Road, </w:t>
      </w:r>
      <w:proofErr w:type="spellStart"/>
      <w:r>
        <w:t>Thika</w:t>
      </w:r>
      <w:proofErr w:type="spellEnd"/>
      <w:r>
        <w:t>,</w:t>
      </w:r>
      <w:r w:rsidRPr="00123EBE">
        <w:t xml:space="preserve"> Kenya</w:t>
      </w:r>
    </w:p>
  </w:footnote>
  <w:footnote w:id="7">
    <w:p w:rsidR="004533B9" w:rsidRDefault="004533B9">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4533B9" w:rsidRDefault="004533B9">
      <w:pPr>
        <w:pStyle w:val="FootnoteText"/>
      </w:pPr>
      <w:r>
        <w:rPr>
          <w:rStyle w:val="FootnoteReference"/>
        </w:rPr>
        <w:footnoteRef/>
      </w:r>
      <w:r>
        <w:t xml:space="preserve"> Eck Institute for Global Health, Department of Biological Sciences, University of Notre Dame, Notre Dame, Indiana, USA</w:t>
      </w:r>
    </w:p>
  </w:footnote>
  <w:footnote w:id="9">
    <w:p w:rsidR="004533B9" w:rsidRDefault="004533B9">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4533B9" w:rsidRDefault="004533B9">
      <w:pPr>
        <w:pStyle w:val="FootnoteText"/>
      </w:pPr>
      <w:r>
        <w:rPr>
          <w:rStyle w:val="FootnoteReference"/>
        </w:rPr>
        <w:footnoteRef/>
      </w:r>
      <w:r>
        <w:t xml:space="preserve"> Department of Statistics, University of Oxford, Oxford, UK</w:t>
      </w:r>
    </w:p>
  </w:footnote>
  <w:footnote w:id="11">
    <w:p w:rsidR="004533B9" w:rsidRDefault="004533B9" w:rsidP="0083016F">
      <w:pPr>
        <w:pStyle w:val="FootnoteText"/>
      </w:pPr>
      <w:r>
        <w:rPr>
          <w:rStyle w:val="FootnoteReference"/>
        </w:rPr>
        <w:footnoteRef/>
      </w:r>
      <w:r>
        <w:t xml:space="preserve"> ftp://ngs.sanger.ac.uk/production/pf-crosses/1.0/</w:t>
      </w:r>
    </w:p>
  </w:footnote>
  <w:footnote w:id="12">
    <w:p w:rsidR="004533B9" w:rsidRDefault="004533B9">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3">
    <w:p w:rsidR="004533B9" w:rsidRDefault="004533B9">
      <w:pPr>
        <w:pStyle w:val="FootnoteText"/>
      </w:pPr>
      <w:r>
        <w:rPr>
          <w:rStyle w:val="FootnoteReference"/>
        </w:rPr>
        <w:footnoteRef/>
      </w:r>
      <w:r>
        <w:t xml:space="preserve"> https://github.com/alimanfoo/pysamstats</w:t>
      </w:r>
    </w:p>
  </w:footnote>
  <w:footnote w:id="14">
    <w:p w:rsidR="004533B9" w:rsidRDefault="004533B9" w:rsidP="005F76A4">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15">
    <w:p w:rsidR="004533B9" w:rsidRDefault="004533B9" w:rsidP="005F76A4">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16">
    <w:p w:rsidR="004533B9" w:rsidRDefault="004533B9" w:rsidP="005F76A4">
      <w:pPr>
        <w:pStyle w:val="FootnoteText"/>
      </w:pPr>
      <w:r>
        <w:rPr>
          <w:rStyle w:val="FootnoteReference"/>
        </w:rPr>
        <w:footnoteRef/>
      </w:r>
      <w:r>
        <w:t xml:space="preserve"> Total number of segregating SNPs combined from both alignment and assembly calling methods that passed all quality filters.</w:t>
      </w:r>
    </w:p>
  </w:footnote>
  <w:footnote w:id="17">
    <w:p w:rsidR="004533B9" w:rsidRDefault="004533B9" w:rsidP="005F76A4">
      <w:pPr>
        <w:pStyle w:val="FootnoteText"/>
      </w:pPr>
      <w:r>
        <w:rPr>
          <w:rStyle w:val="FootnoteReference"/>
        </w:rPr>
        <w:footnoteRef/>
      </w:r>
      <w:r>
        <w:t xml:space="preserve"> Total number of segregating INDELs combined from both alignment and assembly calling methods that passed all quality filters.</w:t>
      </w:r>
    </w:p>
  </w:footnote>
  <w:footnote w:id="18">
    <w:p w:rsidR="004533B9" w:rsidRDefault="004533B9" w:rsidP="005F76A4">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19">
    <w:p w:rsidR="004533B9" w:rsidRDefault="004533B9" w:rsidP="005F76A4">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20">
    <w:p w:rsidR="004533B9" w:rsidRDefault="004533B9" w:rsidP="005F76A4">
      <w:pPr>
        <w:pStyle w:val="FootnoteText"/>
      </w:pPr>
      <w:r>
        <w:rPr>
          <w:rStyle w:val="FootnoteReference"/>
        </w:rPr>
        <w:footnoteRef/>
      </w:r>
      <w:r>
        <w:t xml:space="preserve"> </w:t>
      </w:r>
      <w:proofErr w:type="gramStart"/>
      <w:r>
        <w:t>Average distance between combined SNP and INDEL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1"/>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A24306"/>
    <w:rsid w:val="0001017A"/>
    <w:rsid w:val="000118A7"/>
    <w:rsid w:val="000124BF"/>
    <w:rsid w:val="00012D16"/>
    <w:rsid w:val="00013797"/>
    <w:rsid w:val="00015727"/>
    <w:rsid w:val="00016DA9"/>
    <w:rsid w:val="00022BF0"/>
    <w:rsid w:val="0004180F"/>
    <w:rsid w:val="00043C58"/>
    <w:rsid w:val="0005220C"/>
    <w:rsid w:val="000645D6"/>
    <w:rsid w:val="00065004"/>
    <w:rsid w:val="00071215"/>
    <w:rsid w:val="00077681"/>
    <w:rsid w:val="00081BCE"/>
    <w:rsid w:val="000840C7"/>
    <w:rsid w:val="00084E8A"/>
    <w:rsid w:val="000900EE"/>
    <w:rsid w:val="00090410"/>
    <w:rsid w:val="00092516"/>
    <w:rsid w:val="00093124"/>
    <w:rsid w:val="00093131"/>
    <w:rsid w:val="00094913"/>
    <w:rsid w:val="00094D11"/>
    <w:rsid w:val="00097BD4"/>
    <w:rsid w:val="000A1F02"/>
    <w:rsid w:val="000A47CF"/>
    <w:rsid w:val="000B2834"/>
    <w:rsid w:val="000C02A8"/>
    <w:rsid w:val="000C3978"/>
    <w:rsid w:val="000C7198"/>
    <w:rsid w:val="000C7B24"/>
    <w:rsid w:val="000D1E36"/>
    <w:rsid w:val="000D3450"/>
    <w:rsid w:val="000E06C9"/>
    <w:rsid w:val="000E272C"/>
    <w:rsid w:val="000E2B62"/>
    <w:rsid w:val="000E4015"/>
    <w:rsid w:val="000F2C02"/>
    <w:rsid w:val="0010383D"/>
    <w:rsid w:val="00105191"/>
    <w:rsid w:val="00107FF0"/>
    <w:rsid w:val="00110DAF"/>
    <w:rsid w:val="001149B3"/>
    <w:rsid w:val="00114AB5"/>
    <w:rsid w:val="00121EF5"/>
    <w:rsid w:val="001238A3"/>
    <w:rsid w:val="00123EBE"/>
    <w:rsid w:val="001301E2"/>
    <w:rsid w:val="001321AD"/>
    <w:rsid w:val="001412D0"/>
    <w:rsid w:val="00141CF3"/>
    <w:rsid w:val="00142C02"/>
    <w:rsid w:val="00143AF4"/>
    <w:rsid w:val="00153CF8"/>
    <w:rsid w:val="00161CD0"/>
    <w:rsid w:val="0016550F"/>
    <w:rsid w:val="00170A38"/>
    <w:rsid w:val="0017234E"/>
    <w:rsid w:val="001775DE"/>
    <w:rsid w:val="00184795"/>
    <w:rsid w:val="001865B1"/>
    <w:rsid w:val="00190747"/>
    <w:rsid w:val="00194EE4"/>
    <w:rsid w:val="001B18CC"/>
    <w:rsid w:val="001C088D"/>
    <w:rsid w:val="001C1697"/>
    <w:rsid w:val="001C4C7D"/>
    <w:rsid w:val="001C4E6F"/>
    <w:rsid w:val="001C68E4"/>
    <w:rsid w:val="001C6FE6"/>
    <w:rsid w:val="001D71FE"/>
    <w:rsid w:val="001E1229"/>
    <w:rsid w:val="001F20D6"/>
    <w:rsid w:val="001F6267"/>
    <w:rsid w:val="001F7E29"/>
    <w:rsid w:val="00202B2B"/>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63A8B"/>
    <w:rsid w:val="00264F25"/>
    <w:rsid w:val="00266665"/>
    <w:rsid w:val="002759C7"/>
    <w:rsid w:val="00291C00"/>
    <w:rsid w:val="00293AC3"/>
    <w:rsid w:val="00295C75"/>
    <w:rsid w:val="002A031E"/>
    <w:rsid w:val="002A236A"/>
    <w:rsid w:val="002A5154"/>
    <w:rsid w:val="002B4174"/>
    <w:rsid w:val="002B5CBF"/>
    <w:rsid w:val="002C092B"/>
    <w:rsid w:val="002C3E4D"/>
    <w:rsid w:val="002D236F"/>
    <w:rsid w:val="002F7A46"/>
    <w:rsid w:val="0031069D"/>
    <w:rsid w:val="00316BAD"/>
    <w:rsid w:val="00320409"/>
    <w:rsid w:val="00320E71"/>
    <w:rsid w:val="003224B9"/>
    <w:rsid w:val="00324626"/>
    <w:rsid w:val="00325FF3"/>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347F"/>
    <w:rsid w:val="003C55CB"/>
    <w:rsid w:val="003C6843"/>
    <w:rsid w:val="003C72B7"/>
    <w:rsid w:val="003D0F25"/>
    <w:rsid w:val="003D1E9D"/>
    <w:rsid w:val="003D3144"/>
    <w:rsid w:val="003D5E66"/>
    <w:rsid w:val="003D7F87"/>
    <w:rsid w:val="003E3A10"/>
    <w:rsid w:val="003E405C"/>
    <w:rsid w:val="003E5237"/>
    <w:rsid w:val="003E6777"/>
    <w:rsid w:val="003F0D40"/>
    <w:rsid w:val="003F1EB5"/>
    <w:rsid w:val="003F4A84"/>
    <w:rsid w:val="0040749C"/>
    <w:rsid w:val="00411E8E"/>
    <w:rsid w:val="00414247"/>
    <w:rsid w:val="004169E9"/>
    <w:rsid w:val="004177B6"/>
    <w:rsid w:val="0042544D"/>
    <w:rsid w:val="0042585D"/>
    <w:rsid w:val="004261C2"/>
    <w:rsid w:val="0043059A"/>
    <w:rsid w:val="00431284"/>
    <w:rsid w:val="004332D4"/>
    <w:rsid w:val="00434D88"/>
    <w:rsid w:val="004357C6"/>
    <w:rsid w:val="00436C33"/>
    <w:rsid w:val="004403DA"/>
    <w:rsid w:val="004412FA"/>
    <w:rsid w:val="00442FA6"/>
    <w:rsid w:val="00446F45"/>
    <w:rsid w:val="00450E72"/>
    <w:rsid w:val="004531F4"/>
    <w:rsid w:val="004533B9"/>
    <w:rsid w:val="004535B2"/>
    <w:rsid w:val="004568E5"/>
    <w:rsid w:val="00457090"/>
    <w:rsid w:val="00457F08"/>
    <w:rsid w:val="00463DB8"/>
    <w:rsid w:val="00467EE6"/>
    <w:rsid w:val="0048460E"/>
    <w:rsid w:val="00486677"/>
    <w:rsid w:val="004925F5"/>
    <w:rsid w:val="00494F68"/>
    <w:rsid w:val="004A0AA0"/>
    <w:rsid w:val="004A22CD"/>
    <w:rsid w:val="004A3C93"/>
    <w:rsid w:val="004A6CF5"/>
    <w:rsid w:val="004B64BC"/>
    <w:rsid w:val="004B714B"/>
    <w:rsid w:val="004C01D4"/>
    <w:rsid w:val="004C0B1A"/>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46EC1"/>
    <w:rsid w:val="00550AD8"/>
    <w:rsid w:val="00557F5B"/>
    <w:rsid w:val="0056071D"/>
    <w:rsid w:val="00572EC2"/>
    <w:rsid w:val="00581853"/>
    <w:rsid w:val="0058320B"/>
    <w:rsid w:val="005833BA"/>
    <w:rsid w:val="005A3815"/>
    <w:rsid w:val="005A420C"/>
    <w:rsid w:val="005A5B5E"/>
    <w:rsid w:val="005A651D"/>
    <w:rsid w:val="005B37DB"/>
    <w:rsid w:val="005B5119"/>
    <w:rsid w:val="005B671D"/>
    <w:rsid w:val="005B6E1D"/>
    <w:rsid w:val="005C3FF3"/>
    <w:rsid w:val="005D178D"/>
    <w:rsid w:val="005D6D67"/>
    <w:rsid w:val="005D73F0"/>
    <w:rsid w:val="005E4F41"/>
    <w:rsid w:val="005E4F4C"/>
    <w:rsid w:val="005E5FE9"/>
    <w:rsid w:val="005F02B9"/>
    <w:rsid w:val="005F76A4"/>
    <w:rsid w:val="005F7D85"/>
    <w:rsid w:val="005F7DD3"/>
    <w:rsid w:val="0060093E"/>
    <w:rsid w:val="00601883"/>
    <w:rsid w:val="006018E2"/>
    <w:rsid w:val="00605B08"/>
    <w:rsid w:val="006065AE"/>
    <w:rsid w:val="00607AA0"/>
    <w:rsid w:val="0061637F"/>
    <w:rsid w:val="0062071D"/>
    <w:rsid w:val="00622DB4"/>
    <w:rsid w:val="00622F1D"/>
    <w:rsid w:val="00624AF9"/>
    <w:rsid w:val="00630078"/>
    <w:rsid w:val="00635AD4"/>
    <w:rsid w:val="0063600E"/>
    <w:rsid w:val="006469F3"/>
    <w:rsid w:val="0065235B"/>
    <w:rsid w:val="00653393"/>
    <w:rsid w:val="0066222C"/>
    <w:rsid w:val="0066428C"/>
    <w:rsid w:val="00666208"/>
    <w:rsid w:val="00666B61"/>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3DDF"/>
    <w:rsid w:val="006C6A25"/>
    <w:rsid w:val="006D6FCD"/>
    <w:rsid w:val="006E6764"/>
    <w:rsid w:val="006E7EA9"/>
    <w:rsid w:val="006F1FCC"/>
    <w:rsid w:val="00716BD6"/>
    <w:rsid w:val="0072106A"/>
    <w:rsid w:val="007220F1"/>
    <w:rsid w:val="00725338"/>
    <w:rsid w:val="00732DD8"/>
    <w:rsid w:val="00734AC2"/>
    <w:rsid w:val="00734EF6"/>
    <w:rsid w:val="00750C95"/>
    <w:rsid w:val="00754F50"/>
    <w:rsid w:val="00757C5C"/>
    <w:rsid w:val="00760802"/>
    <w:rsid w:val="0076105D"/>
    <w:rsid w:val="0076159B"/>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D200B"/>
    <w:rsid w:val="007D21C7"/>
    <w:rsid w:val="007D24A7"/>
    <w:rsid w:val="007D71A9"/>
    <w:rsid w:val="007E1951"/>
    <w:rsid w:val="007F6606"/>
    <w:rsid w:val="0080091F"/>
    <w:rsid w:val="008046A2"/>
    <w:rsid w:val="008066B3"/>
    <w:rsid w:val="00811543"/>
    <w:rsid w:val="00812BF4"/>
    <w:rsid w:val="00822F7D"/>
    <w:rsid w:val="0083016F"/>
    <w:rsid w:val="008303C4"/>
    <w:rsid w:val="00831572"/>
    <w:rsid w:val="008336DB"/>
    <w:rsid w:val="008337E7"/>
    <w:rsid w:val="00840C8B"/>
    <w:rsid w:val="00843650"/>
    <w:rsid w:val="0084749C"/>
    <w:rsid w:val="008509AB"/>
    <w:rsid w:val="008529A0"/>
    <w:rsid w:val="0085327A"/>
    <w:rsid w:val="008579AE"/>
    <w:rsid w:val="00870F27"/>
    <w:rsid w:val="00873A32"/>
    <w:rsid w:val="00873E89"/>
    <w:rsid w:val="00877689"/>
    <w:rsid w:val="0088090E"/>
    <w:rsid w:val="00884746"/>
    <w:rsid w:val="00890062"/>
    <w:rsid w:val="008901F1"/>
    <w:rsid w:val="00890734"/>
    <w:rsid w:val="00893C7A"/>
    <w:rsid w:val="008A5CF4"/>
    <w:rsid w:val="008B2CF9"/>
    <w:rsid w:val="008B66D9"/>
    <w:rsid w:val="008C03B4"/>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5FFB"/>
    <w:rsid w:val="0098727C"/>
    <w:rsid w:val="009919C9"/>
    <w:rsid w:val="00993D4F"/>
    <w:rsid w:val="00995125"/>
    <w:rsid w:val="009A1874"/>
    <w:rsid w:val="009A32D6"/>
    <w:rsid w:val="009A7E42"/>
    <w:rsid w:val="009C2480"/>
    <w:rsid w:val="009D296D"/>
    <w:rsid w:val="009E0D59"/>
    <w:rsid w:val="009E1600"/>
    <w:rsid w:val="009E51A2"/>
    <w:rsid w:val="009E5648"/>
    <w:rsid w:val="009E5C7B"/>
    <w:rsid w:val="009F1864"/>
    <w:rsid w:val="009F3202"/>
    <w:rsid w:val="009F34F8"/>
    <w:rsid w:val="009F3C0F"/>
    <w:rsid w:val="00A00035"/>
    <w:rsid w:val="00A04460"/>
    <w:rsid w:val="00A0596E"/>
    <w:rsid w:val="00A069AE"/>
    <w:rsid w:val="00A12839"/>
    <w:rsid w:val="00A24306"/>
    <w:rsid w:val="00A253C8"/>
    <w:rsid w:val="00A259FE"/>
    <w:rsid w:val="00A276B8"/>
    <w:rsid w:val="00A32224"/>
    <w:rsid w:val="00A34BF3"/>
    <w:rsid w:val="00A42392"/>
    <w:rsid w:val="00A42F7A"/>
    <w:rsid w:val="00A44E52"/>
    <w:rsid w:val="00A4677A"/>
    <w:rsid w:val="00A46A4E"/>
    <w:rsid w:val="00A47DDF"/>
    <w:rsid w:val="00A50A39"/>
    <w:rsid w:val="00A55587"/>
    <w:rsid w:val="00A6066D"/>
    <w:rsid w:val="00A72CFF"/>
    <w:rsid w:val="00A74395"/>
    <w:rsid w:val="00A75769"/>
    <w:rsid w:val="00A80866"/>
    <w:rsid w:val="00A87178"/>
    <w:rsid w:val="00A9279B"/>
    <w:rsid w:val="00AA140E"/>
    <w:rsid w:val="00AA71C7"/>
    <w:rsid w:val="00AC053E"/>
    <w:rsid w:val="00AC1676"/>
    <w:rsid w:val="00AC67A5"/>
    <w:rsid w:val="00AD0B6C"/>
    <w:rsid w:val="00AD21E4"/>
    <w:rsid w:val="00AD509E"/>
    <w:rsid w:val="00AE2F47"/>
    <w:rsid w:val="00AE555C"/>
    <w:rsid w:val="00AF1774"/>
    <w:rsid w:val="00AF5355"/>
    <w:rsid w:val="00B037B8"/>
    <w:rsid w:val="00B05A9F"/>
    <w:rsid w:val="00B11DF3"/>
    <w:rsid w:val="00B1349E"/>
    <w:rsid w:val="00B139F3"/>
    <w:rsid w:val="00B1727B"/>
    <w:rsid w:val="00B241EF"/>
    <w:rsid w:val="00B25677"/>
    <w:rsid w:val="00B2594B"/>
    <w:rsid w:val="00B32D1F"/>
    <w:rsid w:val="00B339B7"/>
    <w:rsid w:val="00B34836"/>
    <w:rsid w:val="00B37C66"/>
    <w:rsid w:val="00B50155"/>
    <w:rsid w:val="00B513E5"/>
    <w:rsid w:val="00B537A3"/>
    <w:rsid w:val="00B53E0D"/>
    <w:rsid w:val="00B65E4B"/>
    <w:rsid w:val="00B6677C"/>
    <w:rsid w:val="00B7595D"/>
    <w:rsid w:val="00BA0FA8"/>
    <w:rsid w:val="00BA2ECE"/>
    <w:rsid w:val="00BA317B"/>
    <w:rsid w:val="00BA4DCF"/>
    <w:rsid w:val="00BB0C47"/>
    <w:rsid w:val="00BB10EC"/>
    <w:rsid w:val="00BB14AF"/>
    <w:rsid w:val="00BC5A53"/>
    <w:rsid w:val="00BD2070"/>
    <w:rsid w:val="00BD7C23"/>
    <w:rsid w:val="00BE0BCD"/>
    <w:rsid w:val="00BE1CB2"/>
    <w:rsid w:val="00BE5D41"/>
    <w:rsid w:val="00BF129B"/>
    <w:rsid w:val="00BF4505"/>
    <w:rsid w:val="00BF518B"/>
    <w:rsid w:val="00BF5714"/>
    <w:rsid w:val="00BF5E41"/>
    <w:rsid w:val="00BF5E5E"/>
    <w:rsid w:val="00BF7D13"/>
    <w:rsid w:val="00C039E3"/>
    <w:rsid w:val="00C03BD9"/>
    <w:rsid w:val="00C130CA"/>
    <w:rsid w:val="00C15FC0"/>
    <w:rsid w:val="00C208FD"/>
    <w:rsid w:val="00C21A3B"/>
    <w:rsid w:val="00C24654"/>
    <w:rsid w:val="00C24746"/>
    <w:rsid w:val="00C31D10"/>
    <w:rsid w:val="00C32810"/>
    <w:rsid w:val="00C333D0"/>
    <w:rsid w:val="00C37853"/>
    <w:rsid w:val="00C37D76"/>
    <w:rsid w:val="00C42374"/>
    <w:rsid w:val="00C4455E"/>
    <w:rsid w:val="00C44746"/>
    <w:rsid w:val="00C47636"/>
    <w:rsid w:val="00C50688"/>
    <w:rsid w:val="00C51B90"/>
    <w:rsid w:val="00C53090"/>
    <w:rsid w:val="00C63023"/>
    <w:rsid w:val="00C67381"/>
    <w:rsid w:val="00C73348"/>
    <w:rsid w:val="00C7335B"/>
    <w:rsid w:val="00C8137E"/>
    <w:rsid w:val="00C81D5D"/>
    <w:rsid w:val="00C82549"/>
    <w:rsid w:val="00C95BB5"/>
    <w:rsid w:val="00C97C07"/>
    <w:rsid w:val="00CA3E0D"/>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7F33"/>
    <w:rsid w:val="00D1018D"/>
    <w:rsid w:val="00D1140B"/>
    <w:rsid w:val="00D14426"/>
    <w:rsid w:val="00D16D18"/>
    <w:rsid w:val="00D246DE"/>
    <w:rsid w:val="00D24847"/>
    <w:rsid w:val="00D24B5A"/>
    <w:rsid w:val="00D270DA"/>
    <w:rsid w:val="00D329C7"/>
    <w:rsid w:val="00D3337B"/>
    <w:rsid w:val="00D3722C"/>
    <w:rsid w:val="00D4305B"/>
    <w:rsid w:val="00D433F8"/>
    <w:rsid w:val="00D5126B"/>
    <w:rsid w:val="00D51DCC"/>
    <w:rsid w:val="00D52B09"/>
    <w:rsid w:val="00D57147"/>
    <w:rsid w:val="00D5776C"/>
    <w:rsid w:val="00D6625D"/>
    <w:rsid w:val="00D70420"/>
    <w:rsid w:val="00D7475C"/>
    <w:rsid w:val="00D83277"/>
    <w:rsid w:val="00D9168B"/>
    <w:rsid w:val="00D92607"/>
    <w:rsid w:val="00D96060"/>
    <w:rsid w:val="00DA1B2C"/>
    <w:rsid w:val="00DA3665"/>
    <w:rsid w:val="00DA6F10"/>
    <w:rsid w:val="00DB2FDB"/>
    <w:rsid w:val="00DC21CA"/>
    <w:rsid w:val="00DC386C"/>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05ED5"/>
    <w:rsid w:val="00E1296E"/>
    <w:rsid w:val="00E13949"/>
    <w:rsid w:val="00E1484F"/>
    <w:rsid w:val="00E174F7"/>
    <w:rsid w:val="00E224EF"/>
    <w:rsid w:val="00E23718"/>
    <w:rsid w:val="00E25470"/>
    <w:rsid w:val="00E32851"/>
    <w:rsid w:val="00E3669F"/>
    <w:rsid w:val="00E36A4E"/>
    <w:rsid w:val="00E4440B"/>
    <w:rsid w:val="00E52F83"/>
    <w:rsid w:val="00E551B5"/>
    <w:rsid w:val="00E63D8E"/>
    <w:rsid w:val="00E65A8F"/>
    <w:rsid w:val="00E73835"/>
    <w:rsid w:val="00E81244"/>
    <w:rsid w:val="00E843DF"/>
    <w:rsid w:val="00E852B4"/>
    <w:rsid w:val="00E90EAE"/>
    <w:rsid w:val="00E91A85"/>
    <w:rsid w:val="00EA015D"/>
    <w:rsid w:val="00EA1963"/>
    <w:rsid w:val="00EA3CED"/>
    <w:rsid w:val="00EB143B"/>
    <w:rsid w:val="00EB473F"/>
    <w:rsid w:val="00EB54BA"/>
    <w:rsid w:val="00EC0BBF"/>
    <w:rsid w:val="00EC2A4A"/>
    <w:rsid w:val="00EC326F"/>
    <w:rsid w:val="00EC3D5E"/>
    <w:rsid w:val="00EC5F6F"/>
    <w:rsid w:val="00EC7A42"/>
    <w:rsid w:val="00ED0992"/>
    <w:rsid w:val="00ED25D2"/>
    <w:rsid w:val="00ED4067"/>
    <w:rsid w:val="00EE0300"/>
    <w:rsid w:val="00EE1931"/>
    <w:rsid w:val="00EE4AC6"/>
    <w:rsid w:val="00EE5A51"/>
    <w:rsid w:val="00EF2C90"/>
    <w:rsid w:val="00EF6779"/>
    <w:rsid w:val="00F04EAF"/>
    <w:rsid w:val="00F07E0D"/>
    <w:rsid w:val="00F11424"/>
    <w:rsid w:val="00F12BE6"/>
    <w:rsid w:val="00F1438E"/>
    <w:rsid w:val="00F230BE"/>
    <w:rsid w:val="00F23B0D"/>
    <w:rsid w:val="00F2574B"/>
    <w:rsid w:val="00F428AA"/>
    <w:rsid w:val="00F551F4"/>
    <w:rsid w:val="00F57A57"/>
    <w:rsid w:val="00F67755"/>
    <w:rsid w:val="00F70B94"/>
    <w:rsid w:val="00F7616C"/>
    <w:rsid w:val="00F77C67"/>
    <w:rsid w:val="00F803F5"/>
    <w:rsid w:val="00F81315"/>
    <w:rsid w:val="00F831E6"/>
    <w:rsid w:val="00F931FB"/>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3235"/>
    <w:rsid w:val="00FE3AF2"/>
    <w:rsid w:val="00FE46FD"/>
    <w:rsid w:val="00FE6D90"/>
    <w:rsid w:val="00FF4738"/>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sChild>
                                                                                                                                                                                                                                                                                                                                                                                                                                                                                                                                                                                                                                                                                                                                                                                                                                                        <w:div w:id="2013098005">
                                                                                                                                                                                                                                                                                                                                                                                                                                                                                                                                                                                                                                                                                                                                                                                                                                                          <w:marLeft w:val="0"/>
                                                                                                                                                                                                                                                                                                                                                                                                                                                                                                                                                                                                                                                                                                                                                                                                                                                          <w:marRight w:val="0"/>
                                                                                                                                                                                                                                                                                                                                                                                                                                                                                                                                                                                                                                                                                                                                                                                                                                                          <w:marTop w:val="0"/>
                                                                                                                                                                                                                                                                                                                                                                                                                                                                                                                                                                                                                                                                                                                                                                                                                                                          <w:marBottom w:val="0"/>
                                                                                                                                                                                                                                                                                                                                                                                                                                                                                                                                                                                                                                                                                                                                                                                                                                                          <w:divBdr>
                                                                                                                                                                                                                                                                                                                                                                                                                                                                                                                                                                                                                                                                                                                                                                                                                                                            <w:top w:val="none" w:sz="0" w:space="0" w:color="auto"/>
                                                                                                                                                                                                                                                                                                                                                                                                                                                                                                                                                                                                                                                                                                                                                                                                                                                            <w:left w:val="none" w:sz="0" w:space="0" w:color="auto"/>
                                                                                                                                                                                                                                                                                                                                                                                                                                                                                                                                                                                                                                                                                                                                                                                                                                                            <w:bottom w:val="none" w:sz="0" w:space="0" w:color="auto"/>
                                                                                                                                                                                                                                                                                                                                                                                                                                                                                                                                                                                                                                                                                                                                                                                                                                                            <w:right w:val="none" w:sz="0" w:space="0" w:color="auto"/>
                                                                                                                                                                                                                                                                                                                                                                                                                                                                                                                                                                                                                                                                                                                                                                                                                                                          </w:divBdr>
                                                                                                                                                                                                                                                                                                                                                                                                                                                                                                                                                                                                                                                                                                                                                                                                                                                          <w:divsChild>
                                                                                                                                                                                                                                                                                                                                                                                                                                                                                                                                                                                                                                                                                                                                                                                                                                                            <w:div w:id="221523993">
                                                                                                                                                                                                                                                                                                                                                                                                                                                                                                                                                                                                                                                                                                                                                                                                                                                              <w:marLeft w:val="0"/>
                                                                                                                                                                                                                                                                                                                                                                                                                                                                                                                                                                                                                                                                                                                                                                                                                                                              <w:marRight w:val="0"/>
                                                                                                                                                                                                                                                                                                                                                                                                                                                                                                                                                                                                                                                                                                                                                                                                                                                              <w:marTop w:val="0"/>
                                                                                                                                                                                                                                                                                                                                                                                                                                                                                                                                                                                                                                                                                                                                                                                                                                                              <w:marBottom w:val="0"/>
                                                                                                                                                                                                                                                                                                                                                                                                                                                                                                                                                                                                                                                                                                                                                                                                                                                              <w:divBdr>
                                                                                                                                                                                                                                                                                                                                                                                                                                                                                                                                                                                                                                                                                                                                                                                                                                                                <w:top w:val="none" w:sz="0" w:space="0" w:color="auto"/>
                                                                                                                                                                                                                                                                                                                                                                                                                                                                                                                                                                                                                                                                                                                                                                                                                                                                <w:left w:val="none" w:sz="0" w:space="0" w:color="auto"/>
                                                                                                                                                                                                                                                                                                                                                                                                                                                                                                                                                                                                                                                                                                                                                                                                                                                                <w:bottom w:val="none" w:sz="0" w:space="0" w:color="auto"/>
                                                                                                                                                                                                                                                                                                                                                                                                                                                                                                                                                                                                                                                                                                                                                                                                                                                                <w:right w:val="none" w:sz="0" w:space="0" w:color="auto"/>
                                                                                                                                                                                                                                                                                                                                                                                                                                                                                                                                                                                                                                                                                                                                                                                                                                                              </w:divBdr>
                                                                                                                                                                                                                                                                                                                                                                                                                                                                                                                                                                                                                                                                                                                                                                                                                                                              <w:divsChild>
                                                                                                                                                                                                                                                                                                                                                                                                                                                                                                                                                                                                                                                                                                                                                                                                                                                                <w:div w:id="985088373">
                                                                                                                                                                                                                                                                                                                                                                                                                                                                                                                                                                                                                                                                                                                                                                                                                                                                  <w:marLeft w:val="0"/>
                                                                                                                                                                                                                                                                                                                                                                                                                                                                                                                                                                                                                                                                                                                                                                                                                                                                  <w:marRight w:val="0"/>
                                                                                                                                                                                                                                                                                                                                                                                                                                                                                                                                                                                                                                                                                                                                                                                                                                                                  <w:marTop w:val="0"/>
                                                                                                                                                                                                                                                                                                                                                                                                                                                                                                                                                                                                                                                                                                                                                                                                                                                                  <w:marBottom w:val="0"/>
                                                                                                                                                                                                                                                                                                                                                                                                                                                                                                                                                                                                                                                                                                                                                                                                                                                                  <w:divBdr>
                                                                                                                                                                                                                                                                                                                                                                                                                                                                                                                                                                                                                                                                                                                                                                                                                                                                    <w:top w:val="none" w:sz="0" w:space="0" w:color="auto"/>
                                                                                                                                                                                                                                                                                                                                                                                                                                                                                                                                                                                                                                                                                                                                                                                                                                                                    <w:left w:val="none" w:sz="0" w:space="0" w:color="auto"/>
                                                                                                                                                                                                                                                                                                                                                                                                                                                                                                                                                                                                                                                                                                                                                                                                                                                                    <w:bottom w:val="none" w:sz="0" w:space="0" w:color="auto"/>
                                                                                                                                                                                                                                                                                                                                                                                                                                                                                                                                                                                                                                                                                                                                                                                                                                                                    <w:right w:val="none" w:sz="0" w:space="0" w:color="auto"/>
                                                                                                                                                                                                                                                                                                                                                                                                                                                                                                                                                                                                                                                                                                                                                                                                                                                                  </w:divBdr>
                                                                                                                                                                                                                                                                                                                                                                                                                                                                                                                                                                                                                                                                                                                                                                                                                                                                  <w:divsChild>
                                                                                                                                                                                                                                                                                                                                                                                                                                                                                                                                                                                                                                                                                                                                                                                                                                                                    <w:div w:id="12991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istair.miles@well.ox.ac.uk" TargetMode="External"/><Relationship Id="rId13" Type="http://schemas.openxmlformats.org/officeDocument/2006/relationships/hyperlink" Target="http://www.malariagen.net/apps/pf-crosses/1.0/" TargetMode="External"/><Relationship Id="rId18" Type="http://schemas.openxmlformats.org/officeDocument/2006/relationships/hyperlink" Target="http://www.malariagen.net/apps/pf-crosses/"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tp://ngs.sanger.ac.uk/production/malaria/pf-crosses/1.0/"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lariagen.net/apps/pf-crosses" TargetMode="Externa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hyperlink" Target="http://www.malariagen.net/apps/pf-crosses"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www.malariagen.net/apps/pf-crosses" TargetMode="External"/><Relationship Id="rId14"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D5F393-83DF-4506-AFC8-0E0644B17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6988</TotalTime>
  <Pages>40</Pages>
  <Words>79517</Words>
  <Characters>453252</Characters>
  <Application>Microsoft Office Word</Application>
  <DocSecurity>0</DocSecurity>
  <Lines>3777</Lines>
  <Paragraphs>1063</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531706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353</cp:revision>
  <cp:lastPrinted>2015-08-07T16:43:00Z</cp:lastPrinted>
  <dcterms:created xsi:type="dcterms:W3CDTF">2014-11-21T18:07:00Z</dcterms:created>
  <dcterms:modified xsi:type="dcterms:W3CDTF">2015-08-26T16:34:00Z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