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Pr="00324626" w:rsidRDefault="00324626" w:rsidP="00324626">
      <w:pPr>
        <w:pStyle w:val="Title"/>
        <w:rPr>
          <w:sz w:val="44"/>
          <w:szCs w:val="44"/>
        </w:rPr>
      </w:pPr>
      <w:r w:rsidRPr="00324626">
        <w:rPr>
          <w:sz w:val="44"/>
          <w:szCs w:val="44"/>
        </w:rPr>
        <w:t xml:space="preserve">Genome variation and meiotic recombination in </w:t>
      </w:r>
      <w:r w:rsidRPr="00324626">
        <w:rPr>
          <w:i/>
          <w:sz w:val="44"/>
          <w:szCs w:val="44"/>
        </w:rPr>
        <w:t>Plasmodium falciparum</w:t>
      </w:r>
      <w:r w:rsidRPr="00324626">
        <w:rPr>
          <w:sz w:val="44"/>
          <w:szCs w:val="44"/>
        </w:rPr>
        <w:t>: insights from deep sequencing of genetic crosses</w:t>
      </w:r>
    </w:p>
    <w:p w:rsidR="00666B61" w:rsidRDefault="00A24306" w:rsidP="00D92607">
      <w:pPr>
        <w:spacing w:line="276" w:lineRule="auto"/>
        <w:rPr>
          <w:vertAlign w:val="superscript"/>
        </w:rPr>
      </w:pPr>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7C7B84">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D92607">
        <w:instrText xml:space="preserve"> \* MERGEFORMAT </w:instrText>
      </w:r>
      <w:r w:rsidR="005C3FF3">
        <w:fldChar w:fldCharType="separate"/>
      </w:r>
      <w:r w:rsidR="007C7B84" w:rsidRPr="007C7B84">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D92607">
        <w:instrText xml:space="preserve"> \* MERGEFORMAT </w:instrText>
      </w:r>
      <w:r w:rsidR="005C3FF3">
        <w:fldChar w:fldCharType="separate"/>
      </w:r>
      <w:r w:rsidR="007C7B84" w:rsidRPr="007C7B84">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7C7B84">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7C7B84">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D92607">
        <w:instrText xml:space="preserve"> \* MERGEFORMAT </w:instrText>
      </w:r>
      <w:r w:rsidR="005C3FF3">
        <w:fldChar w:fldCharType="separate"/>
      </w:r>
      <w:r w:rsidR="007C7B84" w:rsidRPr="007C7B84">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D92607">
        <w:rPr>
          <w:vertAlign w:val="superscript"/>
        </w:rPr>
        <w:instrText xml:space="preserve"> \* MERGEFORMAT </w:instrText>
      </w:r>
      <w:r w:rsidR="005C3FF3">
        <w:rPr>
          <w:vertAlign w:val="superscript"/>
        </w:rPr>
      </w:r>
      <w:r w:rsidR="005C3FF3">
        <w:rPr>
          <w:vertAlign w:val="superscript"/>
        </w:rPr>
        <w:fldChar w:fldCharType="separate"/>
      </w:r>
      <w:r w:rsidR="007C7B84" w:rsidRPr="007C7B84">
        <w:rPr>
          <w:rStyle w:val="FootnoteReference"/>
        </w:rPr>
        <w:t>1</w:t>
      </w:r>
      <w:r w:rsidR="005C3FF3">
        <w:rPr>
          <w:vertAlign w:val="superscript"/>
        </w:rPr>
        <w:fldChar w:fldCharType="end"/>
      </w:r>
    </w:p>
    <w:p w:rsidR="00666B61" w:rsidRDefault="00666B61" w:rsidP="00D92607">
      <w:pPr>
        <w:spacing w:line="276" w:lineRule="auto"/>
        <w:rPr>
          <w:rFonts w:ascii="Verdana" w:hAnsi="Verdana"/>
          <w:color w:val="333333"/>
          <w:sz w:val="18"/>
          <w:szCs w:val="18"/>
          <w:shd w:val="clear" w:color="auto" w:fill="FFFFFF"/>
        </w:rPr>
      </w:pPr>
      <w:r w:rsidRPr="00666B61">
        <w:rPr>
          <w:b/>
        </w:rPr>
        <w:t>Corresponding author:</w:t>
      </w:r>
      <w:r w:rsidR="00F931FB">
        <w:t xml:space="preserve"> </w:t>
      </w:r>
      <w:r w:rsidR="00F931FB">
        <w:br/>
        <w:t>Alistair Miles</w:t>
      </w:r>
      <w:r w:rsidR="00F931FB">
        <w:br/>
      </w:r>
      <w:r>
        <w:t>Wellcome T</w:t>
      </w:r>
      <w:r w:rsidR="00F931FB">
        <w:t>rust Centre for Human Genetics</w:t>
      </w:r>
      <w:r w:rsidR="00F931FB">
        <w:br/>
        <w:t>University of Oxford</w:t>
      </w:r>
      <w:r w:rsidR="00F931FB">
        <w:br/>
        <w:t>Roosevelt Drive</w:t>
      </w:r>
      <w:r w:rsidR="00F931FB">
        <w:br/>
        <w:t>Oxford</w:t>
      </w:r>
      <w:r w:rsidR="00F931FB">
        <w:br/>
        <w:t>OX3 7BN</w:t>
      </w:r>
      <w:r w:rsidR="00F931FB">
        <w:br/>
      </w:r>
      <w:r>
        <w:t>United Kingdom</w:t>
      </w:r>
      <w:r>
        <w:br/>
        <w:t>Tel: +44 (0)1865 287721</w:t>
      </w:r>
      <w:r>
        <w:br/>
        <w:t xml:space="preserve">Fax: +44 (0)1865 </w:t>
      </w:r>
      <w:r>
        <w:rPr>
          <w:rFonts w:ascii="Verdana" w:hAnsi="Verdana"/>
          <w:color w:val="333333"/>
          <w:sz w:val="18"/>
          <w:szCs w:val="18"/>
          <w:shd w:val="clear" w:color="auto" w:fill="FFFFFF"/>
        </w:rPr>
        <w:t>287501</w:t>
      </w:r>
      <w:r>
        <w:rPr>
          <w:rFonts w:ascii="Verdana" w:hAnsi="Verdana"/>
          <w:color w:val="333333"/>
          <w:sz w:val="18"/>
          <w:szCs w:val="18"/>
          <w:shd w:val="clear" w:color="auto" w:fill="FFFFFF"/>
        </w:rPr>
        <w:br/>
        <w:t xml:space="preserve">Email: </w:t>
      </w:r>
      <w:hyperlink r:id="rId8" w:history="1">
        <w:r w:rsidRPr="00423620">
          <w:rPr>
            <w:rStyle w:val="Hyperlink"/>
            <w:rFonts w:ascii="Verdana" w:hAnsi="Verdana"/>
            <w:sz w:val="18"/>
            <w:szCs w:val="18"/>
            <w:shd w:val="clear" w:color="auto" w:fill="FFFFFF"/>
          </w:rPr>
          <w:t>alistair.miles@well.ox.ac.uk</w:t>
        </w:r>
      </w:hyperlink>
    </w:p>
    <w:p w:rsidR="00666B61" w:rsidRDefault="00666B61" w:rsidP="00D92607">
      <w:pPr>
        <w:spacing w:line="276" w:lineRule="auto"/>
        <w:rPr>
          <w:rFonts w:ascii="Verdana" w:hAnsi="Verdana"/>
          <w:color w:val="333333"/>
          <w:sz w:val="18"/>
          <w:szCs w:val="18"/>
          <w:shd w:val="clear" w:color="auto" w:fill="FFFFFF"/>
        </w:rPr>
      </w:pPr>
      <w:r>
        <w:rPr>
          <w:rFonts w:ascii="Verdana" w:hAnsi="Verdana"/>
          <w:b/>
          <w:color w:val="333333"/>
          <w:sz w:val="18"/>
          <w:szCs w:val="18"/>
          <w:shd w:val="clear" w:color="auto" w:fill="FFFFFF"/>
        </w:rPr>
        <w:t xml:space="preserve">Running title: </w:t>
      </w:r>
      <w:r w:rsidR="000E2B62" w:rsidRPr="000E2B62">
        <w:rPr>
          <w:rFonts w:ascii="Verdana" w:hAnsi="Verdana"/>
          <w:color w:val="333333"/>
          <w:sz w:val="18"/>
          <w:szCs w:val="18"/>
          <w:shd w:val="clear" w:color="auto" w:fill="FFFFFF"/>
        </w:rPr>
        <w:t xml:space="preserve">Deep sequencing of </w:t>
      </w:r>
      <w:r w:rsidR="000E2B62" w:rsidRPr="000E2B62">
        <w:rPr>
          <w:rFonts w:ascii="Verdana" w:hAnsi="Verdana"/>
          <w:i/>
          <w:color w:val="333333"/>
          <w:sz w:val="18"/>
          <w:szCs w:val="18"/>
          <w:shd w:val="clear" w:color="auto" w:fill="FFFFFF"/>
        </w:rPr>
        <w:t>P. falciparum</w:t>
      </w:r>
      <w:r w:rsidR="000E2B62" w:rsidRPr="000E2B62">
        <w:rPr>
          <w:rFonts w:ascii="Verdana" w:hAnsi="Verdana"/>
          <w:color w:val="333333"/>
          <w:sz w:val="18"/>
          <w:szCs w:val="18"/>
          <w:shd w:val="clear" w:color="auto" w:fill="FFFFFF"/>
        </w:rPr>
        <w:t xml:space="preserve"> crosses</w:t>
      </w:r>
    </w:p>
    <w:p w:rsidR="000E2B62" w:rsidRPr="000E2B62" w:rsidRDefault="000E2B62" w:rsidP="00D92607">
      <w:pPr>
        <w:spacing w:line="276" w:lineRule="auto"/>
      </w:pPr>
      <w:r>
        <w:rPr>
          <w:rFonts w:ascii="Verdana" w:hAnsi="Verdana"/>
          <w:b/>
          <w:color w:val="333333"/>
          <w:sz w:val="18"/>
          <w:szCs w:val="18"/>
          <w:shd w:val="clear" w:color="auto" w:fill="FFFFFF"/>
        </w:rPr>
        <w:t>Keywords:</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malaria; plasmodium falciparum;</w:t>
      </w:r>
      <w:r>
        <w:rPr>
          <w:rFonts w:ascii="Verdana" w:hAnsi="Verdana"/>
          <w:color w:val="333333"/>
          <w:sz w:val="18"/>
          <w:szCs w:val="18"/>
          <w:shd w:val="clear" w:color="auto" w:fill="FFFFFF"/>
        </w:rPr>
        <w:t xml:space="preserve"> </w:t>
      </w:r>
      <w:r w:rsidR="00081BCE">
        <w:rPr>
          <w:rFonts w:ascii="Verdana" w:hAnsi="Verdana"/>
          <w:color w:val="333333"/>
          <w:sz w:val="18"/>
          <w:szCs w:val="18"/>
          <w:shd w:val="clear" w:color="auto" w:fill="FFFFFF"/>
        </w:rPr>
        <w:t>next-generation sequencing; genome variation;</w:t>
      </w:r>
      <w:r>
        <w:rPr>
          <w:rFonts w:ascii="Verdana" w:hAnsi="Verdana"/>
          <w:color w:val="333333"/>
          <w:sz w:val="18"/>
          <w:szCs w:val="18"/>
          <w:shd w:val="clear" w:color="auto" w:fill="FFFFFF"/>
        </w:rPr>
        <w:t xml:space="preserve"> INDEL variation</w:t>
      </w:r>
      <w:r w:rsidR="00081BCE">
        <w:rPr>
          <w:rFonts w:ascii="Verdana" w:hAnsi="Verdana"/>
          <w:color w:val="333333"/>
          <w:sz w:val="18"/>
          <w:szCs w:val="18"/>
          <w:shd w:val="clear" w:color="auto" w:fill="FFFFFF"/>
        </w:rPr>
        <w:t>;</w:t>
      </w:r>
      <w:r>
        <w:rPr>
          <w:rFonts w:ascii="Verdana" w:hAnsi="Verdana"/>
          <w:color w:val="333333"/>
          <w:sz w:val="18"/>
          <w:szCs w:val="18"/>
          <w:shd w:val="clear" w:color="auto" w:fill="FFFFFF"/>
        </w:rPr>
        <w:t xml:space="preserve"> </w:t>
      </w:r>
      <w:r w:rsidR="00716BD6">
        <w:rPr>
          <w:rFonts w:ascii="Verdana" w:hAnsi="Verdana"/>
          <w:color w:val="333333"/>
          <w:sz w:val="18"/>
          <w:szCs w:val="18"/>
          <w:shd w:val="clear" w:color="auto" w:fill="FFFFFF"/>
        </w:rPr>
        <w:t xml:space="preserve">complex variation; </w:t>
      </w:r>
      <w:r w:rsidR="00081BCE">
        <w:rPr>
          <w:rFonts w:ascii="Verdana" w:hAnsi="Verdana"/>
          <w:color w:val="333333"/>
          <w:sz w:val="18"/>
          <w:szCs w:val="18"/>
          <w:shd w:val="clear" w:color="auto" w:fill="FFFFFF"/>
        </w:rPr>
        <w:t>meiotic recombination;</w:t>
      </w:r>
      <w:r>
        <w:rPr>
          <w:rFonts w:ascii="Verdana" w:hAnsi="Verdana"/>
          <w:color w:val="333333"/>
          <w:sz w:val="18"/>
          <w:szCs w:val="18"/>
          <w:shd w:val="clear" w:color="auto" w:fill="FFFFFF"/>
        </w:rPr>
        <w:t xml:space="preserve"> gene conversion</w:t>
      </w:r>
      <w:r w:rsidR="00081BCE">
        <w:rPr>
          <w:rFonts w:ascii="Verdana" w:hAnsi="Verdana"/>
          <w:color w:val="333333"/>
          <w:sz w:val="18"/>
          <w:szCs w:val="18"/>
          <w:shd w:val="clear" w:color="auto" w:fill="FFFFFF"/>
        </w:rPr>
        <w:t>; copy number variation;</w:t>
      </w:r>
      <w:r>
        <w:rPr>
          <w:rFonts w:ascii="Verdana" w:hAnsi="Verdana"/>
          <w:color w:val="333333"/>
          <w:sz w:val="18"/>
          <w:szCs w:val="18"/>
          <w:shd w:val="clear" w:color="auto" w:fill="FFFFFF"/>
        </w:rPr>
        <w:t xml:space="preserve"> d</w:t>
      </w:r>
      <w:r w:rsidR="00081BCE">
        <w:rPr>
          <w:rFonts w:ascii="Verdana" w:hAnsi="Verdana"/>
          <w:color w:val="333333"/>
          <w:sz w:val="18"/>
          <w:szCs w:val="18"/>
          <w:shd w:val="clear" w:color="auto" w:fill="FFFFFF"/>
        </w:rPr>
        <w:t>rug resistance</w:t>
      </w:r>
      <w:r>
        <w:rPr>
          <w:rFonts w:ascii="Verdana" w:hAnsi="Verdana"/>
          <w:color w:val="333333"/>
          <w:sz w:val="18"/>
          <w:szCs w:val="18"/>
          <w:shd w:val="clear" w:color="auto" w:fill="FFFFFF"/>
        </w:rPr>
        <w:t xml:space="preserve">  </w:t>
      </w:r>
    </w:p>
    <w:p w:rsidR="00666B61" w:rsidRDefault="00666B61" w:rsidP="00D92607">
      <w:pPr>
        <w:spacing w:line="276" w:lineRule="auto"/>
        <w:rPr>
          <w:vertAlign w:val="superscript"/>
        </w:rPr>
      </w:pPr>
      <w:r>
        <w:rPr>
          <w:vertAlign w:val="superscript"/>
        </w:rPr>
        <w:br w:type="page"/>
      </w:r>
    </w:p>
    <w:p w:rsidR="00A24306" w:rsidRDefault="00A24306" w:rsidP="00D92607">
      <w:pPr>
        <w:pStyle w:val="Heading1"/>
        <w:spacing w:line="480" w:lineRule="auto"/>
      </w:pPr>
      <w:r>
        <w:lastRenderedPageBreak/>
        <w:t>Abstract</w:t>
      </w:r>
    </w:p>
    <w:p w:rsidR="001F20D6" w:rsidRPr="001F20D6" w:rsidRDefault="00324626" w:rsidP="001F20D6">
      <w:pPr>
        <w:spacing w:line="480" w:lineRule="auto"/>
      </w:pPr>
      <w:r>
        <w:t xml:space="preserve">The malaria parasite </w:t>
      </w:r>
      <w:r>
        <w:rPr>
          <w:i/>
        </w:rPr>
        <w:t>Plasmodium falciparum</w:t>
      </w:r>
      <w:r>
        <w:t xml:space="preserve"> has a great capacity for evolutionary adaptation to evade host immunity and develop drug resistance. Current understanding of parasite </w:t>
      </w:r>
      <w:r w:rsidR="00890062">
        <w:t xml:space="preserve">evolution </w:t>
      </w:r>
      <w:r>
        <w:t xml:space="preserve">is impeded by the fact that a large fraction of the genome is either highly repetitive or highly variable, and thus difficult to analyse using short read technologies. Here we describe a resource of deep sequencing data on parents and progeny from genetic crosses, which has enabled us to perform the first </w:t>
      </w:r>
      <w:r w:rsidR="003C347F">
        <w:t>genome-wide, integrated</w:t>
      </w:r>
      <w:r>
        <w:t xml:space="preserve"> analysis of SNP, INDEL and complex polymorphisms</w:t>
      </w:r>
      <w:r w:rsidR="003C347F">
        <w:t>,</w:t>
      </w:r>
      <w:r>
        <w:t xml:space="preserve"> using Mendelian error rates as an indicator of genotypic a</w:t>
      </w:r>
      <w:r w:rsidR="003C347F">
        <w:t xml:space="preserve">ccuracy. These data reveal that </w:t>
      </w:r>
      <w:r>
        <w:t>INDELs are exceptionally abundant</w:t>
      </w:r>
      <w:r w:rsidR="003C347F">
        <w:t>, being more common than SNPs</w:t>
      </w:r>
      <w:r>
        <w:t xml:space="preserve"> and </w:t>
      </w:r>
      <w:r w:rsidR="003C347F">
        <w:t xml:space="preserve">thus </w:t>
      </w:r>
      <w:r>
        <w:t xml:space="preserve">the dominant mode of polymorphism within the core genome. We </w:t>
      </w:r>
      <w:r w:rsidR="003C347F">
        <w:t xml:space="preserve">use the high density of SNP and INDEL markers to analyse patterns </w:t>
      </w:r>
      <w:r w:rsidR="005F02B9">
        <w:t>of meiotic recombination</w:t>
      </w:r>
      <w:r w:rsidR="00084E8A">
        <w:t>, confirming a high rate of crossover events</w:t>
      </w:r>
      <w:r w:rsidR="001F20D6">
        <w:t>,</w:t>
      </w:r>
      <w:r w:rsidR="00084E8A">
        <w:t xml:space="preserve"> </w:t>
      </w:r>
      <w:r w:rsidR="001F20D6">
        <w:t>and providing</w:t>
      </w:r>
      <w:r w:rsidR="003C347F">
        <w:t xml:space="preserve"> </w:t>
      </w:r>
      <w:r w:rsidR="001F20D6">
        <w:t xml:space="preserve">the first </w:t>
      </w:r>
      <w:r w:rsidR="003C347F">
        <w:t xml:space="preserve">estimates for the </w:t>
      </w:r>
      <w:r w:rsidR="001F20D6">
        <w:t xml:space="preserve">rate of </w:t>
      </w:r>
      <w:r>
        <w:t>non-crossover events</w:t>
      </w:r>
      <w:r w:rsidR="001F20D6">
        <w:t xml:space="preserve"> and the length of conversion tracts</w:t>
      </w:r>
      <w:r w:rsidR="005F02B9">
        <w:t>. W</w:t>
      </w:r>
      <w:r>
        <w:t xml:space="preserve">e </w:t>
      </w:r>
      <w:r w:rsidR="001F20D6">
        <w:t>observe</w:t>
      </w:r>
      <w:r>
        <w:t xml:space="preserve"> several instances of recombination that modify copy number variants associated with drug resistance</w:t>
      </w:r>
      <w:r w:rsidR="005F02B9">
        <w:t>, demonstrating a mechanism whereby fitness costs associated with resistance mutations could be compensated and greater phenotypic plasticity could be acquired</w:t>
      </w:r>
      <w:r>
        <w:t xml:space="preserve">. We describe a novel web application that allows these </w:t>
      </w:r>
      <w:r w:rsidR="005F02B9">
        <w:t>data to be explored in detail.</w:t>
      </w:r>
      <w:r w:rsidR="001F20D6">
        <w:rPr>
          <w:rFonts w:asciiTheme="majorHAnsi" w:eastAsiaTheme="majorEastAsia" w:hAnsiTheme="majorHAnsi" w:cstheme="majorBidi"/>
          <w:b/>
          <w:bCs/>
          <w:color w:val="365F91" w:themeColor="accent1" w:themeShade="BF"/>
          <w:sz w:val="28"/>
          <w:szCs w:val="28"/>
        </w:rPr>
        <w:br w:type="page"/>
      </w:r>
    </w:p>
    <w:p w:rsidR="00436C33" w:rsidRDefault="00436C33" w:rsidP="00D92607">
      <w:pPr>
        <w:pStyle w:val="Heading1"/>
        <w:spacing w:line="480" w:lineRule="auto"/>
      </w:pPr>
      <w:r>
        <w:lastRenderedPageBreak/>
        <w:t>Introduction</w:t>
      </w:r>
    </w:p>
    <w:p w:rsidR="00B2594B" w:rsidRDefault="00C37853" w:rsidP="00D92607">
      <w:pPr>
        <w:spacing w:line="480" w:lineRule="auto"/>
      </w:pPr>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w:t>
      </w:r>
    </w:p>
    <w:p w:rsidR="00890062" w:rsidRDefault="0031069D" w:rsidP="00D92607">
      <w:pPr>
        <w:spacing w:line="480" w:lineRule="auto"/>
      </w:pPr>
      <w:r>
        <w:t xml:space="preserve">High throughput sequencing is a proven technology for the study of genome variation in </w:t>
      </w:r>
      <w:r w:rsidRPr="0031069D">
        <w:rPr>
          <w:i/>
        </w:rPr>
        <w:t>P. falciparum</w:t>
      </w:r>
      <w:r w:rsidR="0066222C">
        <w:t xml:space="preserve"> and has yielded insights into</w:t>
      </w:r>
      <w:r>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xml:space="preserve">. </w:t>
      </w:r>
      <w:r w:rsidR="00890062">
        <w:t xml:space="preserve">Despite these recent advances, our current understanding of </w:t>
      </w:r>
      <w:r w:rsidR="00890062" w:rsidRPr="00B2594B">
        <w:rPr>
          <w:i/>
        </w:rPr>
        <w:t>P. falciparum</w:t>
      </w:r>
      <w:r w:rsidR="00890062">
        <w:t xml:space="preserve"> genome variation remains incomplete due to </w:t>
      </w:r>
      <w:r w:rsidR="002B4174">
        <w:t xml:space="preserve">multiple </w:t>
      </w:r>
      <w:r w:rsidR="00890062">
        <w:t xml:space="preserve">factors that are challenging both for the sequencing technology and for the analytical methods used for variant discovery and genotyping. </w:t>
      </w:r>
      <w:r w:rsidR="00D52B09">
        <w:t>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890062">
        <w:t>As a result, many regions of the parasite genome are highly repetitive, with short tandem repeats and other low</w:t>
      </w:r>
      <w:r w:rsidR="00D6625D">
        <w:t xml:space="preserve">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w:t>
      </w:r>
      <w:r w:rsidR="00B2594B">
        <w:t xml:space="preserve">Another </w:t>
      </w:r>
      <w:r w:rsidR="002B4174">
        <w:t>difficulty</w:t>
      </w:r>
      <w:r w:rsidR="00890062">
        <w:t xml:space="preserve"> is that parasite genes encoding antigenic targets of the host immune system tend to exhibit very high levels of diversity, such that individual alleles are typically highly diverged from the reference sequence. An extreme example of this phenomenon is the multi-copy </w:t>
      </w:r>
      <w:proofErr w:type="spellStart"/>
      <w:r w:rsidR="00890062">
        <w:rPr>
          <w:i/>
        </w:rPr>
        <w:t>var</w:t>
      </w:r>
      <w:proofErr w:type="spellEnd"/>
      <w:r w:rsidR="00890062">
        <w:t xml:space="preserve"> gene family encoding erythrocyte surface antigens which can diversify within the course of a single infection by non-allelic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890062">
        <w:t>.</w:t>
      </w:r>
    </w:p>
    <w:p w:rsidR="00B1727B" w:rsidRDefault="00890062" w:rsidP="00D92607">
      <w:pPr>
        <w:spacing w:line="480" w:lineRule="auto"/>
      </w:pPr>
      <w:r>
        <w:t xml:space="preserve">These factors </w:t>
      </w:r>
      <w:r w:rsidR="007D200B">
        <w:t>have limited progress and there are a number of current knowledge gaps.</w:t>
      </w:r>
      <w:r w:rsidR="000F2C02">
        <w:t xml:space="preserve"> </w:t>
      </w:r>
      <w:r w:rsidR="007D200B">
        <w:t>T</w:t>
      </w:r>
      <w:r w:rsidR="000F2C02">
        <w:t xml:space="preserve">here has been no comprehensive survey of insertion/deletion (INDEL) variation in </w:t>
      </w:r>
      <w:r w:rsidR="000F2C02" w:rsidRPr="000F2C02">
        <w:rPr>
          <w:i/>
        </w:rPr>
        <w:t>P. falciparum</w:t>
      </w:r>
      <w:r w:rsidR="000F2C02">
        <w:t xml:space="preserve">, although there is evidence that INDELs may be unusually abundant </w:t>
      </w:r>
      <w:r w:rsidR="000F2C02">
        <w:fldChar w:fldCharType="begin" w:fldLock="1"/>
      </w:r>
      <w:r w:rsidR="000F2C02">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0F2C02">
        <w:fldChar w:fldCharType="separate"/>
      </w:r>
      <w:r w:rsidR="000F2C02" w:rsidRPr="00194EE4">
        <w:rPr>
          <w:noProof/>
        </w:rPr>
        <w:t xml:space="preserve">(Jeffares et al. 2007; Haerty &amp; Golding </w:t>
      </w:r>
      <w:r w:rsidR="000F2C02" w:rsidRPr="00194EE4">
        <w:rPr>
          <w:noProof/>
        </w:rPr>
        <w:lastRenderedPageBreak/>
        <w:t>2011; Tan et al. 2010)</w:t>
      </w:r>
      <w:r w:rsidR="000F2C02">
        <w:fldChar w:fldCharType="end"/>
      </w:r>
      <w:r w:rsidR="000F2C02">
        <w:t>.</w:t>
      </w:r>
      <w:r w:rsidR="00530F60">
        <w:t xml:space="preserve"> </w:t>
      </w:r>
      <w:r w:rsidR="003D7F87">
        <w:t>Little</w:t>
      </w:r>
      <w:r w:rsidR="00B1727B">
        <w:t xml:space="preserv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985FFB">
        <w:rPr>
          <w:i/>
        </w:rPr>
        <w:t xml:space="preserve"> </w:t>
      </w:r>
      <w:r w:rsidR="00716BD6">
        <w:fldChar w:fldCharType="begin" w:fldLock="1"/>
      </w:r>
      <w:r w:rsidR="00716BD6">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 "properties" : { "noteIndex" : 0 }, "schema" : "https://github.com/citation-style-language/schema/raw/master/csl-citation.json" }</w:instrText>
      </w:r>
      <w:r w:rsidR="00716BD6">
        <w:fldChar w:fldCharType="separate"/>
      </w:r>
      <w:r w:rsidR="00716BD6" w:rsidRPr="00716BD6">
        <w:rPr>
          <w:noProof/>
        </w:rPr>
        <w:t>(Roy et al. 2008)</w:t>
      </w:r>
      <w:r w:rsidR="00716BD6">
        <w:fldChar w:fldCharType="end"/>
      </w:r>
      <w:r w:rsidR="00B1727B">
        <w:t>.</w:t>
      </w:r>
    </w:p>
    <w:p w:rsidR="0048460E" w:rsidRDefault="000F2C02" w:rsidP="00D92607">
      <w:pPr>
        <w:spacing w:line="480" w:lineRule="auto"/>
      </w:pPr>
      <w:r>
        <w:t>A critical step in overcoming these obstacles is to have a reliable, empirical indicator of genotyping error</w:t>
      </w:r>
      <w:r w:rsidR="0048460E">
        <w:t>, which allows different genotyping methods to be calibrated and compared</w:t>
      </w:r>
      <w:r>
        <w:t>.</w:t>
      </w:r>
      <w:r w:rsidR="0048460E">
        <w:t xml:space="preserve"> </w:t>
      </w:r>
      <w:r w:rsidR="00523D59">
        <w:t xml:space="preserve">There are many </w:t>
      </w:r>
      <w:r w:rsidR="00C8137E">
        <w:t>potential sources of error</w:t>
      </w:r>
      <w:r w:rsidR="00523D59">
        <w:t xml:space="preserve"> in the process </w:t>
      </w:r>
      <w:r w:rsidR="00094D11">
        <w:t xml:space="preserve">of high throughput sequencing and </w:t>
      </w:r>
      <w:r w:rsidR="00523D59">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rsidR="0048460E">
        <w:t xml:space="preserve"> and different analytical methods may have different strengths and weaknesses</w:t>
      </w:r>
      <w:r w:rsidR="00523D59">
        <w:t>.</w:t>
      </w:r>
      <w:r w:rsidR="0048460E">
        <w:t xml:space="preserve"> A </w:t>
      </w:r>
      <w:r w:rsidR="007D200B">
        <w:t xml:space="preserve">proven </w:t>
      </w:r>
      <w:r w:rsidR="0048460E">
        <w:t xml:space="preserve">approach is to sequence multiple individuals belonging to a pedigree and to identify genotype calls that are in violation of Mendelian inheritance. A small number of Mendelian inconsistencies are expected due to </w:t>
      </w:r>
      <w:r w:rsidR="0048460E" w:rsidRPr="0048460E">
        <w:rPr>
          <w:i/>
        </w:rPr>
        <w:t>de novo</w:t>
      </w:r>
      <w:r w:rsidR="0048460E">
        <w:t xml:space="preserve"> mutation, but the observation of many inconsistencies is a strong indicator of genotyping error. Mendelian errors can thus be used to calibrate methods and filter data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w:t>
      </w:r>
    </w:p>
    <w:p w:rsidR="0048460E" w:rsidRDefault="0048460E" w:rsidP="00D92607">
      <w:pPr>
        <w:spacing w:line="480" w:lineRule="auto"/>
      </w:pPr>
      <w:r>
        <w:t xml:space="preserve">Here we report </w:t>
      </w:r>
      <w:r w:rsidR="00D1140B">
        <w:t xml:space="preserve">an analysis of </w:t>
      </w:r>
      <w:r w:rsidR="00D1140B" w:rsidRPr="00D1140B">
        <w:rPr>
          <w:i/>
        </w:rPr>
        <w:t>P. falciparum</w:t>
      </w:r>
      <w:r w:rsidR="00D1140B">
        <w:t xml:space="preserve"> genome variation in the parents and progeny of experimental genetic crosses. We have studied all three crosses that have been published to date, involving the parental clones 3D7, HB3, Dd2, 7G8 and GB4, representing a broad range of genetic and phenotypic diversity </w:t>
      </w:r>
      <w:r w:rsidR="00D1140B">
        <w:fldChar w:fldCharType="begin" w:fldLock="1"/>
      </w:r>
      <w:r w:rsidR="00D1140B">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"(Su et al. 2007; Ranford-Cartwright &amp; Mwangi 2012)" }, "properties" : { "noteIndex" : 0 }, "schema" : "https://github.com/citation-style-language/schema/raw/master/csl-citation.json" }</w:instrText>
      </w:r>
      <w:r w:rsidR="00D1140B">
        <w:fldChar w:fldCharType="separate"/>
      </w:r>
      <w:r w:rsidR="00D1140B" w:rsidRPr="00750C95">
        <w:rPr>
          <w:noProof/>
        </w:rPr>
        <w:t>(Su et al. 2007; Ranford-Cartwright &amp; Mwangi 2012)</w:t>
      </w:r>
      <w:r w:rsidR="00D1140B">
        <w:fldChar w:fldCharType="end"/>
      </w:r>
      <w:r w:rsidR="00D1140B">
        <w:t xml:space="preserve">. It is worth noting that these genetic crosses were complex and laborious to produce, involving passage through blood cultures, mosquitoes (where sexual reproduction takes place) and non-human primates  </w:t>
      </w:r>
      <w:r w:rsidR="00D1140B">
        <w:fldChar w:fldCharType="begin" w:fldLock="1"/>
      </w:r>
      <w:r w:rsidR="00D1140B">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D1140B">
        <w:fldChar w:fldCharType="separate"/>
      </w:r>
      <w:r w:rsidR="00D1140B" w:rsidRPr="00194EE4">
        <w:rPr>
          <w:noProof/>
        </w:rPr>
        <w:t>(Walliker et al. 1987)</w:t>
      </w:r>
      <w:r w:rsidR="00D1140B">
        <w:fldChar w:fldCharType="end"/>
      </w:r>
      <w:r w:rsidR="00D1140B">
        <w:t xml:space="preserve">. They have led to key discoveries regarding the causes of drug resistance </w:t>
      </w:r>
      <w:r w:rsidR="00D1140B">
        <w:fldChar w:fldCharType="begin" w:fldLock="1"/>
      </w:r>
      <w:r w:rsidR="00D1140B">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D1140B">
        <w:fldChar w:fldCharType="separate"/>
      </w:r>
      <w:r w:rsidR="00D1140B" w:rsidRPr="00194EE4">
        <w:rPr>
          <w:noProof/>
        </w:rPr>
        <w:t>(Wellems et al. 1991)</w:t>
      </w:r>
      <w:r w:rsidR="00D1140B">
        <w:fldChar w:fldCharType="end"/>
      </w:r>
      <w:r w:rsidR="00D1140B">
        <w:t xml:space="preserve"> and host specificity </w:t>
      </w:r>
      <w:r w:rsidR="00D1140B">
        <w:fldChar w:fldCharType="begin" w:fldLock="1"/>
      </w:r>
      <w:r w:rsidR="00D1140B">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D1140B">
        <w:fldChar w:fldCharType="separate"/>
      </w:r>
      <w:r w:rsidR="00D1140B" w:rsidRPr="00194EE4">
        <w:rPr>
          <w:noProof/>
        </w:rPr>
        <w:t>(Hayton et al. 2008)</w:t>
      </w:r>
      <w:r w:rsidR="00D1140B">
        <w:fldChar w:fldCharType="end"/>
      </w:r>
      <w:r w:rsidR="00D1140B">
        <w:t xml:space="preserve">. Although only a limited number of crosses are currently available, typically more than 30 genetically distinct progeny clones can be obtained from a single cross </w:t>
      </w:r>
      <w:r w:rsidR="00D1140B">
        <w:fldChar w:fldCharType="begin" w:fldLock="1"/>
      </w:r>
      <w:r w:rsidR="00D1140B">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D1140B">
        <w:fldChar w:fldCharType="separate"/>
      </w:r>
      <w:r w:rsidR="00D1140B" w:rsidRPr="00367A11">
        <w:rPr>
          <w:noProof/>
        </w:rPr>
        <w:t>(Ranford-Cartwright &amp; Mwangi 2012)</w:t>
      </w:r>
      <w:r w:rsidR="00D1140B">
        <w:fldChar w:fldCharType="end"/>
      </w:r>
      <w:r w:rsidR="00D1140B">
        <w:t xml:space="preserve">. The large number of progeny provides a higher power to observe Mendelian errors than smaller pedigrees or trios, and thus to identify variants which are spurious or where genotyping is unreliable. These three crosses are therefore a precious </w:t>
      </w:r>
      <w:r w:rsidR="00D1140B">
        <w:lastRenderedPageBreak/>
        <w:t xml:space="preserve">resource for studying genome variation in </w:t>
      </w:r>
      <w:r w:rsidR="00D1140B" w:rsidRPr="00624AF9">
        <w:rPr>
          <w:i/>
        </w:rPr>
        <w:t>P. falciparum</w:t>
      </w:r>
      <w:r w:rsidR="00D1140B">
        <w:t>, because they represent the only experimental system within which Mendelian errors can be observed and used to guide variant discovery.</w:t>
      </w:r>
    </w:p>
    <w:p w:rsidR="00A72CFF" w:rsidRDefault="00D1140B" w:rsidP="00D92607">
      <w:pPr>
        <w:spacing w:line="480" w:lineRule="auto"/>
      </w:pPr>
      <w:r>
        <w:t xml:space="preserve">We use a combination of methods for variant discovery, leveraging both alignment of sequence reads to the 3D7 reference genome </w:t>
      </w:r>
      <w:r>
        <w:fldChar w:fldCharType="begin" w:fldLock="1"/>
      </w:r>
      <w:r>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fldChar w:fldCharType="separate"/>
      </w:r>
      <w:r w:rsidRPr="008F4EA1">
        <w:rPr>
          <w:noProof/>
        </w:rPr>
        <w:t>(DePristo et al. 2011; Li &amp; Durbin 2009; McKenna et al. 2010)</w:t>
      </w:r>
      <w:r>
        <w:fldChar w:fldCharType="end"/>
      </w:r>
      <w:r>
        <w:t xml:space="preserve"> and reference-free sequence assembly </w:t>
      </w:r>
      <w:r>
        <w:fldChar w:fldCharType="begin" w:fldLock="1"/>
      </w:r>
      <w:r>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fldChar w:fldCharType="separate"/>
      </w:r>
      <w:r w:rsidRPr="00194EE4">
        <w:rPr>
          <w:noProof/>
        </w:rPr>
        <w:t>(Iqbal et al. 2012)</w:t>
      </w:r>
      <w:r>
        <w:fldChar w:fldCharType="end"/>
      </w:r>
      <w:r>
        <w:t xml:space="preserve"> to build a map of genome variation within each cross incorporating SNP, INDEL and complex polymorphisms</w:t>
      </w:r>
      <w:r w:rsidR="00716BD6">
        <w:t>, and spanning both coding and non-coding regions</w:t>
      </w:r>
      <w:r>
        <w:t xml:space="preserve">. </w:t>
      </w:r>
      <w:r w:rsidR="00783242">
        <w:t>All of the variants included in the final call set</w:t>
      </w:r>
      <w:r w:rsidR="00BF5E5E">
        <w:t>s</w:t>
      </w:r>
      <w:r w:rsidR="00783242">
        <w:t xml:space="preserve"> are highly consistent with Mendelian inheritance and show almost perfect genotype concordance between biological replicates.</w:t>
      </w:r>
      <w:r w:rsidR="002759C7">
        <w:t xml:space="preserve"> These data reveal some </w:t>
      </w:r>
      <w:r w:rsidR="007D200B">
        <w:t xml:space="preserve">unique </w:t>
      </w:r>
      <w:r w:rsidR="002759C7">
        <w:t>features of genome variation</w:t>
      </w:r>
      <w:r w:rsidR="0040749C">
        <w:t xml:space="preserve"> </w:t>
      </w:r>
      <w:r w:rsidR="007D200B">
        <w:t xml:space="preserve">in </w:t>
      </w:r>
      <w:r w:rsidR="007D200B" w:rsidRPr="007D200B">
        <w:rPr>
          <w:i/>
        </w:rPr>
        <w:t>P. falciparum</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 xml:space="preserve">research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D1140B" w:rsidRDefault="00A32224" w:rsidP="00D92607">
      <w:pPr>
        <w:spacing w:line="480" w:lineRule="auto"/>
      </w:pPr>
      <w:r>
        <w:t xml:space="preserve">We also </w:t>
      </w:r>
      <w:r w:rsidR="009E5C7B">
        <w:t>address</w:t>
      </w:r>
      <w:r w:rsidR="00622DB4">
        <w:t xml:space="preserve"> </w:t>
      </w:r>
      <w:r>
        <w:t xml:space="preserve">open questions regarding meiotic recombination in </w:t>
      </w:r>
      <w:r w:rsidRPr="00A32224">
        <w:rPr>
          <w:i/>
        </w:rPr>
        <w:t>P. falciparum</w:t>
      </w:r>
      <w:r w:rsidR="007D200B">
        <w:t>, a key biological process that generates and maintains genetic diversity in natural parasite populations</w:t>
      </w:r>
      <w:r w:rsidR="00716BD6">
        <w:t>, and thus contributes to parasite evolution</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w:t>
      </w:r>
      <w:r w:rsidR="002B4174">
        <w:t xml:space="preserve"> finding evidence </w:t>
      </w:r>
      <w:r w:rsidR="006D6FCD">
        <w:t xml:space="preserve">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w:t>
      </w:r>
      <w:r w:rsidR="006E7EA9">
        <w:lastRenderedPageBreak/>
        <w:t>non-crossovers</w:t>
      </w:r>
      <w:r w:rsidR="00716BD6">
        <w:t>, to</w:t>
      </w:r>
      <w:r w:rsidR="007C6969">
        <w:t xml:space="preserve"> </w:t>
      </w:r>
      <w:r w:rsidR="006E7EA9">
        <w:t>estimate rates for both types of recombination event</w:t>
      </w:r>
      <w:r w:rsidR="00716BD6">
        <w:t>, and to study conversion tract lengths</w:t>
      </w:r>
      <w:r w:rsidR="006E7EA9">
        <w:t xml:space="preserve">. This resolution is also sufficient to resolve the location of most recombination events relative to gene and exon boundaries and study </w:t>
      </w:r>
      <w:r w:rsidR="00546EC1">
        <w:t>the rate of intragenic recombination</w:t>
      </w:r>
      <w:r w:rsidR="006E7EA9">
        <w:t xml:space="preserve">. </w:t>
      </w:r>
    </w:p>
    <w:p w:rsidR="001C4E6F" w:rsidRDefault="006E7EA9" w:rsidP="00D92607">
      <w:pPr>
        <w:spacing w:line="480" w:lineRule="auto"/>
      </w:pPr>
      <w:r>
        <w:t xml:space="preserve">Finally we investigate recombination in the context of two large </w:t>
      </w:r>
      <w:r w:rsidR="00BA4DCF">
        <w:t>regions of copy number amplification</w:t>
      </w:r>
      <w:r>
        <w:t xml:space="preserve">, </w:t>
      </w:r>
      <w:r w:rsidR="001C4E6F">
        <w:t xml:space="preserve">both of </w:t>
      </w:r>
      <w:r>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92607">
      <w:pPr>
        <w:pStyle w:val="Heading1"/>
        <w:spacing w:line="480" w:lineRule="auto"/>
      </w:pPr>
      <w:r>
        <w:t>Results</w:t>
      </w:r>
    </w:p>
    <w:p w:rsidR="0066428C" w:rsidRDefault="00831572" w:rsidP="00D92607">
      <w:pPr>
        <w:pStyle w:val="Heading2"/>
        <w:spacing w:line="480" w:lineRule="auto"/>
      </w:pPr>
      <w:r>
        <w:t>Whole genome sequencing and genome accessibility</w:t>
      </w:r>
    </w:p>
    <w:p w:rsidR="00EF319F" w:rsidRDefault="00EA3CED" w:rsidP="00D92607">
      <w:pPr>
        <w:spacing w:line="480" w:lineRule="auto"/>
      </w:pPr>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w:t>
      </w:r>
      <w:r w:rsidR="00EF319F">
        <w:t xml:space="preserve">Table 1; </w:t>
      </w:r>
      <w:r w:rsidR="00A74395">
        <w:t>Table S1</w:t>
      </w:r>
      <w:r w:rsidR="004169E9">
        <w:t>)</w:t>
      </w:r>
      <w:r>
        <w:t xml:space="preserve">. All DNA libraries were derived from haploid parasite clones in culture, and sufficient DNA was available to use PCR-free library preparation throughout, which has 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 xml:space="preserve">1) and HB3(2) </w:t>
      </w:r>
    </w:p>
    <w:tbl>
      <w:tblPr>
        <w:tblStyle w:val="MediumList2-Accent1"/>
        <w:tblW w:w="5000" w:type="pct"/>
        <w:tblLook w:val="04A0" w:firstRow="1" w:lastRow="0" w:firstColumn="1" w:lastColumn="0" w:noHBand="0" w:noVBand="1"/>
      </w:tblPr>
      <w:tblGrid>
        <w:gridCol w:w="2703"/>
        <w:gridCol w:w="2472"/>
        <w:gridCol w:w="2032"/>
        <w:gridCol w:w="2035"/>
      </w:tblGrid>
      <w:tr w:rsidR="00EF319F" w:rsidRPr="009D0DED" w:rsidTr="008A0546">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EF319F" w:rsidRPr="009D0DED" w:rsidRDefault="00EF319F" w:rsidP="008A0546">
            <w:pPr>
              <w:rPr>
                <w:rFonts w:asciiTheme="minorHAnsi" w:eastAsiaTheme="minorEastAsia" w:hAnsiTheme="minorHAnsi" w:cs="Arial"/>
                <w:color w:val="auto"/>
                <w:sz w:val="22"/>
                <w:szCs w:val="22"/>
              </w:rPr>
            </w:pPr>
          </w:p>
        </w:tc>
        <w:tc>
          <w:tcPr>
            <w:tcW w:w="1340"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EF319F" w:rsidRPr="009D0DED" w:rsidRDefault="00EF319F" w:rsidP="008A0546">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EF319F">
              <w:rPr>
                <w:rFonts w:asciiTheme="minorHAnsi" w:eastAsiaTheme="minorEastAsia" w:hAnsiTheme="minorHAnsi" w:cs="Arial"/>
                <w:color w:val="auto"/>
                <w:vertAlign w:val="superscript"/>
              </w:rPr>
              <w:t>1</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EF319F" w:rsidRPr="009D0DED" w:rsidTr="008A0546">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EF319F">
              <w:rPr>
                <w:vertAlign w:val="superscript"/>
              </w:rPr>
              <w:t>2</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Pr>
                <w:rStyle w:val="FootnoteReference"/>
                <w:rFonts w:asciiTheme="minorHAnsi" w:eastAsiaTheme="minorEastAsia" w:hAnsiTheme="minorHAnsi" w:cs="Arial"/>
                <w:color w:val="auto"/>
              </w:rPr>
              <w:t>3</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EF319F" w:rsidRPr="009D0DED" w:rsidTr="008A0546">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Pr>
                <w:rStyle w:val="FootnoteReference"/>
                <w:rFonts w:asciiTheme="minorHAnsi" w:eastAsiaTheme="minorEastAsia" w:hAnsiTheme="minorHAnsi" w:cs="Arial"/>
                <w:color w:val="auto"/>
              </w:rPr>
              <w:t>4</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Pr>
                <w:rStyle w:val="FootnoteReference"/>
                <w:rFonts w:asciiTheme="minorHAnsi" w:eastAsiaTheme="minorEastAsia" w:hAnsiTheme="minorHAnsi" w:cs="Arial"/>
                <w:color w:val="auto"/>
              </w:rPr>
              <w:t>5</w:t>
            </w:r>
          </w:p>
        </w:tc>
        <w:tc>
          <w:tcPr>
            <w:tcW w:w="1340"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EF319F" w:rsidRPr="009D0DED" w:rsidTr="008A0546">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rPr>
            </w:pPr>
            <w:r>
              <w:rPr>
                <w:rFonts w:asciiTheme="minorHAnsi" w:eastAsiaTheme="minorEastAsia" w:hAnsiTheme="minorHAnsi" w:cs="Arial"/>
              </w:rPr>
              <w:t>INDEL diversity (kbp</w:t>
            </w:r>
            <w:r>
              <w:rPr>
                <w:rFonts w:asciiTheme="minorHAnsi" w:eastAsiaTheme="minorEastAsia" w:hAnsiTheme="minorHAnsi" w:cs="Arial"/>
                <w:vertAlign w:val="superscript"/>
              </w:rPr>
              <w:t>-1</w:t>
            </w:r>
            <w:r w:rsidRPr="009D0DED">
              <w:rPr>
                <w:rFonts w:asciiTheme="minorHAnsi" w:eastAsiaTheme="minorEastAsia" w:hAnsiTheme="minorHAnsi" w:cs="Arial"/>
              </w:rPr>
              <w:t>)</w:t>
            </w:r>
            <w:r>
              <w:rPr>
                <w:rStyle w:val="FootnoteReference"/>
                <w:rFonts w:asciiTheme="minorHAnsi" w:eastAsiaTheme="minorEastAsia" w:hAnsiTheme="minorHAnsi" w:cs="Arial"/>
              </w:rPr>
              <w:t>6</w:t>
            </w:r>
          </w:p>
        </w:tc>
        <w:tc>
          <w:tcPr>
            <w:tcW w:w="1340"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EF319F" w:rsidRPr="009D0DED" w:rsidRDefault="00EF319F" w:rsidP="008A054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EF319F" w:rsidRPr="009D0DED" w:rsidTr="008A0546">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EF319F" w:rsidRPr="009D0DED" w:rsidRDefault="00EF319F" w:rsidP="00EF319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Pr>
                <w:rStyle w:val="FootnoteReference"/>
                <w:rFonts w:asciiTheme="minorHAnsi" w:eastAsiaTheme="minorEastAsia" w:hAnsiTheme="minorHAnsi" w:cs="Arial"/>
              </w:rPr>
              <w:t>7</w:t>
            </w:r>
          </w:p>
        </w:tc>
        <w:tc>
          <w:tcPr>
            <w:tcW w:w="1340" w:type="pct"/>
          </w:tcPr>
          <w:p w:rsidR="00EF319F" w:rsidRPr="009D0DED" w:rsidRDefault="00EF319F" w:rsidP="00A42036">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EF319F" w:rsidRPr="009D0DED" w:rsidRDefault="00EF319F" w:rsidP="008A054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EF319F" w:rsidRPr="009D0DED" w:rsidRDefault="00EF319F" w:rsidP="00EF319F">
            <w:pPr>
              <w:keepNext/>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EF319F" w:rsidRPr="00C818E0" w:rsidRDefault="00EF319F" w:rsidP="00EF319F">
      <w:pPr>
        <w:pStyle w:val="Caption"/>
        <w:spacing w:line="360" w:lineRule="auto"/>
        <w:rPr>
          <w:b w:val="0"/>
          <w:color w:val="auto"/>
        </w:rPr>
      </w:pPr>
      <w:r>
        <w:br/>
      </w:r>
      <w:proofErr w:type="gramStart"/>
      <w:r w:rsidRPr="00C818E0">
        <w:rPr>
          <w:color w:val="auto"/>
        </w:rPr>
        <w:t xml:space="preserve">Table </w:t>
      </w:r>
      <w:proofErr w:type="gramEnd"/>
      <w:r w:rsidRPr="00C818E0">
        <w:rPr>
          <w:color w:val="auto"/>
        </w:rPr>
        <w:fldChar w:fldCharType="begin"/>
      </w:r>
      <w:r w:rsidRPr="00C818E0">
        <w:rPr>
          <w:color w:val="auto"/>
        </w:rPr>
        <w:instrText xml:space="preserve"> SEQ Table \* ARABIC </w:instrText>
      </w:r>
      <w:r w:rsidRPr="00C818E0">
        <w:rPr>
          <w:color w:val="auto"/>
        </w:rPr>
        <w:fldChar w:fldCharType="separate"/>
      </w:r>
      <w:r w:rsidR="007C7B84">
        <w:rPr>
          <w:noProof/>
          <w:color w:val="auto"/>
        </w:rPr>
        <w:t>1</w:t>
      </w:r>
      <w:r w:rsidRPr="00C818E0">
        <w:rPr>
          <w:color w:val="auto"/>
        </w:rPr>
        <w:fldChar w:fldCharType="end"/>
      </w:r>
      <w:proofErr w:type="gramStart"/>
      <w:r w:rsidRPr="00C818E0">
        <w:rPr>
          <w:b w:val="0"/>
          <w:color w:val="auto"/>
        </w:rPr>
        <w:t>.</w:t>
      </w:r>
      <w:proofErr w:type="gramEnd"/>
      <w:r w:rsidRPr="00C818E0">
        <w:rPr>
          <w:b w:val="0"/>
          <w:color w:val="auto"/>
        </w:rPr>
        <w:t xml:space="preserve"> </w:t>
      </w:r>
      <w:proofErr w:type="gramStart"/>
      <w:r w:rsidRPr="00C818E0">
        <w:rPr>
          <w:b w:val="0"/>
          <w:color w:val="auto"/>
        </w:rPr>
        <w:t xml:space="preserve">Summary of sequence and variation data generated in this study for the three crosses 3D7xHB3, HB3xDd2 and 7G8xGB4. </w:t>
      </w:r>
      <w:r w:rsidRPr="00C818E0">
        <w:rPr>
          <w:b w:val="0"/>
          <w:color w:val="auto"/>
          <w:vertAlign w:val="superscript"/>
        </w:rPr>
        <w:t>1</w:t>
      </w:r>
      <w:r w:rsidRPr="00C818E0">
        <w:rPr>
          <w:b w:val="0"/>
          <w:color w:val="auto"/>
        </w:rPr>
        <w:t>Number of independent recombinant progeny that were sequenced as part of this study and yielded usable sequence data.</w:t>
      </w:r>
      <w:proofErr w:type="gramEnd"/>
      <w:r w:rsidRPr="00C818E0">
        <w:rPr>
          <w:b w:val="0"/>
          <w:color w:val="auto"/>
        </w:rPr>
        <w:t xml:space="preserve"> </w:t>
      </w:r>
      <w:r w:rsidRPr="00C818E0">
        <w:rPr>
          <w:b w:val="0"/>
          <w:color w:val="auto"/>
          <w:vertAlign w:val="superscript"/>
        </w:rPr>
        <w:t>2</w:t>
      </w:r>
      <w:r w:rsidRPr="00C818E0">
        <w:rPr>
          <w:b w:val="0"/>
          <w:color w:val="auto"/>
        </w:rPr>
        <w:t xml:space="preserve">Coverage for each sample was calculated as the mean depth of sequenced bases across the whole genome. Values shown are the median (minimum-maximum) values of sample coverage within a cross. </w:t>
      </w:r>
      <w:r w:rsidRPr="00C818E0">
        <w:rPr>
          <w:b w:val="0"/>
          <w:color w:val="auto"/>
          <w:vertAlign w:val="superscript"/>
        </w:rPr>
        <w:t>3</w:t>
      </w:r>
      <w:r w:rsidRPr="00C818E0">
        <w:rPr>
          <w:b w:val="0"/>
          <w:color w:val="auto"/>
        </w:rPr>
        <w:t xml:space="preserve">Total number of segregating SNPs combined from both alignment and assembly calling methods that passed all quality filters. </w:t>
      </w:r>
      <w:r w:rsidRPr="00C818E0">
        <w:rPr>
          <w:b w:val="0"/>
          <w:color w:val="auto"/>
          <w:vertAlign w:val="superscript"/>
        </w:rPr>
        <w:t>4</w:t>
      </w:r>
      <w:r w:rsidRPr="00C818E0">
        <w:rPr>
          <w:b w:val="0"/>
          <w:color w:val="auto"/>
        </w:rPr>
        <w:t xml:space="preserve">Total number of segregating INDELs combined from both alignment and assembly calling methods that passed all quality filters. </w:t>
      </w:r>
      <w:r w:rsidRPr="00C818E0">
        <w:rPr>
          <w:b w:val="0"/>
          <w:color w:val="auto"/>
          <w:vertAlign w:val="superscript"/>
        </w:rPr>
        <w:t>5</w:t>
      </w:r>
      <w:r w:rsidRPr="00C818E0">
        <w:rPr>
          <w:b w:val="0"/>
          <w:color w:val="auto"/>
        </w:rPr>
        <w:t xml:space="preserve">Nucleotide diversity (number of segregating SNPs per kilo base pair) calculated over 10kb non-overlapping windows within the core genome. Values shown are the median (5-95th percentile). </w:t>
      </w:r>
      <w:r w:rsidRPr="00C818E0">
        <w:rPr>
          <w:b w:val="0"/>
          <w:color w:val="auto"/>
          <w:vertAlign w:val="superscript"/>
        </w:rPr>
        <w:t>6</w:t>
      </w:r>
      <w:r w:rsidRPr="00C818E0">
        <w:rPr>
          <w:b w:val="0"/>
          <w:color w:val="auto"/>
        </w:rPr>
        <w:t xml:space="preserve">Indel diversity (number of segregating INDELs per kilo base pair) calculated over 10kb non-overlapping windows within the core genome. Values shown are the median (5-95th percentile). </w:t>
      </w:r>
      <w:proofErr w:type="gramStart"/>
      <w:r w:rsidRPr="00C818E0">
        <w:rPr>
          <w:b w:val="0"/>
          <w:color w:val="auto"/>
          <w:vertAlign w:val="superscript"/>
        </w:rPr>
        <w:t>7</w:t>
      </w:r>
      <w:r w:rsidRPr="00C818E0">
        <w:rPr>
          <w:b w:val="0"/>
          <w:color w:val="auto"/>
        </w:rPr>
        <w:t>Average distance between combined SNP and INDEL markers.</w:t>
      </w:r>
      <w:proofErr w:type="gramEnd"/>
      <w:r w:rsidRPr="00C818E0">
        <w:rPr>
          <w:b w:val="0"/>
          <w:color w:val="auto"/>
        </w:rPr>
        <w:t xml:space="preserve"> Values shown are </w:t>
      </w:r>
      <w:proofErr w:type="gramStart"/>
      <w:r w:rsidRPr="00C818E0">
        <w:rPr>
          <w:b w:val="0"/>
          <w:color w:val="auto"/>
        </w:rPr>
        <w:t>median</w:t>
      </w:r>
      <w:proofErr w:type="gramEnd"/>
      <w:r w:rsidRPr="00C818E0">
        <w:rPr>
          <w:b w:val="0"/>
          <w:color w:val="auto"/>
        </w:rPr>
        <w:t xml:space="preserve"> (5-95th percentile).</w:t>
      </w:r>
      <w:r w:rsidRPr="00C818E0">
        <w:rPr>
          <w:b w:val="0"/>
          <w:color w:val="auto"/>
        </w:rPr>
        <w:br/>
      </w:r>
    </w:p>
    <w:p w:rsidR="00BA4DCF" w:rsidRDefault="001C68E4" w:rsidP="00D92607">
      <w:pPr>
        <w:spacing w:line="480" w:lineRule="auto"/>
      </w:pPr>
      <w:proofErr w:type="gramStart"/>
      <w:r>
        <w:t>for</w:t>
      </w:r>
      <w:proofErr w:type="gramEnd"/>
      <w:r>
        <w:t xml:space="preserve"> crosses 3D7×HB3 and HB3×</w:t>
      </w:r>
      <w:r w:rsidR="0072106A">
        <w:t xml:space="preserve">Dd2 respectively. </w:t>
      </w:r>
      <w:r w:rsidR="004533B9">
        <w:t>B</w:t>
      </w:r>
      <w:r w:rsidR="0072106A">
        <w:t xml:space="preserve">iological replicates were </w:t>
      </w:r>
      <w:r w:rsidR="006C1DD2">
        <w:t>obtained</w:t>
      </w:r>
      <w:r w:rsidR="004533B9">
        <w:t xml:space="preserve"> for several progeny clones</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w:t>
      </w:r>
      <w:r w:rsidR="004533B9">
        <w:t xml:space="preserve">is provided in Table S1 and </w:t>
      </w:r>
      <w:r w:rsidR="008E486C">
        <w:t xml:space="preserve">can </w:t>
      </w:r>
      <w:r w:rsidR="004533B9">
        <w:t xml:space="preserve">alternatively </w:t>
      </w:r>
      <w:r w:rsidR="008E486C">
        <w:t xml:space="preserve">be obtained via the web application at </w:t>
      </w:r>
      <w:hyperlink r:id="rId9"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D92607">
      <w:pPr>
        <w:spacing w:line="480" w:lineRule="auto"/>
      </w:pPr>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w:t>
      </w:r>
      <w:r w:rsidR="00B1349E">
        <w:lastRenderedPageBreak/>
        <w:t>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92607">
      <w:pPr>
        <w:pStyle w:val="Heading2"/>
        <w:spacing w:line="480" w:lineRule="auto"/>
      </w:pPr>
      <w:r>
        <w:t xml:space="preserve">SNP, </w:t>
      </w:r>
      <w:r w:rsidR="00F230BE">
        <w:t>INDEL</w:t>
      </w:r>
      <w:r>
        <w:t xml:space="preserve"> and complex variation</w:t>
      </w:r>
      <w:r w:rsidR="00092516">
        <w:t xml:space="preserve"> within the core genome</w:t>
      </w:r>
    </w:p>
    <w:p w:rsidR="000118A7" w:rsidRDefault="00BF5714" w:rsidP="00D92607">
      <w:pPr>
        <w:spacing w:line="480" w:lineRule="auto"/>
      </w:pPr>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t>
      </w:r>
      <w:r w:rsidR="004177B6">
        <w:lastRenderedPageBreak/>
        <w:t xml:space="preserve">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10" w:history="1">
        <w:r w:rsidR="0083016F" w:rsidRPr="000B39EA">
          <w:rPr>
            <w:rStyle w:val="Hyperlink"/>
          </w:rPr>
          <w:t>http://www.malariagen.net/apps/pf-crosses</w:t>
        </w:r>
      </w:hyperlink>
      <w:r w:rsidR="0083016F">
        <w:t>.</w:t>
      </w:r>
    </w:p>
    <w:p w:rsidR="00A42036" w:rsidRDefault="00224F6A" w:rsidP="00D92607">
      <w:pPr>
        <w:spacing w:line="480" w:lineRule="auto"/>
      </w:pPr>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 xml:space="preserve">This lower sensitivity was partly due to the fact that the assembly-based calling method was only capable of genotyping </w:t>
      </w:r>
      <w:proofErr w:type="spellStart"/>
      <w:r w:rsidR="00CF2092">
        <w:t>biallelic</w:t>
      </w:r>
      <w:proofErr w:type="spellEnd"/>
      <w:r w:rsidR="00CF2092">
        <w:t xml:space="preserve"> var</w:t>
      </w:r>
      <w:r w:rsidR="000118A7">
        <w:t>iants. All segregating variants</w:t>
      </w:r>
      <w:r w:rsidR="00CF2092">
        <w:t xml:space="preserve"> in the 3D7xHB3 cross </w:t>
      </w:r>
      <w:r w:rsidR="000118A7">
        <w:t>are</w:t>
      </w:r>
      <w:r w:rsidR="00CF2092">
        <w:t xml:space="preserve"> expected to be </w:t>
      </w:r>
      <w:proofErr w:type="spellStart"/>
      <w:r w:rsidR="00CF2092">
        <w:t>biallelic</w:t>
      </w:r>
      <w:proofErr w:type="spellEnd"/>
      <w:r w:rsidR="00CF2092">
        <w:t xml:space="preserve"> because 3D7 is the reference clone, however segregating variation in the HB3xDd2 and 7G8xGB4 crosses could be </w:t>
      </w:r>
      <w:proofErr w:type="spellStart"/>
      <w:r w:rsidR="00CF2092">
        <w:t>multiallelic</w:t>
      </w:r>
      <w:proofErr w:type="spellEnd"/>
      <w:r w:rsidR="00CF2092">
        <w:t xml:space="preserve">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p>
    <w:p w:rsidR="00A42036" w:rsidRDefault="00A42036" w:rsidP="00A42036">
      <w:pPr>
        <w:keepNext/>
        <w:spacing w:line="480" w:lineRule="auto"/>
      </w:pPr>
      <w:r w:rsidRPr="005F76A4">
        <w:rPr>
          <w:noProof/>
          <w:lang w:eastAsia="en-GB"/>
        </w:rPr>
        <w:lastRenderedPageBreak/>
        <w:drawing>
          <wp:inline distT="0" distB="0" distL="0" distR="0" wp14:anchorId="1D21B4BF" wp14:editId="311FB9A3">
            <wp:extent cx="5483172" cy="31521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A42036" w:rsidRPr="00C818E0" w:rsidRDefault="00A42036" w:rsidP="00A42036">
      <w:pPr>
        <w:pStyle w:val="Caption"/>
        <w:spacing w:line="360" w:lineRule="auto"/>
        <w:rPr>
          <w:b w:val="0"/>
          <w:color w:val="auto"/>
        </w:rPr>
      </w:pPr>
      <w:proofErr w:type="gramStart"/>
      <w:r w:rsidRPr="00C818E0">
        <w:rPr>
          <w:color w:val="auto"/>
        </w:rPr>
        <w:t xml:space="preserve">Figure </w:t>
      </w:r>
      <w:proofErr w:type="gramEnd"/>
      <w:r w:rsidRPr="00C818E0">
        <w:rPr>
          <w:color w:val="auto"/>
        </w:rPr>
        <w:fldChar w:fldCharType="begin"/>
      </w:r>
      <w:r w:rsidRPr="00C818E0">
        <w:rPr>
          <w:color w:val="auto"/>
        </w:rPr>
        <w:instrText xml:space="preserve"> SEQ Figure \* ARABIC </w:instrText>
      </w:r>
      <w:r w:rsidRPr="00C818E0">
        <w:rPr>
          <w:color w:val="auto"/>
        </w:rPr>
        <w:fldChar w:fldCharType="separate"/>
      </w:r>
      <w:r w:rsidR="008A0546">
        <w:rPr>
          <w:noProof/>
          <w:color w:val="auto"/>
        </w:rPr>
        <w:t>1</w:t>
      </w:r>
      <w:r w:rsidRPr="00C818E0">
        <w:rPr>
          <w:color w:val="auto"/>
        </w:rPr>
        <w:fldChar w:fldCharType="end"/>
      </w:r>
      <w:proofErr w:type="gramStart"/>
      <w:r w:rsidRPr="00C818E0">
        <w:rPr>
          <w:color w:val="auto"/>
        </w:rPr>
        <w:t>.</w:t>
      </w:r>
      <w:proofErr w:type="gramEnd"/>
      <w:r w:rsidRPr="00C818E0">
        <w:rPr>
          <w:b w:val="0"/>
          <w:color w:val="auto"/>
        </w:rPr>
        <w:t xml:space="preserve"> </w:t>
      </w:r>
      <w:proofErr w:type="gramStart"/>
      <w:r w:rsidRPr="00C818E0">
        <w:rPr>
          <w:b w:val="0"/>
          <w:color w:val="auto"/>
        </w:rPr>
        <w:t>Properties of INDELs.</w:t>
      </w:r>
      <w:proofErr w:type="gramEnd"/>
      <w:r w:rsidRPr="00C818E0">
        <w:rPr>
          <w:b w:val="0"/>
          <w:color w:val="auto"/>
        </w:rPr>
        <w:t xml:space="preserve"> </w:t>
      </w:r>
      <w:r w:rsidRPr="00C818E0">
        <w:rPr>
          <w:color w:val="auto"/>
        </w:rPr>
        <w:t>A</w:t>
      </w:r>
      <w:r w:rsidRPr="00C818E0">
        <w:rPr>
          <w:b w:val="0"/>
          <w:color w:val="auto"/>
        </w:rP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rsidRPr="00C818E0">
        <w:rPr>
          <w:b w:val="0"/>
          <w:color w:val="auto"/>
        </w:rPr>
        <w:t>poly(</w:t>
      </w:r>
      <w:proofErr w:type="gramEnd"/>
      <w:r w:rsidRPr="00C818E0">
        <w:rPr>
          <w:b w:val="0"/>
          <w:color w:val="auto"/>
        </w:rPr>
        <w:t xml:space="preserve">AT) repeats in non-coding regions. </w:t>
      </w:r>
      <w:r w:rsidRPr="00C818E0">
        <w:rPr>
          <w:color w:val="auto"/>
        </w:rPr>
        <w:t>B</w:t>
      </w:r>
      <w:r w:rsidRPr="00C818E0">
        <w:rPr>
          <w:b w:val="0"/>
          <w:color w:val="auto"/>
        </w:rPr>
        <w:t xml:space="preserve">, Amino acids inserted and deleted (relative to the 3D7 reference genome). </w:t>
      </w:r>
      <w:proofErr w:type="gramStart"/>
      <w:r w:rsidRPr="00C818E0">
        <w:rPr>
          <w:color w:val="auto"/>
        </w:rPr>
        <w:t>C</w:t>
      </w:r>
      <w:r w:rsidRPr="00C818E0">
        <w:rPr>
          <w:b w:val="0"/>
          <w:color w:val="auto"/>
        </w:rPr>
        <w:t>, INDEL diversity in intergenic regions relative to the position of core promoters predicted by Brick et al. (2008).</w:t>
      </w:r>
      <w:proofErr w:type="gramEnd"/>
      <w:r w:rsidRPr="00C818E0">
        <w:rPr>
          <w:b w:val="0"/>
          <w:color w:val="auto"/>
        </w:rP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r w:rsidRPr="00C818E0">
        <w:rPr>
          <w:b w:val="0"/>
          <w:color w:val="auto"/>
        </w:rPr>
        <w:br/>
      </w:r>
    </w:p>
    <w:p w:rsidR="000118A7" w:rsidRDefault="001865B1" w:rsidP="00D92607">
      <w:pPr>
        <w:spacing w:line="480" w:lineRule="auto"/>
      </w:pPr>
      <w:r>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rsidR="00224F6A">
        <w:t>T</w:t>
      </w:r>
      <w:r w:rsidR="003B428E">
        <w:t xml:space="preserve">able 1). </w:t>
      </w:r>
    </w:p>
    <w:p w:rsidR="00A4677A" w:rsidRDefault="00F230BE" w:rsidP="00D92607">
      <w:pPr>
        <w:pStyle w:val="Heading3"/>
        <w:spacing w:line="480" w:lineRule="auto"/>
      </w:pPr>
      <w:r>
        <w:t>INDEL</w:t>
      </w:r>
      <w:r w:rsidR="00A4677A">
        <w:t>s are the most abundant form of polymorphism</w:t>
      </w:r>
    </w:p>
    <w:p w:rsidR="00FE0FEE" w:rsidRDefault="008A5CF4" w:rsidP="00D92607">
      <w:pPr>
        <w:spacing w:line="480" w:lineRule="auto"/>
      </w:pPr>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w:t>
      </w:r>
      <w:r w:rsidR="00C31D10">
        <w:t>the</w:t>
      </w:r>
      <w:r w:rsidR="006E6764">
        <w:t xml:space="preserve"> SNP to INDEL ratio </w:t>
      </w:r>
      <w:r w:rsidR="00C31D10">
        <w:t>is</w:t>
      </w:r>
      <w:r w:rsidR="006E6764">
        <w:t xml:space="preserve">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 xml:space="preserve">s found in the crosses were expansions or contractions of short tandem </w:t>
      </w:r>
      <w:r w:rsidR="00FE0FEE">
        <w:lastRenderedPageBreak/>
        <w:t>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D92607">
      <w:pPr>
        <w:spacing w:line="480" w:lineRule="auto"/>
      </w:pPr>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rsidR="007D200B">
        <w:t xml:space="preserve"> reflecting the abundance of poly(AT) repeats</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2A2BE8" w:rsidRDefault="002A2BE8" w:rsidP="002A2BE8">
      <w:pPr>
        <w:pStyle w:val="Heading3"/>
        <w:spacing w:line="480" w:lineRule="auto"/>
      </w:pPr>
      <w:r w:rsidRPr="005F76A4">
        <w:rPr>
          <w:noProof/>
          <w:lang w:eastAsia="en-GB"/>
        </w:rPr>
        <w:lastRenderedPageBreak/>
        <w:drawing>
          <wp:inline distT="0" distB="0" distL="0" distR="0" wp14:anchorId="43F6CB0E" wp14:editId="6DD8AA5B">
            <wp:extent cx="5728584" cy="358394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2A2BE8" w:rsidRPr="00C818E0" w:rsidRDefault="002A2BE8" w:rsidP="002A2BE8">
      <w:pPr>
        <w:pStyle w:val="Caption"/>
        <w:spacing w:line="360" w:lineRule="auto"/>
        <w:rPr>
          <w:color w:val="auto"/>
        </w:rPr>
      </w:pPr>
      <w:proofErr w:type="gramStart"/>
      <w:r w:rsidRPr="00C818E0">
        <w:rPr>
          <w:color w:val="auto"/>
        </w:rPr>
        <w:t xml:space="preserve">Figure </w:t>
      </w:r>
      <w:proofErr w:type="gramEnd"/>
      <w:r w:rsidRPr="00C818E0">
        <w:rPr>
          <w:color w:val="auto"/>
        </w:rPr>
        <w:fldChar w:fldCharType="begin"/>
      </w:r>
      <w:r w:rsidRPr="00C818E0">
        <w:rPr>
          <w:color w:val="auto"/>
        </w:rPr>
        <w:instrText xml:space="preserve"> SEQ Figure \* ARABIC </w:instrText>
      </w:r>
      <w:r w:rsidRPr="00C818E0">
        <w:rPr>
          <w:color w:val="auto"/>
        </w:rPr>
        <w:fldChar w:fldCharType="separate"/>
      </w:r>
      <w:r w:rsidR="008A0546">
        <w:rPr>
          <w:noProof/>
          <w:color w:val="auto"/>
        </w:rPr>
        <w:t>2</w:t>
      </w:r>
      <w:r w:rsidRPr="00C818E0">
        <w:rPr>
          <w:color w:val="auto"/>
        </w:rPr>
        <w:fldChar w:fldCharType="end"/>
      </w:r>
      <w:proofErr w:type="gramStart"/>
      <w:r w:rsidRPr="00C818E0">
        <w:rPr>
          <w:color w:val="auto"/>
        </w:rPr>
        <w:t>.</w:t>
      </w:r>
      <w:proofErr w:type="gramEnd"/>
      <w:r w:rsidRPr="00C818E0">
        <w:rPr>
          <w:color w:val="auto"/>
        </w:rPr>
        <w:t xml:space="preserve"> </w:t>
      </w:r>
      <w:proofErr w:type="gramStart"/>
      <w:r w:rsidRPr="00C818E0">
        <w:rPr>
          <w:b w:val="0"/>
          <w:color w:val="auto"/>
        </w:rPr>
        <w:t>Variation in nucleotide diversity over the core genome.</w:t>
      </w:r>
      <w:proofErr w:type="gramEnd"/>
      <w:r w:rsidRPr="00C818E0">
        <w:rPr>
          <w:b w:val="0"/>
          <w:color w:val="auto"/>
        </w:rPr>
        <w:t xml:space="preserve"> Nucleotide diversity is shown for each cross in 500bp half-overlapping windows across the core genome (which excludes hypervariable regions containing </w:t>
      </w:r>
      <w:proofErr w:type="spellStart"/>
      <w:r w:rsidRPr="00C818E0">
        <w:rPr>
          <w:b w:val="0"/>
          <w:color w:val="auto"/>
        </w:rPr>
        <w:t>var</w:t>
      </w:r>
      <w:proofErr w:type="spellEnd"/>
      <w:r w:rsidRPr="00C818E0">
        <w:rPr>
          <w:b w:val="0"/>
          <w:color w:val="auto"/>
        </w:rPr>
        <w:t xml:space="preserve">, </w:t>
      </w:r>
      <w:proofErr w:type="spellStart"/>
      <w:r w:rsidRPr="00C818E0">
        <w:rPr>
          <w:b w:val="0"/>
          <w:color w:val="auto"/>
        </w:rPr>
        <w:t>rif</w:t>
      </w:r>
      <w:proofErr w:type="spellEnd"/>
      <w:r w:rsidRPr="00C818E0">
        <w:rPr>
          <w:b w:val="0"/>
          <w:color w:val="auto"/>
        </w:rPr>
        <w:t xml:space="preserve"> or </w:t>
      </w:r>
      <w:proofErr w:type="spellStart"/>
      <w:r w:rsidRPr="00C818E0">
        <w:rPr>
          <w:b w:val="0"/>
          <w:color w:val="auto"/>
        </w:rPr>
        <w:t>stevor</w:t>
      </w:r>
      <w:proofErr w:type="spellEnd"/>
      <w:r w:rsidRPr="00C818E0">
        <w:rPr>
          <w:b w:val="0"/>
          <w:color w:val="auto"/>
        </w:rPr>
        <w:t xml:space="preserve"> genes) using SNPs combined from both variant calling methods and passing all quality filters. The peak of nucleotide diversity in chromosome 10 is expanded to show four distinct peaks due to genes encoding merozoite surface antigens MSP3, MSP6, DBLMSP and DBLMSP2. All labelled loci (with the exception of AMA1) are sites of complex variation where assembly of sequence reads is required to determine the non-reference alleles.</w:t>
      </w:r>
      <w:r w:rsidRPr="00C818E0">
        <w:rPr>
          <w:b w:val="0"/>
          <w:color w:val="auto"/>
        </w:rPr>
        <w:br/>
      </w:r>
    </w:p>
    <w:p w:rsidR="00A4677A" w:rsidRDefault="00D246DE" w:rsidP="00D92607">
      <w:pPr>
        <w:pStyle w:val="Heading3"/>
        <w:spacing w:line="480" w:lineRule="auto"/>
      </w:pPr>
      <w:r w:rsidRPr="00D246DE">
        <w:t xml:space="preserve">Low nucleotide diversity is punctuated by </w:t>
      </w:r>
      <w:r w:rsidR="00E852B4">
        <w:t xml:space="preserve">complex variation in </w:t>
      </w:r>
      <w:r w:rsidRPr="00D246DE">
        <w:t>merozoite</w:t>
      </w:r>
      <w:r w:rsidR="00E852B4">
        <w:t>-stage genes</w:t>
      </w:r>
    </w:p>
    <w:p w:rsidR="00D246DE" w:rsidRPr="00D246DE" w:rsidRDefault="00D246DE" w:rsidP="00D92607">
      <w:pPr>
        <w:spacing w:line="480" w:lineRule="auto"/>
      </w:pPr>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 xml:space="preserve">ethod, because sequences </w:t>
      </w:r>
      <w:r w:rsidR="004C331A">
        <w:lastRenderedPageBreak/>
        <w:t>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92607">
      <w:pPr>
        <w:pStyle w:val="Heading2"/>
        <w:spacing w:line="480" w:lineRule="auto"/>
      </w:pPr>
      <w:r>
        <w:t>Meiotic c</w:t>
      </w:r>
      <w:r w:rsidR="00901FE9">
        <w:t>rossover and non-crossover</w:t>
      </w:r>
      <w:r w:rsidR="00316BAD">
        <w:t xml:space="preserve"> </w:t>
      </w:r>
      <w:r w:rsidR="00901FE9">
        <w:t xml:space="preserve">recombination </w:t>
      </w:r>
    </w:p>
    <w:p w:rsidR="00316BAD" w:rsidRDefault="001C6FE6" w:rsidP="00D92607">
      <w:pPr>
        <w:spacing w:line="480" w:lineRule="auto"/>
      </w:pPr>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double strand breaks (DSBs) </w:t>
      </w:r>
      <w:r w:rsidR="00A47DDF">
        <w:t xml:space="preserve">initiated </w:t>
      </w:r>
      <w:r w:rsidR="00936076">
        <w:t xml:space="preserve">during meiosis are resolved by either crossover (CO) or non-crossover </w:t>
      </w:r>
      <w:r w:rsidR="00936076">
        <w:lastRenderedPageBreak/>
        <w:t>(NCO)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w:t>
      </w:r>
      <w:r w:rsidR="001F7E29">
        <w:t>rsion tracts for further analysi</w:t>
      </w:r>
      <w:r w:rsidR="00936076">
        <w:t>s</w:t>
      </w:r>
      <w:r w:rsidR="003C6843">
        <w:t xml:space="preserve"> (Figure</w:t>
      </w:r>
      <w:r w:rsidR="001F7E29">
        <w:t>s</w:t>
      </w:r>
      <w:r w:rsidR="003C6843">
        <w:t xml:space="preserve"> </w:t>
      </w:r>
      <w:r w:rsidR="00F2574B">
        <w:t xml:space="preserve">S10 and </w:t>
      </w:r>
      <w:r w:rsidR="000118A7">
        <w:t>S11</w:t>
      </w:r>
      <w:r w:rsidR="00F1438E">
        <w:t>)</w:t>
      </w:r>
      <w:r w:rsidR="00936076">
        <w:t>.</w:t>
      </w:r>
    </w:p>
    <w:p w:rsidR="0036655D" w:rsidRDefault="0036655D" w:rsidP="00D92607">
      <w:pPr>
        <w:pStyle w:val="Heading3"/>
        <w:spacing w:line="480" w:lineRule="auto"/>
      </w:pPr>
      <w:r w:rsidRPr="0036655D">
        <w:t>Gene coding regions are warm</w:t>
      </w:r>
      <w:r w:rsidR="00E852B4">
        <w:t>-</w:t>
      </w:r>
      <w:r w:rsidRPr="0036655D">
        <w:t>spots and centromeres are cold</w:t>
      </w:r>
      <w:r w:rsidR="00E852B4">
        <w:t>-</w:t>
      </w:r>
      <w:r w:rsidRPr="0036655D">
        <w:t>spots of CO recombination</w:t>
      </w:r>
    </w:p>
    <w:p w:rsidR="009C2480" w:rsidRDefault="009C2480" w:rsidP="00D92607">
      <w:pPr>
        <w:spacing w:line="480" w:lineRule="auto"/>
      </w:pPr>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7C7B84" w:rsidRDefault="007C7B84" w:rsidP="00D92607">
      <w:pPr>
        <w:spacing w:line="480" w:lineRule="auto"/>
      </w:pPr>
    </w:p>
    <w:p w:rsidR="007C7B84" w:rsidRDefault="007C7B84" w:rsidP="007C7B84">
      <w:pPr>
        <w:keepNext/>
        <w:spacing w:line="480" w:lineRule="auto"/>
      </w:pPr>
      <w:r w:rsidRPr="005F76A4">
        <w:rPr>
          <w:noProof/>
          <w:lang w:eastAsia="en-GB"/>
        </w:rPr>
        <w:lastRenderedPageBreak/>
        <w:drawing>
          <wp:inline distT="0" distB="0" distL="0" distR="0" wp14:anchorId="4F02AE99" wp14:editId="34F10A03">
            <wp:extent cx="5731508" cy="38122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7C7B84" w:rsidRPr="007C7B84" w:rsidRDefault="007C7B84" w:rsidP="007C7B84">
      <w:pPr>
        <w:pStyle w:val="Caption"/>
        <w:spacing w:line="360" w:lineRule="auto"/>
        <w:rPr>
          <w:color w:val="auto"/>
        </w:rPr>
      </w:pPr>
      <w:proofErr w:type="gramStart"/>
      <w:r w:rsidRPr="007C7B84">
        <w:rPr>
          <w:color w:val="auto"/>
        </w:rPr>
        <w:t xml:space="preserve">Figure </w:t>
      </w:r>
      <w:proofErr w:type="gramEnd"/>
      <w:r w:rsidRPr="007C7B84">
        <w:rPr>
          <w:color w:val="auto"/>
        </w:rPr>
        <w:fldChar w:fldCharType="begin"/>
      </w:r>
      <w:r w:rsidRPr="007C7B84">
        <w:rPr>
          <w:color w:val="auto"/>
        </w:rPr>
        <w:instrText xml:space="preserve"> SEQ Figure \* ARABIC </w:instrText>
      </w:r>
      <w:r w:rsidRPr="007C7B84">
        <w:rPr>
          <w:color w:val="auto"/>
        </w:rPr>
        <w:fldChar w:fldCharType="separate"/>
      </w:r>
      <w:r w:rsidR="008A0546">
        <w:rPr>
          <w:noProof/>
          <w:color w:val="auto"/>
        </w:rPr>
        <w:t>3</w:t>
      </w:r>
      <w:r w:rsidRPr="007C7B84">
        <w:rPr>
          <w:color w:val="auto"/>
        </w:rPr>
        <w:fldChar w:fldCharType="end"/>
      </w:r>
      <w:proofErr w:type="gramStart"/>
      <w:r w:rsidRPr="007C7B84">
        <w:rPr>
          <w:b w:val="0"/>
          <w:color w:val="auto"/>
        </w:rPr>
        <w:t>.</w:t>
      </w:r>
      <w:proofErr w:type="gramEnd"/>
      <w:r w:rsidRPr="007C7B84">
        <w:rPr>
          <w:b w:val="0"/>
          <w:color w:val="auto"/>
        </w:rPr>
        <w:t xml:space="preserve"> </w:t>
      </w:r>
      <w:proofErr w:type="gramStart"/>
      <w:r w:rsidRPr="007C7B84">
        <w:rPr>
          <w:b w:val="0"/>
          <w:color w:val="auto"/>
        </w:rPr>
        <w:t>Crossover (CO) and non-crossover (NCO) recombination parameters.</w:t>
      </w:r>
      <w:proofErr w:type="gramEnd"/>
      <w:r w:rsidRPr="007C7B84">
        <w:rPr>
          <w:b w:val="0"/>
          <w:color w:val="auto"/>
        </w:rPr>
        <w:t xml:space="preserve"> </w:t>
      </w:r>
      <w:proofErr w:type="gramStart"/>
      <w:r w:rsidRPr="007C7B84">
        <w:rPr>
          <w:color w:val="auto"/>
        </w:rPr>
        <w:t>A</w:t>
      </w:r>
      <w:r w:rsidRPr="007C7B84">
        <w:rPr>
          <w:b w:val="0"/>
          <w:color w:val="auto"/>
        </w:rPr>
        <w:t>, Genetic map length by cross.</w:t>
      </w:r>
      <w:proofErr w:type="gramEnd"/>
      <w:r w:rsidRPr="007C7B84">
        <w:rPr>
          <w:b w:val="0"/>
          <w:color w:val="auto"/>
        </w:rPr>
        <w:t xml:space="preserve"> For each cross the red line shows the median map length averaged over progeny, boxes extend from lower to upper quartiles. </w:t>
      </w:r>
      <w:proofErr w:type="gramStart"/>
      <w:r w:rsidRPr="007C7B84">
        <w:rPr>
          <w:color w:val="auto"/>
        </w:rPr>
        <w:t>B</w:t>
      </w:r>
      <w:r w:rsidRPr="007C7B84">
        <w:rPr>
          <w:b w:val="0"/>
          <w:color w:val="auto"/>
        </w:rPr>
        <w:t>, Map length by chromosome.</w:t>
      </w:r>
      <w:proofErr w:type="gramEnd"/>
      <w:r w:rsidRPr="007C7B84">
        <w:rPr>
          <w:b w:val="0"/>
          <w:color w:val="auto"/>
        </w:rPr>
        <w:t xml:space="preserve"> Each point shows the mean map length for a single chromosome averaged over progeny, with an error bar showing the 95% confidence interval from 1000 bootstraps. The line shows a fitted linear regression model with shading showing the 95% bootstrap confidence interval. </w:t>
      </w:r>
      <w:proofErr w:type="gramStart"/>
      <w:r w:rsidRPr="007C7B84">
        <w:rPr>
          <w:color w:val="auto"/>
        </w:rPr>
        <w:t>C</w:t>
      </w:r>
      <w:r w:rsidRPr="007C7B84">
        <w:rPr>
          <w:b w:val="0"/>
          <w:color w:val="auto"/>
        </w:rPr>
        <w:t>, CO recombination rate relative to centromere position.</w:t>
      </w:r>
      <w:proofErr w:type="gramEnd"/>
      <w:r w:rsidRPr="007C7B84">
        <w:rPr>
          <w:b w:val="0"/>
          <w:color w:val="auto"/>
        </w:rPr>
        <w:t xml:space="preserve"> Error bars show the 95% confidence interval from 1000 bootstraps. </w:t>
      </w:r>
      <w:proofErr w:type="gramStart"/>
      <w:r w:rsidRPr="007C7B84">
        <w:rPr>
          <w:color w:val="auto"/>
        </w:rPr>
        <w:t>D</w:t>
      </w:r>
      <w:r w:rsidRPr="007C7B84">
        <w:rPr>
          <w:b w:val="0"/>
          <w:color w:val="auto"/>
        </w:rPr>
        <w:t>, NCO tract length distribution.</w:t>
      </w:r>
      <w:proofErr w:type="gramEnd"/>
      <w:r w:rsidRPr="007C7B84">
        <w:rPr>
          <w:b w:val="0"/>
          <w:color w:val="auto"/>
        </w:rPr>
        <w:t xml:space="preserve"> The dashed line shows the distribution of minimal tract lengths that would be observed with the available markers if NCO tract lengths follow a geometric distribution with parameter </w:t>
      </w:r>
      <w:r w:rsidRPr="007C7B84">
        <w:rPr>
          <w:b w:val="0"/>
          <w:i/>
          <w:color w:val="auto"/>
        </w:rPr>
        <w:t>phi</w:t>
      </w:r>
      <w:r w:rsidRPr="007C7B84">
        <w:rPr>
          <w:b w:val="0"/>
          <w:color w:val="auto"/>
        </w:rPr>
        <w:t xml:space="preserve"> = 0.9993. </w:t>
      </w:r>
      <w:r w:rsidRPr="007C7B84">
        <w:rPr>
          <w:color w:val="auto"/>
        </w:rPr>
        <w:t>E</w:t>
      </w:r>
      <w:r w:rsidRPr="007C7B84">
        <w:rPr>
          <w:b w:val="0"/>
          <w:color w:val="auto"/>
        </w:rPr>
        <w:t xml:space="preserve">, Quantile-quantile plot of actual NCO minimal tract lengths versus the expected distribution of minimal tract lengths that would be observed with the given markers if NCO tract length is modelled as a geometric distribution with parameter </w:t>
      </w:r>
      <w:r w:rsidRPr="007C7B84">
        <w:rPr>
          <w:b w:val="0"/>
          <w:i/>
          <w:color w:val="auto"/>
        </w:rPr>
        <w:t>phi</w:t>
      </w:r>
      <w:r w:rsidRPr="007C7B84">
        <w:rPr>
          <w:b w:val="0"/>
          <w:color w:val="auto"/>
        </w:rPr>
        <w:t xml:space="preserve"> = 0.9993. The data fit the model well except for an excess of tracts with minimal length greater than ~3kb. </w:t>
      </w:r>
      <w:r w:rsidRPr="007C7B84">
        <w:rPr>
          <w:color w:val="auto"/>
        </w:rPr>
        <w:t>F</w:t>
      </w:r>
      <w:r w:rsidRPr="007C7B84">
        <w:rPr>
          <w:b w:val="0"/>
          <w:color w:val="auto"/>
        </w:rPr>
        <w:t>, NCO frequency by chromosome, adjusted for incomplete discovery of NCO events. Error bars and linear regression as in panel B.</w:t>
      </w:r>
      <w:r w:rsidRPr="007C7B84">
        <w:rPr>
          <w:color w:val="auto"/>
        </w:rPr>
        <w:br/>
      </w:r>
    </w:p>
    <w:p w:rsidR="00DE05F9" w:rsidRDefault="009C2480" w:rsidP="00D92607">
      <w:pPr>
        <w:spacing w:line="480" w:lineRule="auto"/>
      </w:pPr>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lastRenderedPageBreak/>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92607">
      <w:pPr>
        <w:pStyle w:val="Heading3"/>
        <w:spacing w:line="480" w:lineRule="auto"/>
      </w:pPr>
      <w:r>
        <w:t xml:space="preserve">Estimation of </w:t>
      </w:r>
      <w:r w:rsidR="00DA1B2C">
        <w:t>conversion tract</w:t>
      </w:r>
      <w:r>
        <w:t xml:space="preserve"> length</w:t>
      </w:r>
      <w:r w:rsidR="00C81D5D">
        <w:t xml:space="preserve"> and NCO recombination rate</w:t>
      </w:r>
    </w:p>
    <w:p w:rsidR="005D73F0" w:rsidRDefault="005D73F0" w:rsidP="00D92607">
      <w:pPr>
        <w:spacing w:line="480" w:lineRule="auto"/>
      </w:pPr>
      <w:r>
        <w:t>Of the 331 conversion tracts observed, an outlying group of 7 very long (</w:t>
      </w:r>
      <w:r w:rsidR="007A4A23">
        <w:t>&gt;18kb) complex tracts was found</w:t>
      </w:r>
      <w:r w:rsidR="001F7E29">
        <w:t>,</w:t>
      </w:r>
      <w:r>
        <w:t xml:space="preserve"> described further </w:t>
      </w:r>
      <w:r w:rsidR="00C44746">
        <w:t>below</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 xml:space="preserve">E). Assuming this model for the tract length distribution, simulations predicted an NCO discovery rate of 40% for HB3 x </w:t>
      </w:r>
      <w:r>
        <w:lastRenderedPageBreak/>
        <w:t>Dd2, 39% for 7G8 x GB4, and 45% for 3D7 x HB3 where the marker density was slightly higher</w:t>
      </w:r>
      <w:r w:rsidR="0083016F">
        <w:t xml:space="preserve"> (Supplementary Information)</w:t>
      </w:r>
      <w:r>
        <w:t xml:space="preserve">. </w:t>
      </w:r>
    </w:p>
    <w:p w:rsidR="005D73F0" w:rsidRDefault="005D73F0" w:rsidP="00D92607">
      <w:pPr>
        <w:spacing w:line="480" w:lineRule="auto"/>
      </w:pPr>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D92607">
      <w:pPr>
        <w:spacing w:line="480" w:lineRule="auto"/>
      </w:pPr>
      <w:r>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92607">
      <w:pPr>
        <w:pStyle w:val="Heading2"/>
        <w:spacing w:line="480" w:lineRule="auto"/>
      </w:pPr>
      <w:r>
        <w:lastRenderedPageBreak/>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D92607">
      <w:pPr>
        <w:spacing w:line="480" w:lineRule="auto"/>
      </w:pPr>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1</w:t>
      </w:r>
      <w:r w:rsidR="007D200B">
        <w:rPr>
          <w:i/>
        </w:rPr>
        <w:t>,</w:t>
      </w:r>
      <w:r w:rsidR="005358C1">
        <w:t xml:space="preserve"> conf</w:t>
      </w:r>
      <w:r w:rsidR="00184795">
        <w:t>e</w:t>
      </w:r>
      <w:r w:rsidR="007D200B">
        <w:t>rring</w:t>
      </w:r>
      <w:r w:rsidR="00184795">
        <w:t xml:space="preserve">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rsidR="007D200B">
        <w:t xml:space="preserve">. Amplifications have also been found spanning </w:t>
      </w:r>
      <w:r w:rsidR="007D200B">
        <w:rPr>
          <w:i/>
        </w:rPr>
        <w:t>gch1</w:t>
      </w:r>
      <w:r w:rsidR="007D200B">
        <w:t xml:space="preserve">, conferring resistance to anti-folate drugs, in both HB3 and Dd2, although the amplifications are different in size and extent </w:t>
      </w:r>
      <w:r w:rsidR="007D200B">
        <w:fldChar w:fldCharType="begin" w:fldLock="1"/>
      </w:r>
      <w:r w:rsidR="007D200B">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7D200B">
        <w:fldChar w:fldCharType="separate"/>
      </w:r>
      <w:r w:rsidR="007D200B" w:rsidRPr="0069322E">
        <w:rPr>
          <w:noProof/>
        </w:rPr>
        <w:t>(Kidgell et al. 2006; Heinberg et al. 2013)</w:t>
      </w:r>
      <w:r w:rsidR="007D200B">
        <w:fldChar w:fldCharType="end"/>
      </w:r>
      <w:r w:rsidR="007D200B">
        <w:t xml:space="preserve">. The </w:t>
      </w:r>
      <w:r w:rsidR="007D200B">
        <w:rPr>
          <w:i/>
        </w:rPr>
        <w:t>mdr1</w:t>
      </w:r>
      <w:r w:rsidR="007D200B">
        <w:t xml:space="preserve"> amplification segregates in the progeny of HB3xDd2 </w:t>
      </w:r>
      <w:r w:rsidR="007D200B">
        <w:fldChar w:fldCharType="begin" w:fldLock="1"/>
      </w:r>
      <w:r w:rsidR="007D200B">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7D200B">
        <w:fldChar w:fldCharType="separate"/>
      </w:r>
      <w:r w:rsidR="007D200B" w:rsidRPr="00686F39">
        <w:rPr>
          <w:noProof/>
        </w:rPr>
        <w:t>(Wellems et al. 1990)</w:t>
      </w:r>
      <w:r w:rsidR="007D200B">
        <w:fldChar w:fldCharType="end"/>
      </w:r>
      <w:r w:rsidR="007D200B">
        <w:t xml:space="preserve"> and there is evidence that meiotic recombination has occurred within the amplified region in two progeny clones</w:t>
      </w:r>
      <w:r w:rsidR="00686F39">
        <w:t xml:space="preserve">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8A0546" w:rsidRDefault="00A87178" w:rsidP="00D92607">
      <w:pPr>
        <w:spacing w:line="480" w:lineRule="auto"/>
      </w:pPr>
      <w:r w:rsidRPr="00143AF4">
        <w:t>We</w:t>
      </w:r>
      <w:r>
        <w:t xml:space="preserve"> combined data on depth of sequence coverage </w:t>
      </w:r>
      <w:r w:rsidR="00143AF4">
        <w:t>and the orientation of ali</w:t>
      </w:r>
      <w:r w:rsidR="00A6066D">
        <w:t>gned read pairs</w:t>
      </w:r>
      <w:r w:rsidR="00143AF4">
        <w:t xml:space="preserve"> to study CNV alleles in all three crosses</w:t>
      </w:r>
      <w:r w:rsidR="001F7E29">
        <w:t xml:space="preserve"> (Methods and Supplementary Information)</w:t>
      </w:r>
      <w:r w:rsidR="00143AF4">
        <w:t>.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w:t>
      </w:r>
      <w:r w:rsidR="001F7E29">
        <w:t xml:space="preserve">(version 3) </w:t>
      </w:r>
      <w:r w:rsidR="005A420C">
        <w:t xml:space="preserve">has only a single copy of </w:t>
      </w:r>
      <w:r w:rsidR="005A420C" w:rsidRPr="005A420C">
        <w:rPr>
          <w:i/>
        </w:rPr>
        <w:t>gch1</w:t>
      </w:r>
      <w:r w:rsidR="005A420C">
        <w:t>, however all studies including ours have found t</w:t>
      </w:r>
      <w:r w:rsidR="005A420C" w:rsidRPr="005A420C">
        <w:t>he</w:t>
      </w:r>
      <w:r w:rsidR="005A420C">
        <w:t xml:space="preserve"> 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xml:space="preserve">. </w:t>
      </w:r>
      <w:r w:rsidR="00B25677">
        <w:t>We found that a</w:t>
      </w:r>
      <w:r w:rsidR="00DC4403">
        <w:t>lignment of re</w:t>
      </w:r>
      <w:r w:rsidR="00F57A57">
        <w:t xml:space="preserve">ad pairs indicated that </w:t>
      </w:r>
      <w:r w:rsidR="00DC4403">
        <w:t xml:space="preserve">the Dd2 amplification was arranged as a tandem </w:t>
      </w:r>
    </w:p>
    <w:p w:rsidR="008A0546" w:rsidRDefault="008A0546" w:rsidP="00D92607">
      <w:pPr>
        <w:spacing w:line="480" w:lineRule="auto"/>
      </w:pPr>
      <w:bookmarkStart w:id="6" w:name="_GoBack"/>
      <w:bookmarkEnd w:id="6"/>
      <w:r>
        <w:rPr>
          <w:noProof/>
        </w:rPr>
        <w:lastRenderedPageBreak/>
        <w:pict>
          <v:shapetype id="_x0000_t202" coordsize="21600,21600" o:spt="202" path="m,l,21600r21600,l21600,xe">
            <v:stroke joinstyle="miter"/>
            <v:path gradientshapeok="t" o:connecttype="rect"/>
          </v:shapetype>
          <v:shape id="_x0000_s1026" type="#_x0000_t202" style="position:absolute;margin-left:0;margin-top:594.85pt;width:451.3pt;height:.05pt;z-index:251660288;mso-position-horizontal-relative:text;mso-position-vertical-relative:text" stroked="f">
            <v:textbox style="mso-fit-shape-to-text:t" inset="0,0,0,0">
              <w:txbxContent>
                <w:p w:rsidR="008A0546" w:rsidRPr="00FE299C" w:rsidRDefault="008A0546" w:rsidP="00F422C1">
                  <w:pPr>
                    <w:pStyle w:val="Caption"/>
                    <w:spacing w:line="276" w:lineRule="auto"/>
                    <w:rPr>
                      <w:b w:val="0"/>
                      <w:noProof/>
                      <w:color w:val="auto"/>
                    </w:rPr>
                  </w:pPr>
                  <w:proofErr w:type="gramStart"/>
                  <w:r w:rsidRPr="00FE299C">
                    <w:rPr>
                      <w:color w:val="auto"/>
                    </w:rPr>
                    <w:t xml:space="preserve">Figure </w:t>
                  </w:r>
                  <w:r w:rsidRPr="00FE299C">
                    <w:rPr>
                      <w:color w:val="auto"/>
                    </w:rPr>
                    <w:fldChar w:fldCharType="begin"/>
                  </w:r>
                  <w:r w:rsidRPr="00FE299C">
                    <w:rPr>
                      <w:color w:val="auto"/>
                    </w:rPr>
                    <w:instrText xml:space="preserve"> SEQ Figure \* ARABIC </w:instrText>
                  </w:r>
                  <w:r w:rsidRPr="00FE299C">
                    <w:rPr>
                      <w:color w:val="auto"/>
                    </w:rPr>
                    <w:fldChar w:fldCharType="separate"/>
                  </w:r>
                  <w:r w:rsidRPr="00FE299C">
                    <w:rPr>
                      <w:noProof/>
                      <w:color w:val="auto"/>
                    </w:rPr>
                    <w:t>4</w:t>
                  </w:r>
                  <w:r w:rsidRPr="00FE299C">
                    <w:rPr>
                      <w:color w:val="auto"/>
                    </w:rPr>
                    <w:fldChar w:fldCharType="end"/>
                  </w:r>
                  <w:r w:rsidRPr="00FE299C">
                    <w:rPr>
                      <w:color w:val="auto"/>
                    </w:rPr>
                    <w:t>.</w:t>
                  </w:r>
                  <w:proofErr w:type="gramEnd"/>
                  <w:r w:rsidRPr="00FE299C">
                    <w:rPr>
                      <w:color w:val="auto"/>
                    </w:rPr>
                    <w:t xml:space="preserve"> </w:t>
                  </w:r>
                  <w:proofErr w:type="gramStart"/>
                  <w:r w:rsidRPr="00FE299C">
                    <w:rPr>
                      <w:b w:val="0"/>
                      <w:color w:val="auto"/>
                    </w:rPr>
                    <w:t xml:space="preserve">Copy number variation and recombination spanning the anti-folate resistance gene </w:t>
                  </w:r>
                  <w:r w:rsidRPr="00FE299C">
                    <w:rPr>
                      <w:b w:val="0"/>
                      <w:i/>
                      <w:color w:val="auto"/>
                    </w:rPr>
                    <w:t xml:space="preserve">gch1 </w:t>
                  </w:r>
                  <w:r w:rsidRPr="00FE299C">
                    <w:rPr>
                      <w:b w:val="0"/>
                      <w:color w:val="auto"/>
                    </w:rPr>
                    <w:t>on chromosome 12.</w:t>
                  </w:r>
                  <w:proofErr w:type="gramEnd"/>
                  <w:r w:rsidRPr="00FE299C">
                    <w:rPr>
                      <w:b w:val="0"/>
                      <w:color w:val="auto"/>
                    </w:rPr>
                    <w:t xml:space="preserve"> </w:t>
                  </w:r>
                  <w:r w:rsidRPr="00FE299C">
                    <w:rPr>
                      <w:color w:val="auto"/>
                    </w:rPr>
                    <w:t>A</w:t>
                  </w:r>
                  <w:r w:rsidRPr="00FE299C">
                    <w:rPr>
                      <w:b w:val="0"/>
                      <w:color w:val="auto"/>
                    </w:rPr>
                    <w:t xml:space="preserve">, CNVs in the 3D7 and </w:t>
                  </w:r>
                  <w:proofErr w:type="gramStart"/>
                  <w:r w:rsidRPr="00FE299C">
                    <w:rPr>
                      <w:b w:val="0"/>
                      <w:color w:val="auto"/>
                    </w:rPr>
                    <w:t>HB3(</w:t>
                  </w:r>
                  <w:proofErr w:type="gramEnd"/>
                  <w:r w:rsidRPr="00FE299C">
                    <w:rPr>
                      <w:b w:val="0"/>
                      <w:color w:val="auto"/>
                    </w:rPr>
                    <w:t xml:space="preserve">1) parental clones; </w:t>
                  </w:r>
                  <w:r w:rsidRPr="00FE299C">
                    <w:rPr>
                      <w:rFonts w:ascii="Times New Roman" w:hAnsi="Times New Roman" w:cs="Times New Roman"/>
                      <w:b w:val="0"/>
                      <w:i/>
                      <w:color w:val="auto"/>
                    </w:rPr>
                    <w:t>α</w:t>
                  </w:r>
                  <w:r w:rsidRPr="00FE299C">
                    <w:rPr>
                      <w:b w:val="0"/>
                      <w:color w:val="auto"/>
                    </w:rPr>
                    <w:t xml:space="preserve"> labels the segment amplified in HB3, </w:t>
                  </w:r>
                  <w:r w:rsidRPr="00FE299C">
                    <w:rPr>
                      <w:rFonts w:ascii="Times New Roman" w:hAnsi="Times New Roman" w:cs="Times New Roman"/>
                      <w:b w:val="0"/>
                      <w:i/>
                      <w:color w:val="auto"/>
                    </w:rPr>
                    <w:t>β</w:t>
                  </w:r>
                  <w:r w:rsidRPr="00FE299C">
                    <w:rPr>
                      <w:rFonts w:ascii="Times New Roman" w:hAnsi="Times New Roman" w:cs="Times New Roman"/>
                      <w:b w:val="0"/>
                      <w:color w:val="auto"/>
                    </w:rPr>
                    <w:t xml:space="preserve"> </w:t>
                  </w:r>
                  <w:r w:rsidRPr="00FE299C">
                    <w:rPr>
                      <w:b w:val="0"/>
                      <w:color w:val="auto"/>
                    </w:rPr>
                    <w:t xml:space="preserve">labels the segment amplified in 3D7. </w:t>
                  </w:r>
                  <w:r w:rsidRPr="00FE299C">
                    <w:rPr>
                      <w:color w:val="auto"/>
                    </w:rPr>
                    <w:t>B</w:t>
                  </w:r>
                  <w:r w:rsidRPr="00FE299C">
                    <w:rPr>
                      <w:b w:val="0"/>
                      <w:color w:val="auto"/>
                    </w:rPr>
                    <w:t xml:space="preserve">, CNV and recombination in clone C06, progeny of 3D7xHB3. </w:t>
                  </w:r>
                  <w:r w:rsidRPr="00FE299C">
                    <w:rPr>
                      <w:color w:val="auto"/>
                    </w:rPr>
                    <w:t>C</w:t>
                  </w:r>
                  <w:r w:rsidRPr="00FE299C">
                    <w:rPr>
                      <w:b w:val="0"/>
                      <w:color w:val="auto"/>
                    </w:rPr>
                    <w:t xml:space="preserve">, CNV and recombination in clone C05, progeny of 3D7xHB3. </w:t>
                  </w:r>
                  <w:r w:rsidRPr="00FE299C">
                    <w:rPr>
                      <w:color w:val="auto"/>
                    </w:rPr>
                    <w:t>D</w:t>
                  </w:r>
                  <w:r w:rsidRPr="00FE299C">
                    <w:rPr>
                      <w:b w:val="0"/>
                      <w:color w:val="auto"/>
                    </w:rPr>
                    <w:t xml:space="preserve">, CNVs in the </w:t>
                  </w:r>
                  <w:proofErr w:type="gramStart"/>
                  <w:r w:rsidRPr="00FE299C">
                    <w:rPr>
                      <w:b w:val="0"/>
                      <w:color w:val="auto"/>
                    </w:rPr>
                    <w:t>HB3(</w:t>
                  </w:r>
                  <w:proofErr w:type="gramEnd"/>
                  <w:r w:rsidRPr="00FE299C">
                    <w:rPr>
                      <w:b w:val="0"/>
                      <w:color w:val="auto"/>
                    </w:rPr>
                    <w:t xml:space="preserve">2) and Dd2 parental clones; </w:t>
                  </w:r>
                  <w:r w:rsidRPr="00FE299C">
                    <w:rPr>
                      <w:rFonts w:ascii="Times New Roman" w:hAnsi="Times New Roman" w:cs="Times New Roman"/>
                      <w:b w:val="0"/>
                      <w:i/>
                      <w:color w:val="auto"/>
                    </w:rPr>
                    <w:t>γ</w:t>
                  </w:r>
                  <w:r w:rsidRPr="00FE299C">
                    <w:rPr>
                      <w:b w:val="0"/>
                      <w:color w:val="auto"/>
                    </w:rPr>
                    <w:t xml:space="preserve"> labels the segment amplified in Dd2. Note that the HB3(2) clone sequenced here appears to be a mixture, with a minor proportion of parasites carrying the amplification visible in HB3(1). </w:t>
                  </w:r>
                  <w:r w:rsidRPr="00FE299C">
                    <w:rPr>
                      <w:color w:val="auto"/>
                    </w:rPr>
                    <w:t>E</w:t>
                  </w:r>
                  <w:r w:rsidRPr="00FE299C">
                    <w:rPr>
                      <w:b w:val="0"/>
                      <w:color w:val="auto"/>
                    </w:rPr>
                    <w:t xml:space="preserve">, CNV and recombination in clone CH3_61, progeny of HB3xDd2. </w:t>
                  </w:r>
                  <w:r w:rsidRPr="00FE299C">
                    <w:rPr>
                      <w:color w:val="auto"/>
                    </w:rPr>
                    <w:t>F</w:t>
                  </w:r>
                  <w:r w:rsidRPr="00FE299C">
                    <w:rPr>
                      <w:b w:val="0"/>
                      <w:color w:val="auto"/>
                    </w:rPr>
                    <w:t>, CNVs in the 7G8 and GB4 parental clones. C</w:t>
                  </w:r>
                  <w:r w:rsidR="00F422C1" w:rsidRPr="00FE299C">
                    <w:rPr>
                      <w:b w:val="0"/>
                      <w:color w:val="auto"/>
                    </w:rPr>
                    <w:t xml:space="preserve">N = copy number, </w:t>
                  </w:r>
                  <w:r w:rsidRPr="00FE299C">
                    <w:rPr>
                      <w:b w:val="0"/>
                      <w:color w:val="auto"/>
                    </w:rPr>
                    <w:t>markers show normalised read counts within 300bp non-overlapping windows, excluding windows where GC content was below 20%; solid black li</w:t>
                  </w:r>
                  <w:r w:rsidR="00F422C1" w:rsidRPr="00FE299C">
                    <w:rPr>
                      <w:b w:val="0"/>
                      <w:color w:val="auto"/>
                    </w:rPr>
                    <w:t xml:space="preserve">ne is the copy number </w:t>
                  </w:r>
                  <w:r w:rsidRPr="00FE299C">
                    <w:rPr>
                      <w:b w:val="0"/>
                      <w:color w:val="auto"/>
                    </w:rPr>
                    <w:t>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AB = fraction of aligned reads containing the first parent’s allele.</w:t>
                  </w:r>
                </w:p>
              </w:txbxContent>
            </v:textbox>
            <w10:wrap type="topAndBottom"/>
          </v:shape>
        </w:pict>
      </w:r>
      <w:r w:rsidRPr="005F76A4">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-609600</wp:posOffset>
            </wp:positionV>
            <wp:extent cx="5731510" cy="8107045"/>
            <wp:effectExtent l="0" t="0" r="0" b="0"/>
            <wp:wrapTopAndBottom/>
            <wp:docPr id="10"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8107045"/>
                    </a:xfrm>
                    <a:prstGeom prst="rect">
                      <a:avLst/>
                    </a:prstGeom>
                  </pic:spPr>
                </pic:pic>
              </a:graphicData>
            </a:graphic>
            <wp14:sizeRelH relativeFrom="page">
              <wp14:pctWidth>0</wp14:pctWidth>
            </wp14:sizeRelH>
            <wp14:sizeRelV relativeFrom="page">
              <wp14:pctHeight>0</wp14:pctHeight>
            </wp14:sizeRelV>
          </wp:anchor>
        </w:drawing>
      </w:r>
    </w:p>
    <w:p w:rsidR="004925F5" w:rsidRDefault="00DC4403" w:rsidP="00D92607">
      <w:pPr>
        <w:spacing w:line="480" w:lineRule="auto"/>
      </w:pPr>
      <w:proofErr w:type="gramStart"/>
      <w:r>
        <w:lastRenderedPageBreak/>
        <w:t>inversion</w:t>
      </w:r>
      <w:proofErr w:type="gramEnd"/>
      <w:r w:rsidR="00D24847">
        <w:t xml:space="preserve"> (Figure 4D)</w:t>
      </w:r>
      <w:r>
        <w:t xml:space="preserve"> whereas 3D7, HB3 and 7G8 carried tandem </w:t>
      </w:r>
      <w:r w:rsidR="0083016F">
        <w:t>arrays</w:t>
      </w:r>
      <w:r w:rsidR="00D24847">
        <w:t xml:space="preserve"> (Figures 4A and 4E)</w:t>
      </w:r>
      <w:r>
        <w:t xml:space="preserve"> adding further evid</w:t>
      </w:r>
      <w:r w:rsidR="00EC5F6F">
        <w:t>ence for the independent origin</w:t>
      </w:r>
      <w:r w:rsidR="00E048FA">
        <w:t xml:space="preserve"> of these CNV alleles</w:t>
      </w:r>
      <w:r>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B25677">
        <w:t xml:space="preserve">leading to a mixed colony of parasites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92607">
      <w:pPr>
        <w:pStyle w:val="Heading4"/>
        <w:spacing w:line="480" w:lineRule="auto"/>
      </w:pPr>
      <w:r>
        <w:t xml:space="preserve">Recombination within amplified regions leads to pseudo-heterozygosity </w:t>
      </w:r>
    </w:p>
    <w:p w:rsidR="00685935" w:rsidRDefault="00581853" w:rsidP="00D92607">
      <w:pPr>
        <w:spacing w:line="480" w:lineRule="auto"/>
      </w:pPr>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D92607">
      <w:pPr>
        <w:spacing w:line="480" w:lineRule="auto"/>
      </w:pPr>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w:t>
      </w:r>
      <w:r>
        <w:lastRenderedPageBreak/>
        <w:t>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w:t>
      </w:r>
      <w:r w:rsidR="00B25677">
        <w:t xml:space="preserve">at least </w:t>
      </w:r>
      <w:r>
        <w:t xml:space="preserve">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D92607">
      <w:pPr>
        <w:pStyle w:val="Heading2"/>
        <w:spacing w:line="480" w:lineRule="auto"/>
      </w:pPr>
      <w:r>
        <w:t>A web application to facilitate data exploration and re-use</w:t>
      </w:r>
    </w:p>
    <w:p w:rsidR="00F428AA" w:rsidRPr="00D24847" w:rsidRDefault="00DC6B87" w:rsidP="00D92607">
      <w:pPr>
        <w:spacing w:line="480" w:lineRule="auto"/>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5" w:history="1">
        <w:r w:rsidR="00F428AA" w:rsidRPr="006F0B99">
          <w:rPr>
            <w:rStyle w:val="Hyperlink"/>
          </w:rPr>
          <w:t>http://www.malariagen.net/apps/pf-crosses</w:t>
        </w:r>
      </w:hyperlink>
      <w:r w:rsidR="00D24847">
        <w:t>.</w:t>
      </w:r>
      <w:r w:rsidR="00F428AA">
        <w:t xml:space="preserve"> </w:t>
      </w:r>
      <w:r w:rsidR="00D24847">
        <w:t>The introduction page (Figure 5A) provides navig</w:t>
      </w:r>
      <w:r w:rsidR="00B25677">
        <w:t>ation to a set of tools, including</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w:t>
      </w:r>
      <w:r w:rsidR="0043059A">
        <w:lastRenderedPageBreak/>
        <w:t xml:space="preserve">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D92607">
      <w:pPr>
        <w:pStyle w:val="Heading1"/>
        <w:spacing w:line="480" w:lineRule="auto"/>
      </w:pPr>
      <w:r>
        <w:t>Discussion</w:t>
      </w:r>
    </w:p>
    <w:p w:rsidR="00FD7AB6" w:rsidRDefault="00295C75" w:rsidP="00D92607">
      <w:pPr>
        <w:spacing w:line="480" w:lineRule="auto"/>
      </w:pPr>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w:t>
      </w:r>
      <w:r w:rsidR="00A47DDF">
        <w:t xml:space="preserve"> (</w:t>
      </w:r>
      <w:proofErr w:type="spellStart"/>
      <w:r w:rsidR="00A47DDF">
        <w:t>Wellems</w:t>
      </w:r>
      <w:proofErr w:type="spellEnd"/>
      <w:r w:rsidR="00A47DDF">
        <w:t>, pers. comm.)</w:t>
      </w:r>
      <w:r w:rsidR="00FD7AB6">
        <w:t xml:space="preserve">.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A47DDF">
        <w:t xml:space="preserve"> </w:t>
      </w:r>
      <w:r w:rsidR="00A47DDF">
        <w:fldChar w:fldCharType="begin" w:fldLock="1"/>
      </w:r>
      <w:r w:rsidR="00716BD6">
        <w:instrText>ADDIN CSL_CITATION { "citationItems" : [ { "id" : "ITEM-1", "itemData" : { "DOI" : "10.1038/nmeth.3432", "ISSN" : "1548-7105", "PMID" : "26030447", "abstract" : "Genetic crosses of phenotypically distinct strains of the human malaria parasite Plasmodium falciparum are a powerful tool for identifying genes controlling drug resistance and other key phenotypes. Previous studies relied on the isolation of recombinant parasites from splenectomized chimpanzees, a research avenue that is no longer available. Here we demonstrate that human-liver chimeric mice support recovery of recombinant progeny for the identification of genetic determinants of parasite traits and adaptations.", "author" : [ { "dropping-particle" : "", "family" : "Vaughan", "given" : "Ashley M", "non-dropping-particle" : "", "parse-names" : false, "suffix" : "" }, { "dropping-particle" : "", "family" : "Pinapati", "given" : "Richard S", "non-dropping-particle" : "", "parse-names" : false, "suffix" : "" }, { "dropping-particle" : "", "family" : "Cheeseman", "given" : "Ian H", "non-dropping-particle" : "", "parse-names" : false, "suffix" : "" }, { "dropping-particle" : "", "family" : "Camargo", "given" : "Nelly", "non-dropping-particle" : "", "parse-names" : false, "suffix" : "" }, { "dropping-particle" : "", "family" : "Fishbaugher", "given" : "Matthew", "non-dropping-particle" : "", "parse-names" : false, "suffix" : "" }, { "dropping-particle" : "", "family" : "Checkley", "given" : "Lisa A", "non-dropping-particle" : "", "parse-names" : false, "suffix" : "" }, { "dropping-particle" : "", "family" : "Nair", "given" : "Shalini", "non-dropping-particle" : "", "parse-names" : false, "suffix" : "" }, { "dropping-particle" : "", "family" : "Hutyra", "given" : "Carolyn A", "non-dropping-particle" : "", "parse-names" : false, "suffix" : "" }, { "dropping-particle" : "", "family" : "Nosten", "given" : "Fran\u00e7ois H", "non-dropping-particle" : "", "parse-names" : false, "suffix" : "" }, { "dropping-particle" : "", "family" : "Anderson", "given" : "Timothy J C", "non-dropping-particle" : "", "parse-names" : false, "suffix" : "" }, { "dropping-particle" : "", "family" : "Ferdig", "given" : "Michael T", "non-dropping-particle" : "", "parse-names" : false, "suffix" : "" }, { "dropping-particle" : "", "family" : "Kappe", "given" : "Stefan H I", "non-dropping-particle" : "", "parse-names" : false, "suffix" : "" } ], "container-title" : "Nature methods", "id" : "ITEM-1", "issue" : "7", "issued" : { "date-parts" : [ [ "2015", "6", "1" ] ] }, "page" : "631-633", "publisher" : "Nature Publishing Group, a division of Macmillan Publishers Limited. All Rights Reserved.", "title" : "Plasmodium falciparum genetic crosses in a humanized mouse model.", "title-short" : "Nat Meth", "type" : "article-journal", "volume" : "12" }, "uris" : [ "http://www.mendeley.com/documents/?uuid=d7b5e195-5700-4f41-89b1-fed5467d2e85" ] } ], "mendeley" : { "formattedCitation" : "(Vaughan et al. 2015)", "plainTextFormattedCitation" : "(Vaughan et al. 2015)", "previouslyFormattedCitation" : "(Vaughan et al. 2015)" }, "properties" : { "noteIndex" : 0 }, "schema" : "https://github.com/citation-style-language/schema/raw/master/csl-citation.json" }</w:instrText>
      </w:r>
      <w:r w:rsidR="00A47DDF">
        <w:fldChar w:fldCharType="separate"/>
      </w:r>
      <w:r w:rsidR="00A47DDF" w:rsidRPr="00A47DDF">
        <w:rPr>
          <w:noProof/>
        </w:rPr>
        <w:t>(Vaughan et al. 2015)</w:t>
      </w:r>
      <w:r w:rsidR="00A47DDF">
        <w:fldChar w:fldCharType="end"/>
      </w:r>
      <w:r w:rsidR="00FD7AB6">
        <w:t xml:space="preserve"> opening the possibility for many new crosses to be generated. </w:t>
      </w:r>
      <w:r w:rsidR="00BD2070">
        <w:t xml:space="preserve">It would </w:t>
      </w:r>
      <w:r w:rsidR="00EC7A42">
        <w:t xml:space="preserve">significantly </w:t>
      </w:r>
      <w:r w:rsidR="00BD2070">
        <w:t xml:space="preserve">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D92607">
      <w:pPr>
        <w:spacing w:line="480" w:lineRule="auto"/>
      </w:pPr>
      <w:r>
        <w:lastRenderedPageBreak/>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EC7A42">
        <w:t>However, 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w:t>
      </w:r>
      <w:r w:rsidR="00EC7A42">
        <w:t xml:space="preserve">are clearly capable of dealing with highly divergent sequences and </w:t>
      </w:r>
      <w:r w:rsidR="00CF7888">
        <w:t xml:space="preserve">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D92607">
      <w:pPr>
        <w:spacing w:line="480" w:lineRule="auto"/>
      </w:pPr>
      <w:r>
        <w:t xml:space="preserve">The </w:t>
      </w:r>
      <w:r w:rsidR="0042585D">
        <w:t xml:space="preserve">SNP and INDEL variants </w:t>
      </w:r>
      <w:r w:rsidR="00A42392">
        <w:t>presented here could be used as a truth set to calibrate variant calling and filtering methods</w:t>
      </w:r>
      <w:r w:rsidR="00EC7A42">
        <w:t xml:space="preserve"> in other studies</w:t>
      </w:r>
      <w:r w:rsidR="00295C75">
        <w:t xml:space="preserve">,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w:t>
      </w:r>
      <w:r w:rsidR="00AF1774">
        <w:t xml:space="preserve"> </w:t>
      </w:r>
      <w:r w:rsidR="00BF5E41">
        <w:t xml:space="preserve">HB3 draft assembly and </w:t>
      </w:r>
      <w:r w:rsidR="00BF5E41">
        <w:lastRenderedPageBreak/>
        <w:t xml:space="preserve">published </w:t>
      </w:r>
      <w:r w:rsidR="00AF1774">
        <w:t>gene</w:t>
      </w:r>
      <w:r w:rsidR="00BF5E41">
        <w:t xml:space="preserv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w:t>
      </w:r>
      <w:r w:rsidR="00AF1774">
        <w:t>and can be accurately evaluated.</w:t>
      </w:r>
    </w:p>
    <w:p w:rsidR="00FA1985" w:rsidRPr="00757C5C" w:rsidRDefault="00FA1985" w:rsidP="00D92607">
      <w:pPr>
        <w:spacing w:line="480" w:lineRule="auto"/>
      </w:pPr>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w:t>
      </w:r>
      <w:r w:rsidR="00AF1774">
        <w:t>The data on non-coding variation presented here could provide a starting point for f</w:t>
      </w:r>
      <w:r w:rsidR="00E551B5">
        <w:t xml:space="preserve">urther experimental work to explore the impact of non-coding variation in </w:t>
      </w:r>
      <w:r w:rsidR="00E551B5" w:rsidRPr="00E551B5">
        <w:rPr>
          <w:i/>
        </w:rPr>
        <w:t>P. falciparum</w:t>
      </w:r>
      <w:r w:rsidR="00E551B5">
        <w:t>.</w:t>
      </w:r>
    </w:p>
    <w:p w:rsidR="00DE2B43" w:rsidRDefault="00E551B5" w:rsidP="00D92607">
      <w:pPr>
        <w:spacing w:line="480" w:lineRule="auto"/>
      </w:pPr>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w:t>
      </w:r>
      <w:r w:rsidR="00AA140E">
        <w:lastRenderedPageBreak/>
        <w:t xml:space="preserve">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D92607">
      <w:pPr>
        <w:spacing w:line="480" w:lineRule="auto"/>
      </w:pPr>
      <w:r>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will be required to robustly evaluate the support for different hotspot mode</w:t>
      </w:r>
      <w:r w:rsidR="00414247">
        <w:t>ls</w:t>
      </w:r>
      <w:r w:rsidR="00AF1774">
        <w:t xml:space="preserve"> in P. falciparum. We observed a small but significant bias towards recombination within coding </w:t>
      </w:r>
      <w:proofErr w:type="gramStart"/>
      <w:r w:rsidR="00AF1774">
        <w:t>regions,</w:t>
      </w:r>
      <w:proofErr w:type="gramEnd"/>
      <w:r w:rsidR="00AF1774">
        <w:t xml:space="preserve"> however</w:t>
      </w:r>
      <w:r w:rsidR="00ED4067">
        <w:t xml:space="preserve"> </w:t>
      </w:r>
      <w:r w:rsidR="00414247">
        <w:t>recombination events</w:t>
      </w:r>
      <w:r w:rsidR="0084749C">
        <w:t xml:space="preserve"> </w:t>
      </w:r>
      <w:r w:rsidR="00AF1774">
        <w:t>were frequent</w:t>
      </w:r>
      <w:r w:rsidR="0084749C">
        <w:t xml:space="preserve">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92607">
      <w:pPr>
        <w:spacing w:line="480" w:lineRule="auto"/>
      </w:pPr>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w:t>
      </w:r>
      <w:r w:rsidR="00AF1774">
        <w:t>pseudo-</w:t>
      </w:r>
      <w:r>
        <w:t xml:space="preserve">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w:t>
      </w:r>
      <w:r w:rsidR="00DF4B94">
        <w:lastRenderedPageBreak/>
        <w:t>provide a mechanism by which both mutant and wild type alleles are acquired</w:t>
      </w:r>
      <w:r w:rsidR="00AF1774">
        <w:t xml:space="preserve"> and could both be expressed simultaneously</w:t>
      </w:r>
      <w:r w:rsidR="00DF4B94">
        <w:t xml:space="preserve">, compensating for fitness costs associated with </w:t>
      </w:r>
      <w:r w:rsidR="00D329C7">
        <w:t xml:space="preserve">either </w:t>
      </w:r>
      <w:r w:rsidR="00DF4B94">
        <w:t xml:space="preserve">allele alone. </w:t>
      </w:r>
      <w:r w:rsidR="005B6E1D">
        <w:t xml:space="preserve">The acquisition of both alleles </w:t>
      </w:r>
      <w:r w:rsidR="00AF1774">
        <w:t xml:space="preserve">also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AF1774">
        <w:t>Over a longer timescale, g</w:t>
      </w:r>
      <w:r w:rsidR="00090410">
        <w:t>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D92607">
      <w:pPr>
        <w:spacing w:line="480" w:lineRule="auto"/>
      </w:pPr>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AF1774">
        <w:t>populations.</w:t>
      </w:r>
    </w:p>
    <w:p w:rsidR="00D51DCC" w:rsidRDefault="003C72B7" w:rsidP="00D92607">
      <w:pPr>
        <w:spacing w:line="480" w:lineRule="auto"/>
      </w:pPr>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D92607">
      <w:pPr>
        <w:pStyle w:val="Heading1"/>
        <w:spacing w:line="480" w:lineRule="auto"/>
      </w:pPr>
      <w:r>
        <w:lastRenderedPageBreak/>
        <w:t>Methods</w:t>
      </w:r>
    </w:p>
    <w:p w:rsidR="00AC67A5" w:rsidRDefault="00AC67A5" w:rsidP="00D92607">
      <w:pPr>
        <w:pStyle w:val="Heading2"/>
        <w:spacing w:line="480" w:lineRule="auto"/>
      </w:pPr>
      <w:r>
        <w:t>Whole genome sequencing</w:t>
      </w:r>
    </w:p>
    <w:p w:rsidR="00AC67A5" w:rsidRDefault="00AC67A5" w:rsidP="00D92607">
      <w:pPr>
        <w:spacing w:line="480" w:lineRule="auto"/>
      </w:pPr>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D92607">
      <w:pPr>
        <w:pStyle w:val="Heading2"/>
        <w:spacing w:line="480" w:lineRule="auto"/>
      </w:pPr>
      <w:r>
        <w:t>Variant calling</w:t>
      </w:r>
    </w:p>
    <w:p w:rsidR="00536C74" w:rsidRDefault="000E06C9" w:rsidP="00D92607">
      <w:pPr>
        <w:spacing w:line="480" w:lineRule="auto"/>
      </w:pPr>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w:t>
      </w:r>
      <w:r w:rsidR="00B34836">
        <w:t xml:space="preserve"> using the Unified </w:t>
      </w:r>
      <w:proofErr w:type="spellStart"/>
      <w:r w:rsidR="00B34836">
        <w:t>Genotyper</w:t>
      </w:r>
      <w:proofErr w:type="spellEnd"/>
      <w:r w:rsidR="00077681">
        <w:t>,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w:t>
      </w:r>
      <w:r w:rsidR="00B34836">
        <w:t xml:space="preserve">Mendelian errors were used to calibrate variant filtering methods. </w:t>
      </w:r>
      <w:r w:rsidR="00536C74">
        <w:t>Filtered variants from both calling methods were t</w:t>
      </w:r>
      <w:r w:rsidR="00CD5EC1">
        <w:t xml:space="preserve">hen combined into a single </w:t>
      </w:r>
      <w:r w:rsidR="00536C74">
        <w:t>set of segregating variation for each cross.</w:t>
      </w:r>
      <w:r w:rsidR="00B34836">
        <w:t xml:space="preserve"> Further details are provided in the Supplementary Information.</w:t>
      </w:r>
      <w:r w:rsidR="00EE5A51">
        <w:t xml:space="preserve"> </w:t>
      </w:r>
    </w:p>
    <w:p w:rsidR="0077582B" w:rsidRDefault="0077582B" w:rsidP="00D92607">
      <w:pPr>
        <w:pStyle w:val="Heading2"/>
        <w:spacing w:line="480" w:lineRule="auto"/>
      </w:pPr>
      <w:r>
        <w:t>Inference of CO and NCO recombination events and conversion tracts</w:t>
      </w:r>
    </w:p>
    <w:p w:rsidR="0077582B" w:rsidRPr="0077582B" w:rsidRDefault="0077582B" w:rsidP="00D92607">
      <w:pPr>
        <w:spacing w:line="480" w:lineRule="auto"/>
      </w:pPr>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 xml:space="preserve">ny such blocks occurring in isolation were assumed to be simple conversion tracts. </w:t>
      </w:r>
      <w:r w:rsidR="003C72B7">
        <w:lastRenderedPageBreak/>
        <w:t>A</w:t>
      </w:r>
      <w:r w:rsidR="00502205">
        <w:t xml:space="preserve">ny such blocks occurring </w:t>
      </w:r>
      <w:r w:rsidR="00A50A39">
        <w:t xml:space="preserve">directly </w:t>
      </w:r>
      <w:r w:rsidR="00502205">
        <w:t>adjacent to each other were merged</w:t>
      </w:r>
      <w:r w:rsidR="003C72B7">
        <w:t xml:space="preserve"> into a single complex 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D92607">
      <w:pPr>
        <w:pStyle w:val="Heading2"/>
        <w:spacing w:line="480" w:lineRule="auto"/>
      </w:pPr>
      <w:r>
        <w:t>Recombination analyses</w:t>
      </w:r>
    </w:p>
    <w:p w:rsidR="005E5FE9" w:rsidRDefault="005E5FE9" w:rsidP="00D92607">
      <w:pPr>
        <w:spacing w:line="480" w:lineRule="auto"/>
      </w:pPr>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w:t>
      </w:r>
      <w:r w:rsidR="00C333D0">
        <w:t>all crossovers were observed</w:t>
      </w:r>
      <w:r>
        <w:t xml:space="preserve">.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D92607">
      <w:pPr>
        <w:pStyle w:val="Heading2"/>
        <w:spacing w:line="480" w:lineRule="auto"/>
      </w:pPr>
      <w:r>
        <w:t>C</w:t>
      </w:r>
      <w:r w:rsidR="00F7616C">
        <w:t>opy number variation</w:t>
      </w:r>
    </w:p>
    <w:p w:rsidR="00F7616C" w:rsidRDefault="00F7616C" w:rsidP="00D270DA">
      <w:pPr>
        <w:spacing w:line="480" w:lineRule="auto"/>
      </w:pPr>
      <w:r>
        <w:t>The genome was divided into 300bp non-overlapping bins and the number of reads whose alignment started within each bin was calculated for each sample. These binned read counts were then normalise</w:t>
      </w:r>
      <w:r w:rsidR="00D7475C">
        <w:t>d by dividing by the median read count found within the core regions of chromosome 14. Bins where the GC content was lower than 20% were excluded from coverage analyses due to coverage bias in most samples. The fraction of aligned reads with face-away orientation and same-</w:t>
      </w:r>
      <w:r w:rsidR="00D7475C">
        <w:lastRenderedPageBreak/>
        <w:t xml:space="preserv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325FF3" w:rsidRDefault="00325FF3" w:rsidP="00D270DA">
      <w:pPr>
        <w:pStyle w:val="Heading1"/>
        <w:spacing w:line="480" w:lineRule="auto"/>
      </w:pPr>
      <w:r>
        <w:t>Data access</w:t>
      </w:r>
    </w:p>
    <w:p w:rsidR="00325FF3" w:rsidRPr="00325FF3" w:rsidRDefault="00325FF3" w:rsidP="00D270DA">
      <w:pPr>
        <w:spacing w:line="480" w:lineRule="auto"/>
      </w:pPr>
      <w:r>
        <w:t xml:space="preserve">All sequence data generated in this study are available from the European Nucleotide Archive (ENA). A mapping from clone identifiers to ENA run accessions is given in Table S1. BAM files containing alignments of sequence reads to the 3D7 version </w:t>
      </w:r>
      <w:proofErr w:type="gramStart"/>
      <w:r>
        <w:t>3 reference genome</w:t>
      </w:r>
      <w:proofErr w:type="gramEnd"/>
      <w:r>
        <w:t xml:space="preserve"> can be downloaded from a public FTP site hosted by the Wellcome Trust Sanger Institute at </w:t>
      </w:r>
      <w:hyperlink r:id="rId16" w:history="1">
        <w:r w:rsidRPr="009A7AFD">
          <w:rPr>
            <w:rStyle w:val="Hyperlink"/>
          </w:rPr>
          <w:t>ftp://ngs.sanger.ac.uk/production/malaria/pf-crosses/1.0/</w:t>
        </w:r>
      </w:hyperlink>
      <w:r>
        <w:t xml:space="preserve">. VCF files containing variant calls for each of the three crosses, from both calling methods as well as the combined call sets, can be downloaded from the same FTP site. All these data can also be explored interactively via the web application at </w:t>
      </w:r>
      <w:hyperlink r:id="rId17" w:history="1">
        <w:r w:rsidRPr="009A7AFD">
          <w:rPr>
            <w:rStyle w:val="Hyperlink"/>
          </w:rPr>
          <w:t>http://www.malariagen.net/apps/pf-crosses/1.0/</w:t>
        </w:r>
      </w:hyperlink>
      <w:r>
        <w:t xml:space="preserve">. </w:t>
      </w:r>
    </w:p>
    <w:p w:rsidR="001F6267" w:rsidRDefault="001F6267" w:rsidP="00D270DA">
      <w:pPr>
        <w:pStyle w:val="Heading1"/>
        <w:spacing w:line="480" w:lineRule="auto"/>
      </w:pPr>
      <w:r>
        <w:t>Acknowledgments</w:t>
      </w:r>
    </w:p>
    <w:p w:rsidR="001F6267" w:rsidRDefault="0042544D" w:rsidP="00D270DA">
      <w:pPr>
        <w:spacing w:line="480" w:lineRule="auto"/>
      </w:pPr>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B339B7" w:rsidRDefault="00B339B7" w:rsidP="00D270DA">
      <w:pPr>
        <w:pStyle w:val="Heading1"/>
        <w:spacing w:line="480" w:lineRule="auto"/>
      </w:pPr>
      <w:r>
        <w:t>Disclosure declaration</w:t>
      </w:r>
    </w:p>
    <w:p w:rsidR="00BF129B" w:rsidRDefault="00B339B7" w:rsidP="00D270DA">
      <w:pPr>
        <w:spacing w:line="480" w:lineRule="auto"/>
      </w:pPr>
      <w:r>
        <w:t xml:space="preserve">We </w:t>
      </w:r>
      <w:r w:rsidR="00431284">
        <w:t>declare no competing interests.</w:t>
      </w:r>
      <w:r w:rsidR="00BF129B">
        <w:br w:type="page"/>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D270DA">
      <w:pPr>
        <w:pStyle w:val="Heading1"/>
        <w:spacing w:line="480" w:lineRule="auto"/>
      </w:pPr>
      <w:r>
        <w:lastRenderedPageBreak/>
        <w:t>Figures</w:t>
      </w:r>
    </w:p>
    <w:p w:rsidR="005F76A4" w:rsidRDefault="005F76A4" w:rsidP="00D270DA">
      <w:pPr>
        <w:spacing w:line="480" w:lineRule="auto"/>
      </w:pPr>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D270DA">
      <w:pPr>
        <w:spacing w:line="480" w:lineRule="auto"/>
      </w:pPr>
      <w:r w:rsidRPr="005F76A4">
        <w:rPr>
          <w:noProof/>
          <w:lang w:eastAsia="en-GB"/>
        </w:rPr>
        <w:drawing>
          <wp:inline distT="0" distB="0" distL="0" distR="0" wp14:anchorId="3C54DA2C" wp14:editId="1E429B6F">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rsidP="00D270DA">
      <w:pPr>
        <w:spacing w:line="480"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D270DA">
      <w:pPr>
        <w:spacing w:line="480" w:lineRule="auto"/>
      </w:pPr>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D270DA">
      <w:pPr>
        <w:spacing w:line="480" w:lineRule="auto"/>
      </w:pPr>
      <w:r w:rsidRPr="005F76A4">
        <w:rPr>
          <w:noProof/>
          <w:lang w:eastAsia="en-GB"/>
        </w:rPr>
        <w:drawing>
          <wp:inline distT="0" distB="0" distL="0" distR="0" wp14:anchorId="7C51B5CE" wp14:editId="65B8A0C9">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rsidR="00BF129B">
        <w:t xml:space="preserve"> For each cross the red line shows the median map length averaged over progeny, boxes extend from lower to upper quartiles.</w:t>
      </w:r>
      <w:r>
        <w:t xml:space="preserve"> </w:t>
      </w:r>
      <w:proofErr w:type="gramStart"/>
      <w:r>
        <w:rPr>
          <w:b/>
        </w:rPr>
        <w:t xml:space="preserve">B, </w:t>
      </w:r>
      <w:r w:rsidR="004C0B1A">
        <w:t xml:space="preserve">Map length </w:t>
      </w:r>
      <w:r>
        <w:t>by chromosome.</w:t>
      </w:r>
      <w:proofErr w:type="gramEnd"/>
      <w:r w:rsidR="00BF129B">
        <w:t xml:space="preserve"> </w:t>
      </w:r>
      <w:r w:rsidR="0058320B">
        <w:t xml:space="preserve">Each point shows the mean map length for a single chromosome averaged over progeny, with an error bar showing the 95% confidence interval from </w:t>
      </w:r>
      <w:r w:rsidR="000B2834">
        <w:t>1000 bootstraps</w:t>
      </w:r>
      <w:r w:rsidR="0058320B">
        <w:t xml:space="preserve">. </w:t>
      </w:r>
      <w:r w:rsidR="00BF129B">
        <w:t>The line shows a</w:t>
      </w:r>
      <w:r w:rsidR="000B2834">
        <w:t xml:space="preserve"> fitted linear regression model</w:t>
      </w:r>
      <w:r w:rsidR="00BF129B">
        <w:t xml:space="preserve"> with shading </w:t>
      </w:r>
      <w:r w:rsidR="0058320B">
        <w:t xml:space="preserve">showing the 95% </w:t>
      </w:r>
      <w:r w:rsidR="000B2834">
        <w:t xml:space="preserve">bootstrap </w:t>
      </w:r>
      <w:r w:rsidR="0058320B">
        <w:t>confidence interval.</w:t>
      </w:r>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r w:rsidR="000B2834">
        <w:t xml:space="preserve"> Error bars and linear regression as per </w:t>
      </w:r>
      <w:r w:rsidR="000B2834" w:rsidRPr="000B2834">
        <w:rPr>
          <w:b/>
        </w:rPr>
        <w:t>B</w:t>
      </w:r>
      <w:r w:rsidR="000B2834">
        <w:t>.</w:t>
      </w:r>
    </w:p>
    <w:p w:rsidR="005F76A4" w:rsidRDefault="005F76A4" w:rsidP="00D270DA">
      <w:pPr>
        <w:spacing w:line="480" w:lineRule="auto"/>
      </w:pPr>
      <w:r w:rsidRPr="005F76A4">
        <w:rPr>
          <w:noProof/>
          <w:lang w:eastAsia="en-GB"/>
        </w:rPr>
        <w:lastRenderedPageBreak/>
        <w:drawing>
          <wp:inline distT="0" distB="0" distL="0" distR="0" wp14:anchorId="76FD3015" wp14:editId="6A2A9980">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 xml:space="preserve">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w:t>
      </w:r>
      <w:r w:rsidR="000B2834">
        <w:t>number of reads aligned at each position with the given orientation</w:t>
      </w:r>
      <w:r>
        <w:t>).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D270DA">
      <w:pPr>
        <w:spacing w:line="480" w:lineRule="auto"/>
      </w:pPr>
      <w:r w:rsidRPr="005F76A4">
        <w:rPr>
          <w:noProof/>
          <w:lang w:eastAsia="en-GB"/>
        </w:rPr>
        <w:lastRenderedPageBreak/>
        <w:drawing>
          <wp:inline distT="0" distB="0" distL="0" distR="0" wp14:anchorId="7F4FB7B6" wp14:editId="3047B6C2">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rsidP="00D270DA">
      <w:pPr>
        <w:spacing w:line="480" w:lineRule="auto"/>
      </w:pPr>
      <w:r>
        <w:br w:type="page"/>
      </w:r>
    </w:p>
    <w:p w:rsidR="005F76A4" w:rsidRDefault="005F76A4" w:rsidP="00D270DA">
      <w:pPr>
        <w:spacing w:line="480" w:lineRule="auto"/>
      </w:pPr>
      <w:proofErr w:type="gramStart"/>
      <w:r w:rsidRPr="00DA1F35">
        <w:rPr>
          <w:b/>
        </w:rPr>
        <w:lastRenderedPageBreak/>
        <w:t>Figure 5.</w:t>
      </w:r>
      <w:proofErr w:type="gramEnd"/>
      <w:r>
        <w:t xml:space="preserve"> Screenshots from the web application at </w:t>
      </w:r>
      <w:hyperlink r:id="rId18"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D270DA">
      <w:pPr>
        <w:spacing w:line="480" w:lineRule="auto"/>
      </w:pPr>
      <w:r w:rsidRPr="005F76A4">
        <w:rPr>
          <w:noProof/>
          <w:lang w:eastAsia="en-GB"/>
        </w:rPr>
        <w:drawing>
          <wp:inline distT="0" distB="0" distL="0" distR="0" wp14:anchorId="4A3AEAD8" wp14:editId="51504D6A">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9"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16BD6" w:rsidRPr="00716BD6" w:rsidRDefault="005C3FF3">
      <w:pPr>
        <w:pStyle w:val="NormalWeb"/>
        <w:ind w:left="480" w:hanging="480"/>
        <w:divId w:val="1299148219"/>
        <w:rPr>
          <w:rFonts w:ascii="Calibri" w:hAnsi="Calibri"/>
          <w:noProof/>
          <w:sz w:val="22"/>
        </w:rPr>
      </w:pPr>
      <w:r>
        <w:fldChar w:fldCharType="begin" w:fldLock="1"/>
      </w:r>
      <w:r w:rsidR="00CB6C32">
        <w:instrText xml:space="preserve">ADDIN Mendeley Bibliography CSL_BIBLIOGRAPHY </w:instrText>
      </w:r>
      <w:r>
        <w:fldChar w:fldCharType="separate"/>
      </w:r>
      <w:r w:rsidR="00716BD6" w:rsidRPr="00716BD6">
        <w:rPr>
          <w:rFonts w:ascii="Calibri" w:hAnsi="Calibri"/>
          <w:noProof/>
          <w:sz w:val="22"/>
        </w:rPr>
        <w:t xml:space="preserve">Anderson, T.J.C., Patel, J. &amp; Ferdig, M.T., 2009. Gene copy number and malaria biology. </w:t>
      </w:r>
      <w:r w:rsidR="00716BD6" w:rsidRPr="00716BD6">
        <w:rPr>
          <w:rFonts w:ascii="Calibri" w:hAnsi="Calibri"/>
          <w:i/>
          <w:iCs/>
          <w:noProof/>
          <w:sz w:val="22"/>
        </w:rPr>
        <w:t>Trends in parasitology</w:t>
      </w:r>
      <w:r w:rsidR="00716BD6" w:rsidRPr="00716BD6">
        <w:rPr>
          <w:rFonts w:ascii="Calibri" w:hAnsi="Calibri"/>
          <w:noProof/>
          <w:sz w:val="22"/>
        </w:rPr>
        <w:t>, 25(7), pp.336–43. Available at: http://www.pubmedcentral.nih.gov/articlerender.fcgi?artid=2839409&amp;tool=pmcentrez&amp;rendertype=abstract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Ariey, F. et al., 2014. A molecular marker of artemisinin-resistant Plasmodium falciparum malaria. </w:t>
      </w:r>
      <w:r w:rsidRPr="00716BD6">
        <w:rPr>
          <w:rFonts w:ascii="Calibri" w:hAnsi="Calibri"/>
          <w:i/>
          <w:iCs/>
          <w:noProof/>
          <w:sz w:val="22"/>
        </w:rPr>
        <w:t>Nature</w:t>
      </w:r>
      <w:r w:rsidRPr="00716BD6">
        <w:rPr>
          <w:rFonts w:ascii="Calibri" w:hAnsi="Calibri"/>
          <w:noProof/>
          <w:sz w:val="22"/>
        </w:rPr>
        <w:t>, 505(7481), pp.50–5. Available at: http://www.ncbi.nlm.nih.gov/pubmed/24352242 [Accessed July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Ashley, E.A. et al., 2014. Spread of Artemisinin Resistance in Plasmodium falciparum Malaria. </w:t>
      </w:r>
      <w:r w:rsidRPr="00716BD6">
        <w:rPr>
          <w:rFonts w:ascii="Calibri" w:hAnsi="Calibri"/>
          <w:i/>
          <w:iCs/>
          <w:noProof/>
          <w:sz w:val="22"/>
        </w:rPr>
        <w:t>New England Journal of Medicine</w:t>
      </w:r>
      <w:r w:rsidRPr="00716BD6">
        <w:rPr>
          <w:rFonts w:ascii="Calibri" w:hAnsi="Calibri"/>
          <w:noProof/>
          <w:sz w:val="22"/>
        </w:rPr>
        <w:t>, 371(5), pp.411–423. Available at: http://www.ncbi.nlm.nih.gov/pubmed/25075834 [Accessed July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Van der Auwera, G.A. et al., 2013. </w:t>
      </w:r>
      <w:r w:rsidRPr="00716BD6">
        <w:rPr>
          <w:rFonts w:ascii="Calibri" w:hAnsi="Calibri"/>
          <w:i/>
          <w:iCs/>
          <w:noProof/>
          <w:sz w:val="22"/>
        </w:rPr>
        <w:t>Current Protocols in Bioinformatics</w:t>
      </w:r>
      <w:r w:rsidRPr="00716BD6">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Baudat, F. &amp; de Massy, B., 2007. Regulating double-stranded DNA break repair towards crossover or non-crossover during mammalian meiosis. </w:t>
      </w:r>
      <w:r w:rsidRPr="00716BD6">
        <w:rPr>
          <w:rFonts w:ascii="Calibri" w:hAnsi="Calibri"/>
          <w:i/>
          <w:iCs/>
          <w:noProof/>
          <w:sz w:val="22"/>
        </w:rPr>
        <w:t>Chromosome research : an international journal on the molecular, supramolecular and evolutionary aspects of chromosome biology</w:t>
      </w:r>
      <w:r w:rsidRPr="00716BD6">
        <w:rPr>
          <w:rFonts w:ascii="Calibri" w:hAnsi="Calibri"/>
          <w:noProof/>
          <w:sz w:val="22"/>
        </w:rPr>
        <w:t>, 15(5), pp.565–77. Available at: http://www.ncbi.nlm.nih.gov/pubmed/17674146 [Accessed December 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Birren, B. et al., 2006. Plasmodium falciparum HB3, whole genome shotgun sequencing project. Available at: http://www.ncbi.nlm.nih.gov/nuccore/AANS00000000.</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Bopp, S.E.R. et al., 2013. Mitotic evolution of Plasmodium falciparum shows a stable core genome but recombination in antigen families. N. Maizels, ed. </w:t>
      </w:r>
      <w:r w:rsidRPr="00716BD6">
        <w:rPr>
          <w:rFonts w:ascii="Calibri" w:hAnsi="Calibri"/>
          <w:i/>
          <w:iCs/>
          <w:noProof/>
          <w:sz w:val="22"/>
        </w:rPr>
        <w:t>PLoS genetics</w:t>
      </w:r>
      <w:r w:rsidRPr="00716BD6">
        <w:rPr>
          <w:rFonts w:ascii="Calibri" w:hAnsi="Calibri"/>
          <w:noProof/>
          <w:sz w:val="22"/>
        </w:rPr>
        <w:t>, 9(2), p.e1003293. Available at: http://dx.plos.org/10.1371/journal.pgen.1003293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Brick, K., Watanabe, J. &amp; Pizzi, E., 2008. Core promoters are predicted by their distinct physicochemical properties in the genome of Plasmodium falciparum. </w:t>
      </w:r>
      <w:r w:rsidRPr="00716BD6">
        <w:rPr>
          <w:rFonts w:ascii="Calibri" w:hAnsi="Calibri"/>
          <w:i/>
          <w:iCs/>
          <w:noProof/>
          <w:sz w:val="22"/>
        </w:rPr>
        <w:t>Genome biology</w:t>
      </w:r>
      <w:r w:rsidRPr="00716BD6">
        <w:rPr>
          <w:rFonts w:ascii="Calibri" w:hAnsi="Calibri"/>
          <w:noProof/>
          <w:sz w:val="22"/>
        </w:rPr>
        <w:t>, 9(12), p.R178. Available at: http://genomebiology.com/2008/9/12/R178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Chen, J.-Q. et al., 2009. Variation in the ratio of nucleotide substitution and indel rates across genomes in mammals and bacteria. </w:t>
      </w:r>
      <w:r w:rsidRPr="00716BD6">
        <w:rPr>
          <w:rFonts w:ascii="Calibri" w:hAnsi="Calibri"/>
          <w:i/>
          <w:iCs/>
          <w:noProof/>
          <w:sz w:val="22"/>
        </w:rPr>
        <w:t>Molecular biology and evolution</w:t>
      </w:r>
      <w:r w:rsidRPr="00716BD6">
        <w:rPr>
          <w:rFonts w:ascii="Calibri" w:hAnsi="Calibri"/>
          <w:noProof/>
          <w:sz w:val="22"/>
        </w:rPr>
        <w:t>, 26(7), pp.1523–31. Available at: http://www.ncbi.nlm.nih.gov/pubmed/19329651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Claessens, A. et al., 2014. Generation of antigenic diversity in Plasmodium falciparum by structured rearrangement of var genes during mitosis K. Deitsch, ed. </w:t>
      </w:r>
      <w:r w:rsidRPr="00716BD6">
        <w:rPr>
          <w:rFonts w:ascii="Calibri" w:hAnsi="Calibri"/>
          <w:i/>
          <w:iCs/>
          <w:noProof/>
          <w:sz w:val="22"/>
        </w:rPr>
        <w:t>PLoS genetics</w:t>
      </w:r>
      <w:r w:rsidRPr="00716BD6">
        <w:rPr>
          <w:rFonts w:ascii="Calibri" w:hAnsi="Calibri"/>
          <w:noProof/>
          <w:sz w:val="22"/>
        </w:rPr>
        <w:t>, 10(12), p.e1004812. Available at: http://journals.plos.org/plosgenetics/article?id=10.1371/journal.pgen.1004812 [Accessed December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16BD6">
        <w:rPr>
          <w:rFonts w:ascii="Calibri" w:hAnsi="Calibri"/>
          <w:i/>
          <w:iCs/>
          <w:noProof/>
          <w:sz w:val="22"/>
        </w:rPr>
        <w:t>Proceedings of the National Academy of Sciences of the United States of America</w:t>
      </w:r>
      <w:r w:rsidRPr="00716BD6">
        <w:rPr>
          <w:rFonts w:ascii="Calibri" w:hAnsi="Calibri"/>
          <w:noProof/>
          <w:sz w:val="22"/>
        </w:rPr>
        <w:t xml:space="preserve">, </w:t>
      </w:r>
      <w:r w:rsidRPr="00716BD6">
        <w:rPr>
          <w:rFonts w:ascii="Calibri" w:hAnsi="Calibri"/>
          <w:noProof/>
          <w:sz w:val="22"/>
        </w:rPr>
        <w:lastRenderedPageBreak/>
        <w:t>91(3), pp.1143–7. Available at: http://www.pubmedcentral.nih.gov/articlerender.fcgi?artid=521470&amp;tool=pmcentrez&amp;rendertype=abstract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et al., 2011. A framework for variation discovery and genotyping using next-generation DNA sequencing data. </w:t>
      </w:r>
      <w:r w:rsidRPr="00716BD6">
        <w:rPr>
          <w:rFonts w:ascii="Calibri" w:hAnsi="Calibri"/>
          <w:i/>
          <w:iCs/>
          <w:noProof/>
          <w:sz w:val="22"/>
        </w:rPr>
        <w:t>Nature genetics</w:t>
      </w:r>
      <w:r w:rsidRPr="00716BD6">
        <w:rPr>
          <w:rFonts w:ascii="Calibri" w:hAnsi="Calibri"/>
          <w:noProof/>
          <w:sz w:val="22"/>
        </w:rPr>
        <w:t>, 43(5), pp.491–8. Available at: http://www.pubmedcentral.nih.gov/articlerender.fcgi?artid=3083463&amp;tool=pmcentrez&amp;rendertype=abstract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DePristo, M.A., Zilversmit, M.M. &amp; Hartl, D.L., 2006. On the abundance, amino acid composition, and evolutionary dynamics of low-complexity regions in proteins. </w:t>
      </w:r>
      <w:r w:rsidRPr="00716BD6">
        <w:rPr>
          <w:rFonts w:ascii="Calibri" w:hAnsi="Calibri"/>
          <w:i/>
          <w:iCs/>
          <w:noProof/>
          <w:sz w:val="22"/>
        </w:rPr>
        <w:t>Gene</w:t>
      </w:r>
      <w:r w:rsidRPr="00716BD6">
        <w:rPr>
          <w:rFonts w:ascii="Calibri" w:hAnsi="Calibri"/>
          <w:noProof/>
          <w:sz w:val="22"/>
        </w:rPr>
        <w:t>, 378, pp.19–30. Available at: http://www.ncbi.nlm.nih.gov/pubmed/16806741 [Accessed November 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Fang, H. et al., 2014. Reducing INDEL calling errors in whole genome and exome sequencing data. </w:t>
      </w:r>
      <w:r w:rsidRPr="00716BD6">
        <w:rPr>
          <w:rFonts w:ascii="Calibri" w:hAnsi="Calibri"/>
          <w:i/>
          <w:iCs/>
          <w:noProof/>
          <w:sz w:val="22"/>
        </w:rPr>
        <w:t>Genome medicine</w:t>
      </w:r>
      <w:r w:rsidRPr="00716BD6">
        <w:rPr>
          <w:rFonts w:ascii="Calibri" w:hAnsi="Calibri"/>
          <w:noProof/>
          <w:sz w:val="22"/>
        </w:rPr>
        <w:t>, 6(10), p.89. Available at: http://www.pubmedcentral.nih.gov/articlerender.fcgi?artid=4240813&amp;tool=pmcentrez&amp;rendertype=abstract [Accessed January 15,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Ferreira, M.U. et al., 2003. Sequence diversity and evolution of the malaria vaccine candidate merozoite surface protein-1 (MSP-1) of Plasmodium falciparum. </w:t>
      </w:r>
      <w:r w:rsidRPr="00716BD6">
        <w:rPr>
          <w:rFonts w:ascii="Calibri" w:hAnsi="Calibri"/>
          <w:i/>
          <w:iCs/>
          <w:noProof/>
          <w:sz w:val="22"/>
        </w:rPr>
        <w:t>Gene</w:t>
      </w:r>
      <w:r w:rsidRPr="00716BD6">
        <w:rPr>
          <w:rFonts w:ascii="Calibri" w:hAnsi="Calibri"/>
          <w:noProof/>
          <w:sz w:val="22"/>
        </w:rPr>
        <w:t>, 304, pp.65–75. Available at: http://www.ncbi.nlm.nih.gov/pubmed/12568716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Flueck, C. et al., 2009. Plasmodium falciparum heterochromatin protein 1 marks genomic loci linked to phenotypic variation of exported virulence factors. </w:t>
      </w:r>
      <w:r w:rsidRPr="00716BD6">
        <w:rPr>
          <w:rFonts w:ascii="Calibri" w:hAnsi="Calibri"/>
          <w:i/>
          <w:iCs/>
          <w:noProof/>
          <w:sz w:val="22"/>
        </w:rPr>
        <w:t>PLoS pathogens</w:t>
      </w:r>
      <w:r w:rsidRPr="00716BD6">
        <w:rPr>
          <w:rFonts w:ascii="Calibri" w:hAnsi="Calibri"/>
          <w:noProof/>
          <w:sz w:val="22"/>
        </w:rPr>
        <w:t>, 5(9), p.e1000569. Available at: http://www.pubmedcentral.nih.gov/articlerender.fcgi?artid=2731224&amp;tool=pmcentrez&amp;rendertype=abstract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Freitas-Junior, L.H. et al., 2000. Frequent ectopic recombination of virulence factor genes in telomeric chromosome clusters of P. falciparum. </w:t>
      </w:r>
      <w:r w:rsidRPr="00716BD6">
        <w:rPr>
          <w:rFonts w:ascii="Calibri" w:hAnsi="Calibri"/>
          <w:i/>
          <w:iCs/>
          <w:noProof/>
          <w:sz w:val="22"/>
        </w:rPr>
        <w:t>Nature</w:t>
      </w:r>
      <w:r w:rsidRPr="00716BD6">
        <w:rPr>
          <w:rFonts w:ascii="Calibri" w:hAnsi="Calibri"/>
          <w:noProof/>
          <w:sz w:val="22"/>
        </w:rPr>
        <w:t>, 407(6807), pp.1018–22. Available at: http://www.ncbi.nlm.nih.gov/pubmed/11069183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Gardner, M.J. et al., 2002. Genome sequence of the human malaria parasite Plasmodium falciparum. </w:t>
      </w:r>
      <w:r w:rsidRPr="00716BD6">
        <w:rPr>
          <w:rFonts w:ascii="Calibri" w:hAnsi="Calibri"/>
          <w:i/>
          <w:iCs/>
          <w:noProof/>
          <w:sz w:val="22"/>
        </w:rPr>
        <w:t>Nature</w:t>
      </w:r>
      <w:r w:rsidRPr="00716BD6">
        <w:rPr>
          <w:rFonts w:ascii="Calibri" w:hAnsi="Calibri"/>
          <w:noProof/>
          <w:sz w:val="22"/>
        </w:rPr>
        <w:t>, 419(6906), pp.498–511. Available at: http://www.pubmedcentral.nih.gov/articlerender.fcgi?artid=3836256&amp;tool=pmcentrez&amp;rendertype=abstract [Accessed October 22,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Gonzales, J.M. et al., 2008. Regulatory hotspots in the malaria parasite genome dictate transcriptional variation. </w:t>
      </w:r>
      <w:r w:rsidRPr="00716BD6">
        <w:rPr>
          <w:rFonts w:ascii="Calibri" w:hAnsi="Calibri"/>
          <w:i/>
          <w:iCs/>
          <w:noProof/>
          <w:sz w:val="22"/>
        </w:rPr>
        <w:t>PLoS biology</w:t>
      </w:r>
      <w:r w:rsidRPr="00716BD6">
        <w:rPr>
          <w:rFonts w:ascii="Calibri" w:hAnsi="Calibri"/>
          <w:noProof/>
          <w:sz w:val="22"/>
        </w:rPr>
        <w:t>, 6(9), p.e238. Available at: http://www.pubmedcentral.nih.gov/articlerender.fcgi?artid=2553844&amp;tool=pmcentrez&amp;rendertype=abstract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Haerty, W. &amp; Golding, G.B., 2011. Increased polymorphism near low-complexity sequences across the genomes of Plasmodium falciparum isolates. </w:t>
      </w:r>
      <w:r w:rsidRPr="00716BD6">
        <w:rPr>
          <w:rFonts w:ascii="Calibri" w:hAnsi="Calibri"/>
          <w:i/>
          <w:iCs/>
          <w:noProof/>
          <w:sz w:val="22"/>
        </w:rPr>
        <w:t>Genome biology and evolution</w:t>
      </w:r>
      <w:r w:rsidRPr="00716BD6">
        <w:rPr>
          <w:rFonts w:ascii="Calibri" w:hAnsi="Calibri"/>
          <w:noProof/>
          <w:sz w:val="22"/>
        </w:rPr>
        <w:t>, 3, pp.539–50. Available at: http://www.pubmedcentral.nih.gov/articlerender.fcgi?artid=3140889&amp;tool=pmcentrez&amp;rendertype=abstract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Hastings, P.J., 1992. Mechanism and control of recombination in fungi. </w:t>
      </w:r>
      <w:r w:rsidRPr="00716BD6">
        <w:rPr>
          <w:rFonts w:ascii="Calibri" w:hAnsi="Calibri"/>
          <w:i/>
          <w:iCs/>
          <w:noProof/>
          <w:sz w:val="22"/>
        </w:rPr>
        <w:t>Mutation research</w:t>
      </w:r>
      <w:r w:rsidRPr="00716BD6">
        <w:rPr>
          <w:rFonts w:ascii="Calibri" w:hAnsi="Calibri"/>
          <w:noProof/>
          <w:sz w:val="22"/>
        </w:rPr>
        <w:t>, 284(1), pp.97–110. Available at: http://www.ncbi.nlm.nih.gov/pubmed/1279396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Hayton, K. et al., 2008. Erythrocyte binding protein PfRH5 polymorphisms determine species-specific pathways of Plasmodium falciparum invasion. </w:t>
      </w:r>
      <w:r w:rsidRPr="00716BD6">
        <w:rPr>
          <w:rFonts w:ascii="Calibri" w:hAnsi="Calibri"/>
          <w:i/>
          <w:iCs/>
          <w:noProof/>
          <w:sz w:val="22"/>
        </w:rPr>
        <w:t>Cell host &amp; microbe</w:t>
      </w:r>
      <w:r w:rsidRPr="00716BD6">
        <w:rPr>
          <w:rFonts w:ascii="Calibri" w:hAnsi="Calibri"/>
          <w:noProof/>
          <w:sz w:val="22"/>
        </w:rPr>
        <w:t>, 4(1), pp.40–51. Available at: http://www.pubmedcentral.nih.gov/articlerender.fcgi?artid=2677973&amp;tool=pmcentrez&amp;rendertype=abstract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Heinberg, A. et al., 2013. Direct evidence for the adaptive role of copy number variation on antifolate susceptibility in Plasmodium falciparum. </w:t>
      </w:r>
      <w:r w:rsidRPr="00716BD6">
        <w:rPr>
          <w:rFonts w:ascii="Calibri" w:hAnsi="Calibri"/>
          <w:i/>
          <w:iCs/>
          <w:noProof/>
          <w:sz w:val="22"/>
        </w:rPr>
        <w:t>Molecular microbiology</w:t>
      </w:r>
      <w:r w:rsidRPr="00716BD6">
        <w:rPr>
          <w:rFonts w:ascii="Calibri" w:hAnsi="Calibri"/>
          <w:noProof/>
          <w:sz w:val="22"/>
        </w:rPr>
        <w:t>, 88(4), pp.702–12. Available at: http://www.pubmedcentral.nih.gov/articlerender.fcgi?artid=3654098&amp;tool=pmcentrez&amp;rendertype=abstract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Hilliker, A.J. et al., 1994. Meiotic gene conversion tract length distribution within the rosy locus of Drosophila melanogaster. </w:t>
      </w:r>
      <w:r w:rsidRPr="00716BD6">
        <w:rPr>
          <w:rFonts w:ascii="Calibri" w:hAnsi="Calibri"/>
          <w:i/>
          <w:iCs/>
          <w:noProof/>
          <w:sz w:val="22"/>
        </w:rPr>
        <w:t>Genetics</w:t>
      </w:r>
      <w:r w:rsidRPr="00716BD6">
        <w:rPr>
          <w:rFonts w:ascii="Calibri" w:hAnsi="Calibri"/>
          <w:noProof/>
          <w:sz w:val="22"/>
        </w:rPr>
        <w:t>, 137(4), pp.1019–26. Available at: http://www.pubmedcentral.nih.gov/articlerender.fcgi?artid=1206049&amp;tool=pmcentrez&amp;rendertype=abstract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Iqbal, Z. et al., 2012. De novo assembly and genotyping of variants using colored de Bruijn graphs. </w:t>
      </w:r>
      <w:r w:rsidRPr="00716BD6">
        <w:rPr>
          <w:rFonts w:ascii="Calibri" w:hAnsi="Calibri"/>
          <w:i/>
          <w:iCs/>
          <w:noProof/>
          <w:sz w:val="22"/>
        </w:rPr>
        <w:t>Nature genetics</w:t>
      </w:r>
      <w:r w:rsidRPr="00716BD6">
        <w:rPr>
          <w:rFonts w:ascii="Calibri" w:hAnsi="Calibri"/>
          <w:noProof/>
          <w:sz w:val="22"/>
        </w:rPr>
        <w:t>, 44(2), pp.226–32. Available at: http://dx.doi.org/10.1038/ng.1028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Jeffares, D.C. et al., 2007. Genome variation and evolution of the malaria parasite Plasmodium falciparum. </w:t>
      </w:r>
      <w:r w:rsidRPr="00716BD6">
        <w:rPr>
          <w:rFonts w:ascii="Calibri" w:hAnsi="Calibri"/>
          <w:i/>
          <w:iCs/>
          <w:noProof/>
          <w:sz w:val="22"/>
        </w:rPr>
        <w:t>Nature genetics</w:t>
      </w:r>
      <w:r w:rsidRPr="00716BD6">
        <w:rPr>
          <w:rFonts w:ascii="Calibri" w:hAnsi="Calibri"/>
          <w:noProof/>
          <w:sz w:val="22"/>
        </w:rPr>
        <w:t>, 39(1), pp.120–5. Available at: http://www.pubmedcentral.nih.gov/articlerender.fcgi?artid=2663918&amp;tool=pmcentrez&amp;rendertype=abstract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Jeffreys, A.J. &amp; May, C.A., 2004. Intense and highly localized gene conversion activity in human meiotic crossover hot spots. </w:t>
      </w:r>
      <w:r w:rsidRPr="00716BD6">
        <w:rPr>
          <w:rFonts w:ascii="Calibri" w:hAnsi="Calibri"/>
          <w:i/>
          <w:iCs/>
          <w:noProof/>
          <w:sz w:val="22"/>
        </w:rPr>
        <w:t>Nature genetics</w:t>
      </w:r>
      <w:r w:rsidRPr="00716BD6">
        <w:rPr>
          <w:rFonts w:ascii="Calibri" w:hAnsi="Calibri"/>
          <w:noProof/>
          <w:sz w:val="22"/>
        </w:rPr>
        <w:t>, 36(2), pp.151–6. Available at: http://www.ncbi.nlm.nih.gov/pubmed/14704667 [Accessed December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Jiang, H. et al., 2011. High recombination rates and hotspots in a Plasmodium falciparum genetic cross. </w:t>
      </w:r>
      <w:r w:rsidRPr="00716BD6">
        <w:rPr>
          <w:rFonts w:ascii="Calibri" w:hAnsi="Calibri"/>
          <w:i/>
          <w:iCs/>
          <w:noProof/>
          <w:sz w:val="22"/>
        </w:rPr>
        <w:t>Genome biology</w:t>
      </w:r>
      <w:r w:rsidRPr="00716BD6">
        <w:rPr>
          <w:rFonts w:ascii="Calibri" w:hAnsi="Calibri"/>
          <w:noProof/>
          <w:sz w:val="22"/>
        </w:rPr>
        <w:t>, 12(4), p.R33. Available at: http://genomebiology.com/2011/12/4/R33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Kerr, P.J., Ranford-Cartwright, L.C. &amp; Walliker, D., 1994. Proof of intragenic recombination in Plasmodium falciparum. </w:t>
      </w:r>
      <w:r w:rsidRPr="00716BD6">
        <w:rPr>
          <w:rFonts w:ascii="Calibri" w:hAnsi="Calibri"/>
          <w:i/>
          <w:iCs/>
          <w:noProof/>
          <w:sz w:val="22"/>
        </w:rPr>
        <w:t>Molecular and biochemical parasitology</w:t>
      </w:r>
      <w:r w:rsidRPr="00716BD6">
        <w:rPr>
          <w:rFonts w:ascii="Calibri" w:hAnsi="Calibri"/>
          <w:noProof/>
          <w:sz w:val="22"/>
        </w:rPr>
        <w:t>, 66(2), pp.241–8. Available at: http://www.ncbi.nlm.nih.gov/pubmed/7808474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Kidgell, C. et al., 2006. A systematic map of genetic variation in Plasmodium falciparum. </w:t>
      </w:r>
      <w:r w:rsidRPr="00716BD6">
        <w:rPr>
          <w:rFonts w:ascii="Calibri" w:hAnsi="Calibri"/>
          <w:i/>
          <w:iCs/>
          <w:noProof/>
          <w:sz w:val="22"/>
        </w:rPr>
        <w:t>PLoS pathogens</w:t>
      </w:r>
      <w:r w:rsidRPr="00716BD6">
        <w:rPr>
          <w:rFonts w:ascii="Calibri" w:hAnsi="Calibri"/>
          <w:noProof/>
          <w:sz w:val="22"/>
        </w:rPr>
        <w:t>, 2(6), p.e57. Available at: http://www.pubmedcentral.nih.gov/articlerender.fcgi?artid=1480597&amp;tool=pmcentrez&amp;rendertype=abstract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Kondrashov, F.A., 2012. Gene duplication as a mechanism of genomic adaptation to a changing environment. </w:t>
      </w:r>
      <w:r w:rsidRPr="00716BD6">
        <w:rPr>
          <w:rFonts w:ascii="Calibri" w:hAnsi="Calibri"/>
          <w:i/>
          <w:iCs/>
          <w:noProof/>
          <w:sz w:val="22"/>
        </w:rPr>
        <w:t>Proceedings. Biological sciences / The Royal Society</w:t>
      </w:r>
      <w:r w:rsidRPr="00716BD6">
        <w:rPr>
          <w:rFonts w:ascii="Calibri" w:hAnsi="Calibri"/>
          <w:noProof/>
          <w:sz w:val="22"/>
        </w:rPr>
        <w:t>, 279(1749), pp.5048–57. Available at: http://www.pubmedcentral.nih.gov/articlerender.fcgi?artid=3497230&amp;tool=pmcentrez&amp;rendertype=abstract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Kozarewa, I. et al., 2009. Amplification-free Illumina sequencing-library preparation facilitates improved mapping and assembly of (G+C)-biased genomes. </w:t>
      </w:r>
      <w:r w:rsidRPr="00716BD6">
        <w:rPr>
          <w:rFonts w:ascii="Calibri" w:hAnsi="Calibri"/>
          <w:i/>
          <w:iCs/>
          <w:noProof/>
          <w:sz w:val="22"/>
        </w:rPr>
        <w:t>Nature methods</w:t>
      </w:r>
      <w:r w:rsidRPr="00716BD6">
        <w:rPr>
          <w:rFonts w:ascii="Calibri" w:hAnsi="Calibri"/>
          <w:noProof/>
          <w:sz w:val="22"/>
        </w:rPr>
        <w:t>, 6(4), pp.291–5. Available at: http://dx.doi.org/10.1038/nmeth.1311 [Accessed October 31,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16BD6">
        <w:rPr>
          <w:rFonts w:ascii="Calibri" w:hAnsi="Calibri"/>
          <w:i/>
          <w:iCs/>
          <w:noProof/>
          <w:sz w:val="22"/>
        </w:rPr>
        <w:t>PLoS pathogens</w:t>
      </w:r>
      <w:r w:rsidRPr="00716BD6">
        <w:rPr>
          <w:rFonts w:ascii="Calibri" w:hAnsi="Calibri"/>
          <w:noProof/>
          <w:sz w:val="22"/>
        </w:rPr>
        <w:t>, 4(10), p.e1000195. Available at: http://dx.plos.org/10.1371/journal.ppat.1000195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H. &amp; Durbin, R., 2009. Fast and accurate short read alignment with Burrows-Wheeler transform. </w:t>
      </w:r>
      <w:r w:rsidRPr="00716BD6">
        <w:rPr>
          <w:rFonts w:ascii="Calibri" w:hAnsi="Calibri"/>
          <w:i/>
          <w:iCs/>
          <w:noProof/>
          <w:sz w:val="22"/>
        </w:rPr>
        <w:t>Bioinformatics (Oxford, England)</w:t>
      </w:r>
      <w:r w:rsidRPr="00716BD6">
        <w:rPr>
          <w:rFonts w:ascii="Calibri" w:hAnsi="Calibri"/>
          <w:noProof/>
          <w:sz w:val="22"/>
        </w:rPr>
        <w:t>, 25(14), pp.1754–60. Available at: http://www.pubmedcentral.nih.gov/articlerender.fcgi?artid=2705234&amp;tool=pmcentrez&amp;rendertype=abstract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Li, Y.-C. et al., 2002. Microsatellites: genomic distribution, putative functions and mutational mechanisms: a review. </w:t>
      </w:r>
      <w:r w:rsidRPr="00716BD6">
        <w:rPr>
          <w:rFonts w:ascii="Calibri" w:hAnsi="Calibri"/>
          <w:i/>
          <w:iCs/>
          <w:noProof/>
          <w:sz w:val="22"/>
        </w:rPr>
        <w:t>Molecular ecology</w:t>
      </w:r>
      <w:r w:rsidRPr="00716BD6">
        <w:rPr>
          <w:rFonts w:ascii="Calibri" w:hAnsi="Calibri"/>
          <w:noProof/>
          <w:sz w:val="22"/>
        </w:rPr>
        <w:t>, 11(12), pp.2453–65. Available at: http://www.ncbi.nlm.nih.gov/pubmed/12453231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Lovett, S.T., 2004. Encoded errors: mutations and rearrangements mediated by misalignment at repetitive DNA sequences. </w:t>
      </w:r>
      <w:r w:rsidRPr="00716BD6">
        <w:rPr>
          <w:rFonts w:ascii="Calibri" w:hAnsi="Calibri"/>
          <w:i/>
          <w:iCs/>
          <w:noProof/>
          <w:sz w:val="22"/>
        </w:rPr>
        <w:t>Molecular microbiology</w:t>
      </w:r>
      <w:r w:rsidRPr="00716BD6">
        <w:rPr>
          <w:rFonts w:ascii="Calibri" w:hAnsi="Calibri"/>
          <w:noProof/>
          <w:sz w:val="22"/>
        </w:rPr>
        <w:t>, 52(5), pp.1243–53. Available at: http://www.ncbi.nlm.nih.gov/pubmed/15165229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Mancera, E. et al., 2008. High-resolution mapping of meiotic crossovers and non-crossovers in yeast. </w:t>
      </w:r>
      <w:r w:rsidRPr="00716BD6">
        <w:rPr>
          <w:rFonts w:ascii="Calibri" w:hAnsi="Calibri"/>
          <w:i/>
          <w:iCs/>
          <w:noProof/>
          <w:sz w:val="22"/>
        </w:rPr>
        <w:t>Nature</w:t>
      </w:r>
      <w:r w:rsidRPr="00716BD6">
        <w:rPr>
          <w:rFonts w:ascii="Calibri" w:hAnsi="Calibri"/>
          <w:noProof/>
          <w:sz w:val="22"/>
        </w:rPr>
        <w:t>, 454(7203), pp.479–85. Available at: http://www.pubmedcentral.nih.gov/articlerender.fcgi?artid=2780006&amp;tool=pmcentrez&amp;rendertype=abstract [Accessed November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H.M. &amp; Kwiatkowski, D.P., 2009. LookSeq: a browser-based viewer for deep sequencing data. </w:t>
      </w:r>
      <w:r w:rsidRPr="00716BD6">
        <w:rPr>
          <w:rFonts w:ascii="Calibri" w:hAnsi="Calibri"/>
          <w:i/>
          <w:iCs/>
          <w:noProof/>
          <w:sz w:val="22"/>
        </w:rPr>
        <w:t>Genome research</w:t>
      </w:r>
      <w:r w:rsidRPr="00716BD6">
        <w:rPr>
          <w:rFonts w:ascii="Calibri" w:hAnsi="Calibri"/>
          <w:noProof/>
          <w:sz w:val="22"/>
        </w:rPr>
        <w:t>, 19(11), pp.2125–32. Available at: http://www.pubmedcentral.nih.gov/articlerender.fcgi?artid=2775587&amp;tool=pmcentrez&amp;rendertype=abstract [Accessed December 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Manske, M. et al., 2012. Analysis of Plasmodium falciparum diversity in natural infections by deep sequencing. </w:t>
      </w:r>
      <w:r w:rsidRPr="00716BD6">
        <w:rPr>
          <w:rFonts w:ascii="Calibri" w:hAnsi="Calibri"/>
          <w:i/>
          <w:iCs/>
          <w:noProof/>
          <w:sz w:val="22"/>
        </w:rPr>
        <w:t>Nature</w:t>
      </w:r>
      <w:r w:rsidRPr="00716BD6">
        <w:rPr>
          <w:rFonts w:ascii="Calibri" w:hAnsi="Calibri"/>
          <w:noProof/>
          <w:sz w:val="22"/>
        </w:rPr>
        <w:t>, 487(7407), pp.375–9. Available at: http://www.pubmedcentral.nih.gov/articlerender.fcgi?artid=3738909&amp;tool=pmcentrez&amp;rendertype=abstract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Martinez-Perez, E. &amp; Colaiácovo, M.P., 2009. Distribution of meiotic recombination events: talking to your neighbors. </w:t>
      </w:r>
      <w:r w:rsidRPr="00716BD6">
        <w:rPr>
          <w:rFonts w:ascii="Calibri" w:hAnsi="Calibri"/>
          <w:i/>
          <w:iCs/>
          <w:noProof/>
          <w:sz w:val="22"/>
        </w:rPr>
        <w:t>Current opinion in genetics &amp; development</w:t>
      </w:r>
      <w:r w:rsidRPr="00716BD6">
        <w:rPr>
          <w:rFonts w:ascii="Calibri" w:hAnsi="Calibri"/>
          <w:noProof/>
          <w:sz w:val="22"/>
        </w:rPr>
        <w:t>, 19(2), pp.105–12. Available at: http://www.pubmedcentral.nih.gov/articlerender.fcgi?artid=2729281&amp;tool=pmcentrez&amp;rendertype=abstract [Accessed December 16,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McKenna, A. et al., 2010. The Genome Analysis Toolkit: a MapReduce framework for analyzing next-generation DNA sequencing data. </w:t>
      </w:r>
      <w:r w:rsidRPr="00716BD6">
        <w:rPr>
          <w:rFonts w:ascii="Calibri" w:hAnsi="Calibri"/>
          <w:i/>
          <w:iCs/>
          <w:noProof/>
          <w:sz w:val="22"/>
        </w:rPr>
        <w:t>Genome research</w:t>
      </w:r>
      <w:r w:rsidRPr="00716BD6">
        <w:rPr>
          <w:rFonts w:ascii="Calibri" w:hAnsi="Calibri"/>
          <w:noProof/>
          <w:sz w:val="22"/>
        </w:rPr>
        <w:t>, 20(9), pp.1297–303. Available at: http://www.pubmedcentral.nih.gov/articlerender.fcgi?artid=2928508&amp;tool=pmcentrez&amp;rendertype=abstract [Accessed July 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Miotto, O. et al., 2013. Multiple populations of artemisinin-resistant Plasmodium falciparum in Cambodia. </w:t>
      </w:r>
      <w:r w:rsidRPr="00716BD6">
        <w:rPr>
          <w:rFonts w:ascii="Calibri" w:hAnsi="Calibri"/>
          <w:i/>
          <w:iCs/>
          <w:noProof/>
          <w:sz w:val="22"/>
        </w:rPr>
        <w:t>Nature genetics</w:t>
      </w:r>
      <w:r w:rsidRPr="00716BD6">
        <w:rPr>
          <w:rFonts w:ascii="Calibri" w:hAnsi="Calibri"/>
          <w:noProof/>
          <w:sz w:val="22"/>
        </w:rPr>
        <w:t>, 45(6), pp.648–55. Available at: http://www.pubmedcentral.nih.gov/articlerender.fcgi?artid=3807790&amp;tool=pmcentrez&amp;rendertype=abstract [Accessed September 30,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Mira-Martínez, S. et al., 2013. Epigenetic switches in clag3 genes mediate blasticidin S resistance in malaria parasites. </w:t>
      </w:r>
      <w:r w:rsidRPr="00716BD6">
        <w:rPr>
          <w:rFonts w:ascii="Calibri" w:hAnsi="Calibri"/>
          <w:i/>
          <w:iCs/>
          <w:noProof/>
          <w:sz w:val="22"/>
        </w:rPr>
        <w:t>Cellular microbiology</w:t>
      </w:r>
      <w:r w:rsidRPr="00716BD6">
        <w:rPr>
          <w:rFonts w:ascii="Calibri" w:hAnsi="Calibri"/>
          <w:noProof/>
          <w:sz w:val="22"/>
        </w:rPr>
        <w:t>, 15(11), pp.1913–23. Available at: http://www.ncbi.nlm.nih.gov/pubmed/23819786 [Accessed December 10,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Mok, S. et al., 2014. Structural polymorphism in the promoter of pfmrp2 confers Plasmodium falciparum tolerance to quinoline drugs. </w:t>
      </w:r>
      <w:r w:rsidRPr="00716BD6">
        <w:rPr>
          <w:rFonts w:ascii="Calibri" w:hAnsi="Calibri"/>
          <w:i/>
          <w:iCs/>
          <w:noProof/>
          <w:sz w:val="22"/>
        </w:rPr>
        <w:t>Molecular microbiology</w:t>
      </w:r>
      <w:r w:rsidRPr="00716BD6">
        <w:rPr>
          <w:rFonts w:ascii="Calibri" w:hAnsi="Calibri"/>
          <w:noProof/>
          <w:sz w:val="22"/>
        </w:rPr>
        <w:t>, 91(5), pp.918–34. Available at: http://www.ncbi.nlm.nih.gov/pubmed/24372851 [Accessed November 13,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Montgomery, S.B. et al., 2013. The origin, evolution, and functional impact of short insertion-deletion variants identified in 179 human genomes. </w:t>
      </w:r>
      <w:r w:rsidRPr="00716BD6">
        <w:rPr>
          <w:rFonts w:ascii="Calibri" w:hAnsi="Calibri"/>
          <w:i/>
          <w:iCs/>
          <w:noProof/>
          <w:sz w:val="22"/>
        </w:rPr>
        <w:t>Genome research</w:t>
      </w:r>
      <w:r w:rsidRPr="00716BD6">
        <w:rPr>
          <w:rFonts w:ascii="Calibri" w:hAnsi="Calibri"/>
          <w:noProof/>
          <w:sz w:val="22"/>
        </w:rPr>
        <w:t>, 23(5), pp.749–61. Available at: http://www.pubmedcentral.nih.gov/articlerender.fcgi?artid=3638132&amp;tool=pmcentrez&amp;rendertype=abstract [Accessed August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Muralidharan, V. &amp; Goldberg, D.E., 2013. Asparagine repeats in Plasmodium falciparum proteins: good for nothing? L. J. Knoll, ed. </w:t>
      </w:r>
      <w:r w:rsidRPr="00716BD6">
        <w:rPr>
          <w:rFonts w:ascii="Calibri" w:hAnsi="Calibri"/>
          <w:i/>
          <w:iCs/>
          <w:noProof/>
          <w:sz w:val="22"/>
        </w:rPr>
        <w:t>PLoS pathogens</w:t>
      </w:r>
      <w:r w:rsidRPr="00716BD6">
        <w:rPr>
          <w:rFonts w:ascii="Calibri" w:hAnsi="Calibri"/>
          <w:noProof/>
          <w:sz w:val="22"/>
        </w:rPr>
        <w:t>, 9(8), p.e1003488. Available at: http://dx.plos.org/10.1371/journal.ppat.1003488 [Accessed December 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Muzzey, D. et al., 2013. Assembly of a phased diploid Candida albicans genome facilitates allele-specific measurements and provides a simple model for repeat and indel structure. </w:t>
      </w:r>
      <w:r w:rsidRPr="00716BD6">
        <w:rPr>
          <w:rFonts w:ascii="Calibri" w:hAnsi="Calibri"/>
          <w:i/>
          <w:iCs/>
          <w:noProof/>
          <w:sz w:val="22"/>
        </w:rPr>
        <w:t>Genome biology</w:t>
      </w:r>
      <w:r w:rsidRPr="00716BD6">
        <w:rPr>
          <w:rFonts w:ascii="Calibri" w:hAnsi="Calibri"/>
          <w:noProof/>
          <w:sz w:val="22"/>
        </w:rPr>
        <w:t>, 14(9), p.R97. Available at: http://genomebiology.com/2013/14/9/R97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Myers, S. et al., 2005. A fine-scale map of recombination rates and hotspots across the human genome. </w:t>
      </w:r>
      <w:r w:rsidRPr="00716BD6">
        <w:rPr>
          <w:rFonts w:ascii="Calibri" w:hAnsi="Calibri"/>
          <w:i/>
          <w:iCs/>
          <w:noProof/>
          <w:sz w:val="22"/>
        </w:rPr>
        <w:t>Science (New York, N.Y.)</w:t>
      </w:r>
      <w:r w:rsidRPr="00716BD6">
        <w:rPr>
          <w:rFonts w:ascii="Calibri" w:hAnsi="Calibri"/>
          <w:noProof/>
          <w:sz w:val="22"/>
        </w:rPr>
        <w:t>, 310(5746), pp.321–4. Available at: http://www.sciencemag.org/content/310/5746/321 [Accessed July 23,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2008. Adaptive copy number evolution in malaria parasites. </w:t>
      </w:r>
      <w:r w:rsidRPr="00716BD6">
        <w:rPr>
          <w:rFonts w:ascii="Calibri" w:hAnsi="Calibri"/>
          <w:i/>
          <w:iCs/>
          <w:noProof/>
          <w:sz w:val="22"/>
        </w:rPr>
        <w:t>PLoS genetics</w:t>
      </w:r>
      <w:r w:rsidRPr="00716BD6">
        <w:rPr>
          <w:rFonts w:ascii="Calibri" w:hAnsi="Calibri"/>
          <w:noProof/>
          <w:sz w:val="22"/>
        </w:rPr>
        <w:t>, 4(10), p.e1000243. Available at: http://www.pubmedcentral.nih.gov/articlerender.fcgi?artid=2570623&amp;tool=pmcentrez&amp;rendertype=abstract [Accessed November 17,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Nair, S. et al., 2007. Recurrent gene amplification and soft selective sweeps during evolution of multidrug resistance in malaria parasites. </w:t>
      </w:r>
      <w:r w:rsidRPr="00716BD6">
        <w:rPr>
          <w:rFonts w:ascii="Calibri" w:hAnsi="Calibri"/>
          <w:i/>
          <w:iCs/>
          <w:noProof/>
          <w:sz w:val="22"/>
        </w:rPr>
        <w:t>Molecular biology and evolution</w:t>
      </w:r>
      <w:r w:rsidRPr="00716BD6">
        <w:rPr>
          <w:rFonts w:ascii="Calibri" w:hAnsi="Calibri"/>
          <w:noProof/>
          <w:sz w:val="22"/>
        </w:rPr>
        <w:t>, 24(2), pp.562–73. Available at: http://www.ncbi.nlm.nih.gov/pubmed/17124182 [Accessed November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Ranford-Cartwright, L.C. &amp; Mwangi, J.M., 2012. Analysis of malaria parasite phenotypes using experimental genetic crosses of Plasmodium falciparum. </w:t>
      </w:r>
      <w:r w:rsidRPr="00716BD6">
        <w:rPr>
          <w:rFonts w:ascii="Calibri" w:hAnsi="Calibri"/>
          <w:i/>
          <w:iCs/>
          <w:noProof/>
          <w:sz w:val="22"/>
        </w:rPr>
        <w:t>International journal for parasitology</w:t>
      </w:r>
      <w:r w:rsidRPr="00716BD6">
        <w:rPr>
          <w:rFonts w:ascii="Calibri" w:hAnsi="Calibri"/>
          <w:noProof/>
          <w:sz w:val="22"/>
        </w:rPr>
        <w:t>, 42(6), pp.529–34. Available at: http://www.pubmedcentral.nih.gov/articlerender.fcgi?artid=4039998&amp;tool=pmcentrez&amp;rendertype=abstract [Accessed November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Robasky, K., Lewis, N.E. &amp; Church, G.M., 2014. The role of replicates for error mitigation in next-generation sequencing. </w:t>
      </w:r>
      <w:r w:rsidRPr="00716BD6">
        <w:rPr>
          <w:rFonts w:ascii="Calibri" w:hAnsi="Calibri"/>
          <w:i/>
          <w:iCs/>
          <w:noProof/>
          <w:sz w:val="22"/>
        </w:rPr>
        <w:t>Nature reviews. Genetics</w:t>
      </w:r>
      <w:r w:rsidRPr="00716BD6">
        <w:rPr>
          <w:rFonts w:ascii="Calibri" w:hAnsi="Calibri"/>
          <w:noProof/>
          <w:sz w:val="22"/>
        </w:rPr>
        <w:t>, 15(1), pp.56–62. Available at: http://dx.doi.org/10.1038/nrg3655 [Accessed July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Rosenthal, P.J., 2013. The interplay between drug resistance and fitness in malaria parasites. </w:t>
      </w:r>
      <w:r w:rsidRPr="00716BD6">
        <w:rPr>
          <w:rFonts w:ascii="Calibri" w:hAnsi="Calibri"/>
          <w:i/>
          <w:iCs/>
          <w:noProof/>
          <w:sz w:val="22"/>
        </w:rPr>
        <w:t>Molecular microbiology</w:t>
      </w:r>
      <w:r w:rsidRPr="00716BD6">
        <w:rPr>
          <w:rFonts w:ascii="Calibri" w:hAnsi="Calibri"/>
          <w:noProof/>
          <w:sz w:val="22"/>
        </w:rPr>
        <w:t>, 89(6), pp.1025–38. Available at: http://www.pubmedcentral.nih.gov/articlerender.fcgi?artid=3792794&amp;tool=pmcentrez&amp;rendertype=abstract [Accessed April 22,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Roy, S.W., Ferreira, M.U. &amp; Hartl, D.L., 2008. Evolution of allelic dimorphism in malarial surface antigens. </w:t>
      </w:r>
      <w:r w:rsidRPr="00716BD6">
        <w:rPr>
          <w:rFonts w:ascii="Calibri" w:hAnsi="Calibri"/>
          <w:i/>
          <w:iCs/>
          <w:noProof/>
          <w:sz w:val="22"/>
        </w:rPr>
        <w:t>Heredity</w:t>
      </w:r>
      <w:r w:rsidRPr="00716BD6">
        <w:rPr>
          <w:rFonts w:ascii="Calibri" w:hAnsi="Calibri"/>
          <w:noProof/>
          <w:sz w:val="22"/>
        </w:rPr>
        <w:t>, 100(2), pp.103–10. Available at: http://www.ncbi.nlm.nih.gov/pubmed/17021615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Samarakoon, U., Regier, A., et al., 2011. High-throughput 454 resequencing for allele discovery and recombination mapping in Plasmodium falciparum. </w:t>
      </w:r>
      <w:r w:rsidRPr="00716BD6">
        <w:rPr>
          <w:rFonts w:ascii="Calibri" w:hAnsi="Calibri"/>
          <w:i/>
          <w:iCs/>
          <w:noProof/>
          <w:sz w:val="22"/>
        </w:rPr>
        <w:t>BMC genomics</w:t>
      </w:r>
      <w:r w:rsidRPr="00716BD6">
        <w:rPr>
          <w:rFonts w:ascii="Calibri" w:hAnsi="Calibri"/>
          <w:noProof/>
          <w:sz w:val="22"/>
        </w:rPr>
        <w:t>, 12, p.116. Available at: http://www.pubmedcentral.nih.gov/articlerender.fcgi?artid=3055840&amp;tool=pmcentrez&amp;rendertype=abstract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Samarakoon, U., Gonzales, J.M., et al., 2011. The landscape of inherited and de novo copy number variants in a Plasmodium falciparum genetic cross. </w:t>
      </w:r>
      <w:r w:rsidRPr="00716BD6">
        <w:rPr>
          <w:rFonts w:ascii="Calibri" w:hAnsi="Calibri"/>
          <w:i/>
          <w:iCs/>
          <w:noProof/>
          <w:sz w:val="22"/>
        </w:rPr>
        <w:t>BMC genomics</w:t>
      </w:r>
      <w:r w:rsidRPr="00716BD6">
        <w:rPr>
          <w:rFonts w:ascii="Calibri" w:hAnsi="Calibri"/>
          <w:noProof/>
          <w:sz w:val="22"/>
        </w:rPr>
        <w:t>, 12, p.457. Available at: http://www.pubmedcentral.nih.gov/articlerender.fcgi?artid=3191341&amp;tool=pmcentrez&amp;rendertype=abstract [Accessed October 18,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Saunders, I.W., Brohede, J. &amp; Hannan, G.N., 2007. Estimating genotyping error rates from Mendelian errors in SNP array genotypes and their impact on inference. </w:t>
      </w:r>
      <w:r w:rsidRPr="00716BD6">
        <w:rPr>
          <w:rFonts w:ascii="Calibri" w:hAnsi="Calibri"/>
          <w:i/>
          <w:iCs/>
          <w:noProof/>
          <w:sz w:val="22"/>
        </w:rPr>
        <w:t>Genomics</w:t>
      </w:r>
      <w:r w:rsidRPr="00716BD6">
        <w:rPr>
          <w:rFonts w:ascii="Calibri" w:hAnsi="Calibri"/>
          <w:noProof/>
          <w:sz w:val="22"/>
        </w:rPr>
        <w:t>, 90(3), pp.291–6. Available at: http://www.sciencedirect.com/science/article/pii/S088875430700136X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Sepúlveda, N. et al., 2013. A Poisson hierarchical modelling approach to detecting copy number variation in sequence coverage data. </w:t>
      </w:r>
      <w:r w:rsidRPr="00716BD6">
        <w:rPr>
          <w:rFonts w:ascii="Calibri" w:hAnsi="Calibri"/>
          <w:i/>
          <w:iCs/>
          <w:noProof/>
          <w:sz w:val="22"/>
        </w:rPr>
        <w:t>BMC genomics</w:t>
      </w:r>
      <w:r w:rsidRPr="00716BD6">
        <w:rPr>
          <w:rFonts w:ascii="Calibri" w:hAnsi="Calibri"/>
          <w:noProof/>
          <w:sz w:val="22"/>
        </w:rPr>
        <w:t>, 14, p.128. Available at: http://www.pubmedcentral.nih.gov/articlerender.fcgi?artid=3679970&amp;tool=pmcentrez&amp;rendertype=abstract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et al., 1999. A genetic map and recombination parameters of the human malaria parasite Plasmodium falciparum. </w:t>
      </w:r>
      <w:r w:rsidRPr="00716BD6">
        <w:rPr>
          <w:rFonts w:ascii="Calibri" w:hAnsi="Calibri"/>
          <w:i/>
          <w:iCs/>
          <w:noProof/>
          <w:sz w:val="22"/>
        </w:rPr>
        <w:t>Science (New York, N.Y.)</w:t>
      </w:r>
      <w:r w:rsidRPr="00716BD6">
        <w:rPr>
          <w:rFonts w:ascii="Calibri" w:hAnsi="Calibri"/>
          <w:noProof/>
          <w:sz w:val="22"/>
        </w:rPr>
        <w:t>, 286(5443), pp.1351–3. Available at: http://www.ncbi.nlm.nih.gov/pubmed/10558988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Su, X., Hayton, K. &amp; Wellems, T.E., 2007. Genetic linkage and association analyses for trait mapping in Plasmodium falciparum. </w:t>
      </w:r>
      <w:r w:rsidRPr="00716BD6">
        <w:rPr>
          <w:rFonts w:ascii="Calibri" w:hAnsi="Calibri"/>
          <w:i/>
          <w:iCs/>
          <w:noProof/>
          <w:sz w:val="22"/>
        </w:rPr>
        <w:t>Nature reviews. Genetics</w:t>
      </w:r>
      <w:r w:rsidRPr="00716BD6">
        <w:rPr>
          <w:rFonts w:ascii="Calibri" w:hAnsi="Calibri"/>
          <w:noProof/>
          <w:sz w:val="22"/>
        </w:rPr>
        <w:t>, 8(7), pp.497–506. Available at: http://dx.doi.org/10.1038/nrg2126 [Accessed January 20,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Tan, J.C. et al., 2010. Variable numbers of tandem repeats in Plasmodium falciparum genes. </w:t>
      </w:r>
      <w:r w:rsidRPr="00716BD6">
        <w:rPr>
          <w:rFonts w:ascii="Calibri" w:hAnsi="Calibri"/>
          <w:i/>
          <w:iCs/>
          <w:noProof/>
          <w:sz w:val="22"/>
        </w:rPr>
        <w:t>Journal of molecular evolution</w:t>
      </w:r>
      <w:r w:rsidRPr="00716BD6">
        <w:rPr>
          <w:rFonts w:ascii="Calibri" w:hAnsi="Calibri"/>
          <w:noProof/>
          <w:sz w:val="22"/>
        </w:rPr>
        <w:t>, 71(4), pp.268–78. Available at: http://www.pubmedcentral.nih.gov/articlerender.fcgi?artid=3205454&amp;tool=pmcentrez&amp;rendertype=abstract [Accessed November 21,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Valli, A., López-Moya, J.J. &amp; García, J.A., 2007. Recombination and gene duplication in the evolutionary diversification of P1 proteins in the family Potyviridae. </w:t>
      </w:r>
      <w:r w:rsidRPr="00716BD6">
        <w:rPr>
          <w:rFonts w:ascii="Calibri" w:hAnsi="Calibri"/>
          <w:i/>
          <w:iCs/>
          <w:noProof/>
          <w:sz w:val="22"/>
        </w:rPr>
        <w:t>The Journal of general virology</w:t>
      </w:r>
      <w:r w:rsidRPr="00716BD6">
        <w:rPr>
          <w:rFonts w:ascii="Calibri" w:hAnsi="Calibri"/>
          <w:noProof/>
          <w:sz w:val="22"/>
        </w:rPr>
        <w:t>, 88(Pt 3), pp.1016–28. Available at: http://www.ncbi.nlm.nih.gov/pubmed/17325376 [Accessed May 12,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Vaughan, A.M. et al., 2015. Plasmodium falciparum genetic crosses in a humanized mouse model. </w:t>
      </w:r>
      <w:r w:rsidRPr="00716BD6">
        <w:rPr>
          <w:rFonts w:ascii="Calibri" w:hAnsi="Calibri"/>
          <w:i/>
          <w:iCs/>
          <w:noProof/>
          <w:sz w:val="22"/>
        </w:rPr>
        <w:t>Nature methods</w:t>
      </w:r>
      <w:r w:rsidRPr="00716BD6">
        <w:rPr>
          <w:rFonts w:ascii="Calibri" w:hAnsi="Calibri"/>
          <w:noProof/>
          <w:sz w:val="22"/>
        </w:rPr>
        <w:t>, 12(7), pp.631–633. Available at: http://dx.doi.org/10.1038/nmeth.3432 [Accessed June 29, 2015].</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Völker, M. et al., 2010. Copy number variation, chromosome rearrangement, and their association with recombination during avian evolution. </w:t>
      </w:r>
      <w:r w:rsidRPr="00716BD6">
        <w:rPr>
          <w:rFonts w:ascii="Calibri" w:hAnsi="Calibri"/>
          <w:i/>
          <w:iCs/>
          <w:noProof/>
          <w:sz w:val="22"/>
        </w:rPr>
        <w:t>Genome research</w:t>
      </w:r>
      <w:r w:rsidRPr="00716BD6">
        <w:rPr>
          <w:rFonts w:ascii="Calibri" w:hAnsi="Calibri"/>
          <w:noProof/>
          <w:sz w:val="22"/>
        </w:rPr>
        <w:t>, 20(4), pp.503–11. Available at: http://genome.cshlp.org/content/20/4/503.full [Accessed December 15,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Walker-Jonah, A. et al., 1992. An RFLP map of the Plasmodium falciparum genome, recombination rates and favored linkage groups in a genetic cross. </w:t>
      </w:r>
      <w:r w:rsidRPr="00716BD6">
        <w:rPr>
          <w:rFonts w:ascii="Calibri" w:hAnsi="Calibri"/>
          <w:i/>
          <w:iCs/>
          <w:noProof/>
          <w:sz w:val="22"/>
        </w:rPr>
        <w:t>Molecular and biochemical parasitology</w:t>
      </w:r>
      <w:r w:rsidRPr="00716BD6">
        <w:rPr>
          <w:rFonts w:ascii="Calibri" w:hAnsi="Calibri"/>
          <w:noProof/>
          <w:sz w:val="22"/>
        </w:rPr>
        <w:t>, 51(2), pp.313–20. Available at: http://www.ncbi.nlm.nih.gov/pubmed/1349423 [Accessed November 19,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lastRenderedPageBreak/>
        <w:t xml:space="preserve">Walliker, D. et al., 1987. Genetic analysis of the human malaria parasite Plasmodium falciparum. </w:t>
      </w:r>
      <w:r w:rsidRPr="00716BD6">
        <w:rPr>
          <w:rFonts w:ascii="Calibri" w:hAnsi="Calibri"/>
          <w:i/>
          <w:iCs/>
          <w:noProof/>
          <w:sz w:val="22"/>
        </w:rPr>
        <w:t>Science (New York, N.Y.)</w:t>
      </w:r>
      <w:r w:rsidRPr="00716BD6">
        <w:rPr>
          <w:rFonts w:ascii="Calibri" w:hAnsi="Calibri"/>
          <w:noProof/>
          <w:sz w:val="22"/>
        </w:rPr>
        <w:t>, 236(4809), pp.1661–6. Available at: http://www.ncbi.nlm.nih.gov/pubmed/3299700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et al., 1990. Chloroquine resistance not linked to mdr-like genes in a Plasmodium falciparum cross. </w:t>
      </w:r>
      <w:r w:rsidRPr="00716BD6">
        <w:rPr>
          <w:rFonts w:ascii="Calibri" w:hAnsi="Calibri"/>
          <w:i/>
          <w:iCs/>
          <w:noProof/>
          <w:sz w:val="22"/>
        </w:rPr>
        <w:t>Nature</w:t>
      </w:r>
      <w:r w:rsidRPr="00716BD6">
        <w:rPr>
          <w:rFonts w:ascii="Calibri" w:hAnsi="Calibri"/>
          <w:noProof/>
          <w:sz w:val="22"/>
        </w:rPr>
        <w:t>, 345(6272), pp.253–5. Available at: http://www.ncbi.nlm.nih.gov/pubmed/1970614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Wellems, T.E., Walker-Jonah, A. &amp; Panton, L.J., 1991. Genetic mapping of the chloroquine-resistance locus on Plasmodium falciparum chromosome 7. </w:t>
      </w:r>
      <w:r w:rsidRPr="00716BD6">
        <w:rPr>
          <w:rFonts w:ascii="Calibri" w:hAnsi="Calibri"/>
          <w:i/>
          <w:iCs/>
          <w:noProof/>
          <w:sz w:val="22"/>
        </w:rPr>
        <w:t>Proceedings of the National Academy of Sciences of the United States of America</w:t>
      </w:r>
      <w:r w:rsidRPr="00716BD6">
        <w:rPr>
          <w:rFonts w:ascii="Calibri" w:hAnsi="Calibri"/>
          <w:noProof/>
          <w:sz w:val="22"/>
        </w:rPr>
        <w:t>, 88(8), pp.3382–6. Available at: http://www.pubmedcentral.nih.gov/articlerender.fcgi?artid=51451&amp;tool=pmcentrez&amp;rendertype=abstract [Accessed November 11,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Youds, J.L. &amp; Boulton, S.J., 2011. The choice in meiosis - defining the factors that influence crossover or non-crossover formation. </w:t>
      </w:r>
      <w:r w:rsidRPr="00716BD6">
        <w:rPr>
          <w:rFonts w:ascii="Calibri" w:hAnsi="Calibri"/>
          <w:i/>
          <w:iCs/>
          <w:noProof/>
          <w:sz w:val="22"/>
        </w:rPr>
        <w:t>Journal of cell science</w:t>
      </w:r>
      <w:r w:rsidRPr="00716BD6">
        <w:rPr>
          <w:rFonts w:ascii="Calibri" w:hAnsi="Calibri"/>
          <w:noProof/>
          <w:sz w:val="22"/>
        </w:rPr>
        <w:t>, 124(Pt 4), pp.501–13. Available at: http://www.ncbi.nlm.nih.gov/pubmed/21282472 [Accessed December 12, 2014].</w:t>
      </w:r>
    </w:p>
    <w:p w:rsidR="00716BD6" w:rsidRPr="00716BD6" w:rsidRDefault="00716BD6">
      <w:pPr>
        <w:pStyle w:val="NormalWeb"/>
        <w:ind w:left="480" w:hanging="480"/>
        <w:divId w:val="1299148219"/>
        <w:rPr>
          <w:rFonts w:ascii="Calibri" w:hAnsi="Calibri"/>
          <w:noProof/>
          <w:sz w:val="22"/>
        </w:rPr>
      </w:pPr>
      <w:r w:rsidRPr="00716BD6">
        <w:rPr>
          <w:rFonts w:ascii="Calibri" w:hAnsi="Calibri"/>
          <w:noProof/>
          <w:sz w:val="22"/>
        </w:rPr>
        <w:t xml:space="preserve">Zilversmit, M.M. et al., 2010. Low-complexity regions in Plasmodium falciparum: missing links in the evolution of an extreme genome. </w:t>
      </w:r>
      <w:r w:rsidRPr="00716BD6">
        <w:rPr>
          <w:rFonts w:ascii="Calibri" w:hAnsi="Calibri"/>
          <w:i/>
          <w:iCs/>
          <w:noProof/>
          <w:sz w:val="22"/>
        </w:rPr>
        <w:t>Molecular biology and evolution</w:t>
      </w:r>
      <w:r w:rsidRPr="00716BD6">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16BD6">
      <w:pPr>
        <w:pStyle w:val="NormalWeb"/>
        <w:ind w:left="480" w:hanging="480"/>
        <w:divId w:val="985088373"/>
      </w:pPr>
      <w:r>
        <w:fldChar w:fldCharType="end"/>
      </w:r>
    </w:p>
    <w:sectPr w:rsidR="009E1600" w:rsidRPr="009E1600" w:rsidSect="00355A6C">
      <w:footerReference w:type="default" r:id="rId20"/>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753" w:rsidRDefault="005E1753" w:rsidP="008B66D9">
      <w:pPr>
        <w:spacing w:after="0" w:line="240" w:lineRule="auto"/>
      </w:pPr>
      <w:r>
        <w:separator/>
      </w:r>
    </w:p>
  </w:endnote>
  <w:endnote w:type="continuationSeparator" w:id="0">
    <w:p w:rsidR="005E1753" w:rsidRDefault="005E1753"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1359936"/>
      <w:docPartObj>
        <w:docPartGallery w:val="Page Numbers (Bottom of Page)"/>
        <w:docPartUnique/>
      </w:docPartObj>
    </w:sdtPr>
    <w:sdtEndPr>
      <w:rPr>
        <w:noProof/>
      </w:rPr>
    </w:sdtEndPr>
    <w:sdtContent>
      <w:p w:rsidR="008A0546" w:rsidRDefault="008A0546">
        <w:pPr>
          <w:pStyle w:val="Footer"/>
          <w:jc w:val="center"/>
        </w:pPr>
        <w:r>
          <w:fldChar w:fldCharType="begin"/>
        </w:r>
        <w:r>
          <w:instrText xml:space="preserve"> PAGE   \* MERGEFORMAT </w:instrText>
        </w:r>
        <w:r>
          <w:fldChar w:fldCharType="separate"/>
        </w:r>
        <w:r w:rsidR="00FE299C">
          <w:rPr>
            <w:noProof/>
          </w:rPr>
          <w:t>19</w:t>
        </w:r>
        <w:r>
          <w:rPr>
            <w:noProof/>
          </w:rPr>
          <w:fldChar w:fldCharType="end"/>
        </w:r>
      </w:p>
    </w:sdtContent>
  </w:sdt>
  <w:p w:rsidR="008A0546" w:rsidRDefault="008A05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753" w:rsidRDefault="005E1753" w:rsidP="008B66D9">
      <w:pPr>
        <w:spacing w:after="0" w:line="240" w:lineRule="auto"/>
      </w:pPr>
      <w:r>
        <w:separator/>
      </w:r>
    </w:p>
  </w:footnote>
  <w:footnote w:type="continuationSeparator" w:id="0">
    <w:p w:rsidR="005E1753" w:rsidRDefault="005E1753" w:rsidP="008B66D9">
      <w:pPr>
        <w:spacing w:after="0" w:line="240" w:lineRule="auto"/>
      </w:pPr>
      <w:r>
        <w:continuationSeparator/>
      </w:r>
    </w:p>
  </w:footnote>
  <w:footnote w:id="1">
    <w:p w:rsidR="008A0546" w:rsidRDefault="008A0546">
      <w:pPr>
        <w:pStyle w:val="FootnoteText"/>
      </w:pPr>
      <w:r>
        <w:rPr>
          <w:rStyle w:val="FootnoteReference"/>
        </w:rPr>
        <w:footnoteRef/>
      </w:r>
      <w:r>
        <w:t xml:space="preserve"> MRC Centre for Genomics and Global Health, University of Oxford, Oxford, UK</w:t>
      </w:r>
    </w:p>
  </w:footnote>
  <w:footnote w:id="2">
    <w:p w:rsidR="008A0546" w:rsidRDefault="008A0546">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8A0546" w:rsidRDefault="008A0546">
      <w:pPr>
        <w:pStyle w:val="FootnoteText"/>
      </w:pPr>
      <w:r>
        <w:rPr>
          <w:rStyle w:val="FootnoteReference"/>
        </w:rPr>
        <w:footnoteRef/>
      </w:r>
      <w:r>
        <w:t xml:space="preserve"> Wellcome Trust Centre for Human Genetics, University of Oxford, Oxford, UK</w:t>
      </w:r>
    </w:p>
  </w:footnote>
  <w:footnote w:id="4">
    <w:p w:rsidR="008A0546" w:rsidRDefault="008A0546">
      <w:pPr>
        <w:pStyle w:val="FootnoteText"/>
      </w:pPr>
      <w:r>
        <w:rPr>
          <w:rStyle w:val="FootnoteReference"/>
        </w:rPr>
        <w:footnoteRef/>
      </w:r>
      <w:r>
        <w:t xml:space="preserve"> Bowdoin College, Brunswick, Maine, USA</w:t>
      </w:r>
    </w:p>
  </w:footnote>
  <w:footnote w:id="5">
    <w:p w:rsidR="008A0546" w:rsidRDefault="008A0546">
      <w:pPr>
        <w:pStyle w:val="FootnoteText"/>
      </w:pPr>
      <w:r>
        <w:rPr>
          <w:rStyle w:val="FootnoteReference"/>
        </w:rPr>
        <w:footnoteRef/>
      </w:r>
      <w:r>
        <w:t xml:space="preserve"> Broad Institute of Harvard and MIT, Cambridge, Massachusetts, USA</w:t>
      </w:r>
    </w:p>
  </w:footnote>
  <w:footnote w:id="6">
    <w:p w:rsidR="008A0546" w:rsidRDefault="008A0546">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8A0546" w:rsidRDefault="008A0546">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8A0546" w:rsidRDefault="008A0546">
      <w:pPr>
        <w:pStyle w:val="FootnoteText"/>
      </w:pPr>
      <w:r>
        <w:rPr>
          <w:rStyle w:val="FootnoteReference"/>
        </w:rPr>
        <w:footnoteRef/>
      </w:r>
      <w:r>
        <w:t xml:space="preserve"> Eck Institute for Global Health, Department of Biological Sciences, University of Notre Dame, Notre Dame, Indiana, USA</w:t>
      </w:r>
    </w:p>
  </w:footnote>
  <w:footnote w:id="9">
    <w:p w:rsidR="008A0546" w:rsidRDefault="008A0546">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8A0546" w:rsidRDefault="008A0546">
      <w:pPr>
        <w:pStyle w:val="FootnoteText"/>
      </w:pPr>
      <w:r>
        <w:rPr>
          <w:rStyle w:val="FootnoteReference"/>
        </w:rPr>
        <w:footnoteRef/>
      </w:r>
      <w:r>
        <w:t xml:space="preserve"> Department of Statistics, University of Oxford, Oxford, UK</w:t>
      </w:r>
    </w:p>
  </w:footnote>
  <w:footnote w:id="11">
    <w:p w:rsidR="008A0546" w:rsidRDefault="008A0546" w:rsidP="0083016F">
      <w:pPr>
        <w:pStyle w:val="FootnoteText"/>
      </w:pPr>
      <w:r>
        <w:rPr>
          <w:rStyle w:val="FootnoteReference"/>
        </w:rPr>
        <w:footnoteRef/>
      </w:r>
      <w:r>
        <w:t xml:space="preserve"> ftp://ngs.sanger.ac.uk/production/pf-crosses/1.0/</w:t>
      </w:r>
    </w:p>
  </w:footnote>
  <w:footnote w:id="12">
    <w:p w:rsidR="008A0546" w:rsidRDefault="008A0546">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8A0546" w:rsidRDefault="008A0546">
      <w:pPr>
        <w:pStyle w:val="FootnoteText"/>
      </w:pPr>
      <w:r>
        <w:rPr>
          <w:rStyle w:val="FootnoteReference"/>
        </w:rPr>
        <w:footnoteRef/>
      </w:r>
      <w:r>
        <w:t xml:space="preserve"> https://github.com/alimanfoo/pysamstats</w:t>
      </w:r>
    </w:p>
  </w:footnote>
  <w:footnote w:id="14">
    <w:p w:rsidR="008A0546" w:rsidRDefault="008A0546"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8A0546" w:rsidRDefault="008A0546"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8A0546" w:rsidRDefault="008A0546"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8A0546" w:rsidRDefault="008A0546" w:rsidP="005F76A4">
      <w:pPr>
        <w:pStyle w:val="FootnoteText"/>
      </w:pPr>
      <w:r>
        <w:rPr>
          <w:rStyle w:val="FootnoteReference"/>
        </w:rPr>
        <w:footnoteRef/>
      </w:r>
      <w:r>
        <w:t xml:space="preserve"> Total number of segregating INDELs combined from both alignment and assembly calling methods that passed all quality filters.</w:t>
      </w:r>
    </w:p>
  </w:footnote>
  <w:footnote w:id="18">
    <w:p w:rsidR="008A0546" w:rsidRDefault="008A0546"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8A0546" w:rsidRDefault="008A0546" w:rsidP="005F76A4">
      <w:pPr>
        <w:pStyle w:val="FootnoteText"/>
      </w:pPr>
      <w:r>
        <w:rPr>
          <w:rStyle w:val="FootnoteReference"/>
        </w:rPr>
        <w:footnoteRef/>
      </w:r>
      <w:r>
        <w:t xml:space="preserve"> Indel diversity (number of segregating INDELs per kilo base pair) calculated over 10kb non-overlapping windows within the core genome. Values shown are the median (5-95</w:t>
      </w:r>
      <w:r w:rsidRPr="004815AB">
        <w:rPr>
          <w:vertAlign w:val="superscript"/>
        </w:rPr>
        <w:t>th</w:t>
      </w:r>
      <w:r>
        <w:t xml:space="preserve"> percentile).</w:t>
      </w:r>
    </w:p>
  </w:footnote>
  <w:footnote w:id="20">
    <w:p w:rsidR="008A0546" w:rsidRDefault="008A0546" w:rsidP="005F76A4">
      <w:pPr>
        <w:pStyle w:val="FootnoteText"/>
      </w:pPr>
      <w:r>
        <w:rPr>
          <w:rStyle w:val="FootnoteReference"/>
        </w:rPr>
        <w:footnoteRef/>
      </w:r>
      <w:r>
        <w:t xml:space="preserve"> </w:t>
      </w:r>
      <w:proofErr w:type="gramStart"/>
      <w:r>
        <w:t>Average distance between combined SNP and INDEL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4BF"/>
    <w:rsid w:val="00012D16"/>
    <w:rsid w:val="00013797"/>
    <w:rsid w:val="00015727"/>
    <w:rsid w:val="00016DA9"/>
    <w:rsid w:val="00022BF0"/>
    <w:rsid w:val="0004180F"/>
    <w:rsid w:val="00043C58"/>
    <w:rsid w:val="0005220C"/>
    <w:rsid w:val="000645D6"/>
    <w:rsid w:val="00065004"/>
    <w:rsid w:val="00071215"/>
    <w:rsid w:val="00077681"/>
    <w:rsid w:val="00081BCE"/>
    <w:rsid w:val="000840C7"/>
    <w:rsid w:val="00084E8A"/>
    <w:rsid w:val="000900EE"/>
    <w:rsid w:val="00090410"/>
    <w:rsid w:val="00092516"/>
    <w:rsid w:val="00093124"/>
    <w:rsid w:val="00093131"/>
    <w:rsid w:val="00094913"/>
    <w:rsid w:val="00094D11"/>
    <w:rsid w:val="00097BD4"/>
    <w:rsid w:val="000A1F02"/>
    <w:rsid w:val="000A47CF"/>
    <w:rsid w:val="000B2834"/>
    <w:rsid w:val="000C02A8"/>
    <w:rsid w:val="000C3978"/>
    <w:rsid w:val="000C7198"/>
    <w:rsid w:val="000C7B24"/>
    <w:rsid w:val="000D1E36"/>
    <w:rsid w:val="000D3450"/>
    <w:rsid w:val="000E06C9"/>
    <w:rsid w:val="000E272C"/>
    <w:rsid w:val="000E2B62"/>
    <w:rsid w:val="000E4015"/>
    <w:rsid w:val="000F2C02"/>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20D6"/>
    <w:rsid w:val="001F6267"/>
    <w:rsid w:val="001F7E29"/>
    <w:rsid w:val="00202B2B"/>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5529B"/>
    <w:rsid w:val="00263A8B"/>
    <w:rsid w:val="00264F25"/>
    <w:rsid w:val="00266665"/>
    <w:rsid w:val="002759C7"/>
    <w:rsid w:val="00291C00"/>
    <w:rsid w:val="00293AC3"/>
    <w:rsid w:val="00295C75"/>
    <w:rsid w:val="002A031E"/>
    <w:rsid w:val="002A236A"/>
    <w:rsid w:val="002A2BE8"/>
    <w:rsid w:val="002A5154"/>
    <w:rsid w:val="002B4174"/>
    <w:rsid w:val="002B5CBF"/>
    <w:rsid w:val="002C092B"/>
    <w:rsid w:val="002C3E4D"/>
    <w:rsid w:val="002D236F"/>
    <w:rsid w:val="002F7A46"/>
    <w:rsid w:val="0031069D"/>
    <w:rsid w:val="00316BAD"/>
    <w:rsid w:val="00320409"/>
    <w:rsid w:val="00320E71"/>
    <w:rsid w:val="003224B9"/>
    <w:rsid w:val="00324626"/>
    <w:rsid w:val="00325FF3"/>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347F"/>
    <w:rsid w:val="003C55CB"/>
    <w:rsid w:val="003C6843"/>
    <w:rsid w:val="003C72B7"/>
    <w:rsid w:val="003D0F25"/>
    <w:rsid w:val="003D1E9D"/>
    <w:rsid w:val="003D3144"/>
    <w:rsid w:val="003D5E66"/>
    <w:rsid w:val="003D7F87"/>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1284"/>
    <w:rsid w:val="004332D4"/>
    <w:rsid w:val="00434D88"/>
    <w:rsid w:val="004357C6"/>
    <w:rsid w:val="00436C33"/>
    <w:rsid w:val="004403DA"/>
    <w:rsid w:val="004412FA"/>
    <w:rsid w:val="00442FA6"/>
    <w:rsid w:val="00446F45"/>
    <w:rsid w:val="00450E72"/>
    <w:rsid w:val="004531F4"/>
    <w:rsid w:val="004533B9"/>
    <w:rsid w:val="004535B2"/>
    <w:rsid w:val="004568E5"/>
    <w:rsid w:val="00457090"/>
    <w:rsid w:val="00457F08"/>
    <w:rsid w:val="00463DB8"/>
    <w:rsid w:val="00467EE6"/>
    <w:rsid w:val="0048460E"/>
    <w:rsid w:val="00486677"/>
    <w:rsid w:val="004925F5"/>
    <w:rsid w:val="00494F68"/>
    <w:rsid w:val="004A0AA0"/>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20B"/>
    <w:rsid w:val="005833BA"/>
    <w:rsid w:val="005A3815"/>
    <w:rsid w:val="005A420C"/>
    <w:rsid w:val="005A5B5E"/>
    <w:rsid w:val="005A651D"/>
    <w:rsid w:val="005B37DB"/>
    <w:rsid w:val="005B5119"/>
    <w:rsid w:val="005B671D"/>
    <w:rsid w:val="005B6E1D"/>
    <w:rsid w:val="005C3FF3"/>
    <w:rsid w:val="005D178D"/>
    <w:rsid w:val="005D6D67"/>
    <w:rsid w:val="005D73F0"/>
    <w:rsid w:val="005E1753"/>
    <w:rsid w:val="005E4F41"/>
    <w:rsid w:val="005E4F4C"/>
    <w:rsid w:val="005E5FE9"/>
    <w:rsid w:val="005F02B9"/>
    <w:rsid w:val="005F76A4"/>
    <w:rsid w:val="005F7D85"/>
    <w:rsid w:val="005F7DD3"/>
    <w:rsid w:val="0060093E"/>
    <w:rsid w:val="00601883"/>
    <w:rsid w:val="006018E2"/>
    <w:rsid w:val="00605B08"/>
    <w:rsid w:val="006065AE"/>
    <w:rsid w:val="00607AA0"/>
    <w:rsid w:val="0061637F"/>
    <w:rsid w:val="0062071D"/>
    <w:rsid w:val="00622DB4"/>
    <w:rsid w:val="00622F1D"/>
    <w:rsid w:val="00624AF9"/>
    <w:rsid w:val="00630078"/>
    <w:rsid w:val="00635AD4"/>
    <w:rsid w:val="0063600E"/>
    <w:rsid w:val="006469F3"/>
    <w:rsid w:val="0065235B"/>
    <w:rsid w:val="00653393"/>
    <w:rsid w:val="0066222C"/>
    <w:rsid w:val="0066428C"/>
    <w:rsid w:val="00666208"/>
    <w:rsid w:val="00666B61"/>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3DDF"/>
    <w:rsid w:val="006C6A25"/>
    <w:rsid w:val="006D6FCD"/>
    <w:rsid w:val="006E6764"/>
    <w:rsid w:val="006E7EA9"/>
    <w:rsid w:val="006F1FCC"/>
    <w:rsid w:val="00716BD6"/>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C7B84"/>
    <w:rsid w:val="007D200B"/>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062"/>
    <w:rsid w:val="008901F1"/>
    <w:rsid w:val="00890734"/>
    <w:rsid w:val="00893C7A"/>
    <w:rsid w:val="008A0546"/>
    <w:rsid w:val="008A5CF4"/>
    <w:rsid w:val="008B2CF9"/>
    <w:rsid w:val="008B66D9"/>
    <w:rsid w:val="008C03B4"/>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5FFB"/>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036"/>
    <w:rsid w:val="00A42392"/>
    <w:rsid w:val="00A42F7A"/>
    <w:rsid w:val="00A44E52"/>
    <w:rsid w:val="00A4677A"/>
    <w:rsid w:val="00A46A4E"/>
    <w:rsid w:val="00A47DDF"/>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1774"/>
    <w:rsid w:val="00AF5355"/>
    <w:rsid w:val="00B037B8"/>
    <w:rsid w:val="00B05A9F"/>
    <w:rsid w:val="00B11DF3"/>
    <w:rsid w:val="00B1349E"/>
    <w:rsid w:val="00B139F3"/>
    <w:rsid w:val="00B1727B"/>
    <w:rsid w:val="00B241EF"/>
    <w:rsid w:val="00B25677"/>
    <w:rsid w:val="00B2594B"/>
    <w:rsid w:val="00B32D1F"/>
    <w:rsid w:val="00B339B7"/>
    <w:rsid w:val="00B34836"/>
    <w:rsid w:val="00B37C66"/>
    <w:rsid w:val="00B50155"/>
    <w:rsid w:val="00B513E5"/>
    <w:rsid w:val="00B537A3"/>
    <w:rsid w:val="00B53E0D"/>
    <w:rsid w:val="00B65E4B"/>
    <w:rsid w:val="00B6677C"/>
    <w:rsid w:val="00B7595D"/>
    <w:rsid w:val="00BA0FA8"/>
    <w:rsid w:val="00BA2ECE"/>
    <w:rsid w:val="00BA317B"/>
    <w:rsid w:val="00BA4DCF"/>
    <w:rsid w:val="00BB0C47"/>
    <w:rsid w:val="00BB10EC"/>
    <w:rsid w:val="00BB14AF"/>
    <w:rsid w:val="00BC5A53"/>
    <w:rsid w:val="00BD2070"/>
    <w:rsid w:val="00BD7C23"/>
    <w:rsid w:val="00BE0BCD"/>
    <w:rsid w:val="00BE1CB2"/>
    <w:rsid w:val="00BE5D41"/>
    <w:rsid w:val="00BF129B"/>
    <w:rsid w:val="00BF4505"/>
    <w:rsid w:val="00BF518B"/>
    <w:rsid w:val="00BF5714"/>
    <w:rsid w:val="00BF5E41"/>
    <w:rsid w:val="00BF5E5E"/>
    <w:rsid w:val="00BF7D13"/>
    <w:rsid w:val="00C039E3"/>
    <w:rsid w:val="00C03BD9"/>
    <w:rsid w:val="00C130CA"/>
    <w:rsid w:val="00C15FC0"/>
    <w:rsid w:val="00C208FD"/>
    <w:rsid w:val="00C21A3B"/>
    <w:rsid w:val="00C24654"/>
    <w:rsid w:val="00C24746"/>
    <w:rsid w:val="00C31D10"/>
    <w:rsid w:val="00C32810"/>
    <w:rsid w:val="00C333D0"/>
    <w:rsid w:val="00C37853"/>
    <w:rsid w:val="00C37D76"/>
    <w:rsid w:val="00C42374"/>
    <w:rsid w:val="00C4455E"/>
    <w:rsid w:val="00C44746"/>
    <w:rsid w:val="00C47636"/>
    <w:rsid w:val="00C50688"/>
    <w:rsid w:val="00C51B90"/>
    <w:rsid w:val="00C53090"/>
    <w:rsid w:val="00C63023"/>
    <w:rsid w:val="00C67381"/>
    <w:rsid w:val="00C73348"/>
    <w:rsid w:val="00C7335B"/>
    <w:rsid w:val="00C8137E"/>
    <w:rsid w:val="00C818E0"/>
    <w:rsid w:val="00C81D5D"/>
    <w:rsid w:val="00C82549"/>
    <w:rsid w:val="00C95BB5"/>
    <w:rsid w:val="00C97C07"/>
    <w:rsid w:val="00CA3E0D"/>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140B"/>
    <w:rsid w:val="00D14426"/>
    <w:rsid w:val="00D16D18"/>
    <w:rsid w:val="00D246DE"/>
    <w:rsid w:val="00D24847"/>
    <w:rsid w:val="00D24B5A"/>
    <w:rsid w:val="00D270D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2607"/>
    <w:rsid w:val="00D96060"/>
    <w:rsid w:val="00DA1B2C"/>
    <w:rsid w:val="00DA3665"/>
    <w:rsid w:val="00DA6F10"/>
    <w:rsid w:val="00DB2FDB"/>
    <w:rsid w:val="00DC21CA"/>
    <w:rsid w:val="00DC386C"/>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05ED5"/>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B54BA"/>
    <w:rsid w:val="00EC0BBF"/>
    <w:rsid w:val="00EC2A4A"/>
    <w:rsid w:val="00EC326F"/>
    <w:rsid w:val="00EC3D5E"/>
    <w:rsid w:val="00EC5F6F"/>
    <w:rsid w:val="00EC7A42"/>
    <w:rsid w:val="00ED0992"/>
    <w:rsid w:val="00ED25D2"/>
    <w:rsid w:val="00ED4067"/>
    <w:rsid w:val="00EE0300"/>
    <w:rsid w:val="00EE1931"/>
    <w:rsid w:val="00EE4AC6"/>
    <w:rsid w:val="00EE5A51"/>
    <w:rsid w:val="00EF2C90"/>
    <w:rsid w:val="00EF319F"/>
    <w:rsid w:val="00EF6779"/>
    <w:rsid w:val="00F04EAF"/>
    <w:rsid w:val="00F07E0D"/>
    <w:rsid w:val="00F11424"/>
    <w:rsid w:val="00F12BE6"/>
    <w:rsid w:val="00F1438E"/>
    <w:rsid w:val="00F230BE"/>
    <w:rsid w:val="00F23B0D"/>
    <w:rsid w:val="00F2574B"/>
    <w:rsid w:val="00F422C1"/>
    <w:rsid w:val="00F428AA"/>
    <w:rsid w:val="00F551F4"/>
    <w:rsid w:val="00F57A57"/>
    <w:rsid w:val="00F67755"/>
    <w:rsid w:val="00F70B94"/>
    <w:rsid w:val="00F7616C"/>
    <w:rsid w:val="00F77C67"/>
    <w:rsid w:val="00F803F5"/>
    <w:rsid w:val="00F81315"/>
    <w:rsid w:val="00F831E6"/>
    <w:rsid w:val="00F931FB"/>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299C"/>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 w:type="paragraph" w:styleId="Caption">
    <w:name w:val="caption"/>
    <w:basedOn w:val="Normal"/>
    <w:next w:val="Normal"/>
    <w:uiPriority w:val="35"/>
    <w:unhideWhenUsed/>
    <w:qFormat/>
    <w:rsid w:val="00EF319F"/>
    <w:pPr>
      <w:spacing w:line="240" w:lineRule="auto"/>
    </w:pPr>
    <w:rPr>
      <w:b/>
      <w:bCs/>
      <w:color w:val="4F81BD" w:themeColor="accent1"/>
      <w:sz w:val="18"/>
      <w:szCs w:val="18"/>
    </w:rPr>
  </w:style>
  <w:style w:type="paragraph" w:styleId="Header">
    <w:name w:val="header"/>
    <w:basedOn w:val="Normal"/>
    <w:link w:val="HeaderChar"/>
    <w:uiPriority w:val="99"/>
    <w:unhideWhenUsed/>
    <w:rsid w:val="00A420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2036"/>
  </w:style>
  <w:style w:type="paragraph" w:styleId="Footer">
    <w:name w:val="footer"/>
    <w:basedOn w:val="Normal"/>
    <w:link w:val="FooterChar"/>
    <w:uiPriority w:val="99"/>
    <w:unhideWhenUsed/>
    <w:rsid w:val="00A420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20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sChild>
                                                                                                                                                                                                                                                                                                                                                                                                                                                                                                                                                                                                                                                                                                                                                                                                                                                                <w:div w:id="985088373">
                                                                                                                                                                                                                                                                                                                                                                                                                                                                                                                                                                                                                                                                                                                                                                                                                                                                  <w:marLeft w:val="0"/>
                                                                                                                                                                                                                                                                                                                                                                                                                                                                                                                                                                                                                                                                                                                                                                                                                                                                  <w:marRight w:val="0"/>
                                                                                                                                                                                                                                                                                                                                                                                                                                                                                                                                                                                                                                                                                                                                                                                                                                                                  <w:marTop w:val="0"/>
                                                                                                                                                                                                                                                                                                                                                                                                                                                                                                                                                                                                                                                                                                                                                                                                                                                                  <w:marBottom w:val="0"/>
                                                                                                                                                                                                                                                                                                                                                                                                                                                                                                                                                                                                                                                                                                                                                                                                                                                                  <w:divBdr>
                                                                                                                                                                                                                                                                                                                                                                                                                                                                                                                                                                                                                                                                                                                                                                                                                                                                    <w:top w:val="none" w:sz="0" w:space="0" w:color="auto"/>
                                                                                                                                                                                                                                                                                                                                                                                                                                                                                                                                                                                                                                                                                                                                                                                                                                                                    <w:left w:val="none" w:sz="0" w:space="0" w:color="auto"/>
                                                                                                                                                                                                                                                                                                                                                                                                                                                                                                                                                                                                                                                                                                                                                                                                                                                                    <w:bottom w:val="none" w:sz="0" w:space="0" w:color="auto"/>
                                                                                                                                                                                                                                                                                                                                                                                                                                                                                                                                                                                                                                                                                                                                                                                                                                                                    <w:right w:val="none" w:sz="0" w:space="0" w:color="auto"/>
                                                                                                                                                                                                                                                                                                                                                                                                                                                                                                                                                                                                                                                                                                                                                                                                                                                                  </w:divBdr>
                                                                                                                                                                                                                                                                                                                                                                                                                                                                                                                                                                                                                                                                                                                                                                                                                                                                  <w:divsChild>
                                                                                                                                                                                                                                                                                                                                                                                                                                                                                                                                                                                                                                                                                                                                                                                                                                                                    <w:div w:id="12991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istair.miles@well.ox.ac.uk" TargetMode="External"/><Relationship Id="rId13" Type="http://schemas.openxmlformats.org/officeDocument/2006/relationships/image" Target="media/image3.jpeg"/><Relationship Id="rId18" Type="http://schemas.openxmlformats.org/officeDocument/2006/relationships/hyperlink" Target="http://www.malariagen.net/apps/pf-crosses/"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malariagen.net/apps/pf-crosses/1.0/" TargetMode="External"/><Relationship Id="rId2" Type="http://schemas.openxmlformats.org/officeDocument/2006/relationships/styles" Target="styles.xml"/><Relationship Id="rId16" Type="http://schemas.openxmlformats.org/officeDocument/2006/relationships/hyperlink" Target="ftp://ngs.sanger.ac.uk/production/malaria/pf-crosses/1.0/"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685B0-9595-4632-9B3A-1C9D5950F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7023</TotalTime>
  <Pages>44</Pages>
  <Words>80210</Words>
  <Characters>457197</Characters>
  <Application>Microsoft Office Word</Application>
  <DocSecurity>0</DocSecurity>
  <Lines>3809</Lines>
  <Paragraphs>1072</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536335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361</cp:revision>
  <cp:lastPrinted>2015-12-22T22:31:00Z</cp:lastPrinted>
  <dcterms:created xsi:type="dcterms:W3CDTF">2014-11-21T18:07:00Z</dcterms:created>
  <dcterms:modified xsi:type="dcterms:W3CDTF">2015-12-22T22:43:00Z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