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666B61" w:rsidRDefault="00A24306" w:rsidP="00D92607">
      <w:pPr>
        <w:spacing w:line="276" w:lineRule="auto"/>
        <w:rPr>
          <w:vertAlign w:val="superscript"/>
        </w:rPr>
      </w:pPr>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BA2C42">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D92607">
        <w:instrText xml:space="preserve"> \* MERGEFORMAT </w:instrText>
      </w:r>
      <w:r w:rsidR="005C3FF3">
        <w:fldChar w:fldCharType="separate"/>
      </w:r>
      <w:r w:rsidR="00BA2C42" w:rsidRPr="00BA2C42">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D92607">
        <w:instrText xml:space="preserve"> \* MERGEFORMAT </w:instrText>
      </w:r>
      <w:r w:rsidR="005C3FF3">
        <w:fldChar w:fldCharType="separate"/>
      </w:r>
      <w:r w:rsidR="00BA2C42" w:rsidRPr="00BA2C42">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BA2C42">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BA2C42">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D92607">
        <w:instrText xml:space="preserve"> \* MERGEFORMAT </w:instrText>
      </w:r>
      <w:r w:rsidR="005C3FF3">
        <w:fldChar w:fldCharType="separate"/>
      </w:r>
      <w:r w:rsidR="00BA2C42" w:rsidRPr="00BA2C42">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A2C42" w:rsidRPr="00BA2C42">
        <w:rPr>
          <w:rStyle w:val="FootnoteReference"/>
        </w:rPr>
        <w:t>1</w:t>
      </w:r>
      <w:r w:rsidR="005C3FF3">
        <w:rPr>
          <w:vertAlign w:val="superscript"/>
        </w:rPr>
        <w:fldChar w:fldCharType="end"/>
      </w:r>
    </w:p>
    <w:p w:rsidR="00666B61" w:rsidRDefault="00666B61" w:rsidP="00D92607">
      <w:pPr>
        <w:spacing w:line="276" w:lineRule="auto"/>
        <w:rPr>
          <w:rFonts w:ascii="Verdana" w:hAnsi="Verdana"/>
          <w:color w:val="333333"/>
          <w:sz w:val="18"/>
          <w:szCs w:val="18"/>
          <w:shd w:val="clear" w:color="auto" w:fill="FFFFFF"/>
        </w:rPr>
      </w:pPr>
      <w:r w:rsidRPr="00666B61">
        <w:rPr>
          <w:b/>
        </w:rPr>
        <w:t>Corresponding author:</w:t>
      </w:r>
      <w:r w:rsidR="00F931FB">
        <w:t xml:space="preserve"> </w:t>
      </w:r>
      <w:r w:rsidR="00F931FB">
        <w:br/>
        <w:t>Alistair Miles</w:t>
      </w:r>
      <w:r w:rsidR="00F931FB">
        <w:br/>
      </w:r>
      <w:r>
        <w:t>Wellcome T</w:t>
      </w:r>
      <w:r w:rsidR="00F931FB">
        <w:t>rust Centre for Human Genetics</w:t>
      </w:r>
      <w:r w:rsidR="00F931FB">
        <w:br/>
        <w:t>University of Oxford</w:t>
      </w:r>
      <w:r w:rsidR="00F931FB">
        <w:br/>
        <w:t>Roosevelt Drive</w:t>
      </w:r>
      <w:r w:rsidR="00F931FB">
        <w:br/>
        <w:t>Oxford</w:t>
      </w:r>
      <w:r w:rsidR="00F931FB">
        <w:br/>
        <w:t>OX3 7BN</w:t>
      </w:r>
      <w:r w:rsidR="00F931FB">
        <w:br/>
      </w:r>
      <w:r>
        <w:t>United Kingdom</w:t>
      </w:r>
      <w:r>
        <w:br/>
        <w:t>Tel: +44 (0)1865 287721</w:t>
      </w:r>
      <w:r>
        <w:br/>
        <w:t xml:space="preserve">Fax: +44 (0)1865 </w:t>
      </w:r>
      <w:r>
        <w:rPr>
          <w:rFonts w:ascii="Verdana" w:hAnsi="Verdana"/>
          <w:color w:val="333333"/>
          <w:sz w:val="18"/>
          <w:szCs w:val="18"/>
          <w:shd w:val="clear" w:color="auto" w:fill="FFFFFF"/>
        </w:rPr>
        <w:t>287501</w:t>
      </w:r>
      <w:r>
        <w:rPr>
          <w:rFonts w:ascii="Verdana" w:hAnsi="Verdana"/>
          <w:color w:val="333333"/>
          <w:sz w:val="18"/>
          <w:szCs w:val="18"/>
          <w:shd w:val="clear" w:color="auto" w:fill="FFFFFF"/>
        </w:rPr>
        <w:br/>
        <w:t xml:space="preserve">Email: </w:t>
      </w:r>
      <w:hyperlink r:id="rId8" w:history="1">
        <w:r w:rsidRPr="00423620">
          <w:rPr>
            <w:rStyle w:val="Hyperlink"/>
            <w:rFonts w:ascii="Verdana" w:hAnsi="Verdana"/>
            <w:sz w:val="18"/>
            <w:szCs w:val="18"/>
            <w:shd w:val="clear" w:color="auto" w:fill="FFFFFF"/>
          </w:rPr>
          <w:t>alistair.miles@well.ox.ac.uk</w:t>
        </w:r>
      </w:hyperlink>
    </w:p>
    <w:p w:rsidR="00666B61" w:rsidRDefault="00666B61" w:rsidP="00D92607">
      <w:pPr>
        <w:spacing w:line="276" w:lineRule="auto"/>
        <w:rPr>
          <w:rFonts w:ascii="Verdana" w:hAnsi="Verdana"/>
          <w:color w:val="333333"/>
          <w:sz w:val="18"/>
          <w:szCs w:val="18"/>
          <w:shd w:val="clear" w:color="auto" w:fill="FFFFFF"/>
        </w:rPr>
      </w:pPr>
      <w:r>
        <w:rPr>
          <w:rFonts w:ascii="Verdana" w:hAnsi="Verdana"/>
          <w:b/>
          <w:color w:val="333333"/>
          <w:sz w:val="18"/>
          <w:szCs w:val="18"/>
          <w:shd w:val="clear" w:color="auto" w:fill="FFFFFF"/>
        </w:rPr>
        <w:t xml:space="preserve">Running title: </w:t>
      </w:r>
      <w:r w:rsidR="000E2B62" w:rsidRPr="000E2B62">
        <w:rPr>
          <w:rFonts w:ascii="Verdana" w:hAnsi="Verdana"/>
          <w:color w:val="333333"/>
          <w:sz w:val="18"/>
          <w:szCs w:val="18"/>
          <w:shd w:val="clear" w:color="auto" w:fill="FFFFFF"/>
        </w:rPr>
        <w:t xml:space="preserve">Deep sequencing of </w:t>
      </w:r>
      <w:r w:rsidR="000E2B62" w:rsidRPr="000E2B62">
        <w:rPr>
          <w:rFonts w:ascii="Verdana" w:hAnsi="Verdana"/>
          <w:i/>
          <w:color w:val="333333"/>
          <w:sz w:val="18"/>
          <w:szCs w:val="18"/>
          <w:shd w:val="clear" w:color="auto" w:fill="FFFFFF"/>
        </w:rPr>
        <w:t>P. falciparum</w:t>
      </w:r>
      <w:r w:rsidR="000E2B62" w:rsidRPr="000E2B62">
        <w:rPr>
          <w:rFonts w:ascii="Verdana" w:hAnsi="Verdana"/>
          <w:color w:val="333333"/>
          <w:sz w:val="18"/>
          <w:szCs w:val="18"/>
          <w:shd w:val="clear" w:color="auto" w:fill="FFFFFF"/>
        </w:rPr>
        <w:t xml:space="preserve"> crosses</w:t>
      </w:r>
    </w:p>
    <w:p w:rsidR="000E2B62" w:rsidRPr="000E2B62" w:rsidRDefault="000E2B62" w:rsidP="00D92607">
      <w:pPr>
        <w:spacing w:line="276" w:lineRule="auto"/>
      </w:pPr>
      <w:r>
        <w:rPr>
          <w:rFonts w:ascii="Verdana" w:hAnsi="Verdana"/>
          <w:b/>
          <w:color w:val="333333"/>
          <w:sz w:val="18"/>
          <w:szCs w:val="18"/>
          <w:shd w:val="clear" w:color="auto" w:fill="FFFFFF"/>
        </w:rPr>
        <w:t>Keywords:</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malaria; plasmodium falciparum;</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next-generation sequencing; genome variation;</w:t>
      </w:r>
      <w:r>
        <w:rPr>
          <w:rFonts w:ascii="Verdana" w:hAnsi="Verdana"/>
          <w:color w:val="333333"/>
          <w:sz w:val="18"/>
          <w:szCs w:val="18"/>
          <w:shd w:val="clear" w:color="auto" w:fill="FFFFFF"/>
        </w:rPr>
        <w:t xml:space="preserve"> INDEL variation</w:t>
      </w:r>
      <w:r w:rsidR="00081BCE">
        <w:rPr>
          <w:rFonts w:ascii="Verdana" w:hAnsi="Verdana"/>
          <w:color w:val="333333"/>
          <w:sz w:val="18"/>
          <w:szCs w:val="18"/>
          <w:shd w:val="clear" w:color="auto" w:fill="FFFFFF"/>
        </w:rPr>
        <w:t>;</w:t>
      </w:r>
      <w:r>
        <w:rPr>
          <w:rFonts w:ascii="Verdana" w:hAnsi="Verdana"/>
          <w:color w:val="333333"/>
          <w:sz w:val="18"/>
          <w:szCs w:val="18"/>
          <w:shd w:val="clear" w:color="auto" w:fill="FFFFFF"/>
        </w:rPr>
        <w:t xml:space="preserve"> </w:t>
      </w:r>
      <w:r w:rsidR="00716BD6">
        <w:rPr>
          <w:rFonts w:ascii="Verdana" w:hAnsi="Verdana"/>
          <w:color w:val="333333"/>
          <w:sz w:val="18"/>
          <w:szCs w:val="18"/>
          <w:shd w:val="clear" w:color="auto" w:fill="FFFFFF"/>
        </w:rPr>
        <w:t xml:space="preserve">complex variation; </w:t>
      </w:r>
      <w:r w:rsidR="00081BCE">
        <w:rPr>
          <w:rFonts w:ascii="Verdana" w:hAnsi="Verdana"/>
          <w:color w:val="333333"/>
          <w:sz w:val="18"/>
          <w:szCs w:val="18"/>
          <w:shd w:val="clear" w:color="auto" w:fill="FFFFFF"/>
        </w:rPr>
        <w:t>meiotic recombination;</w:t>
      </w:r>
      <w:r>
        <w:rPr>
          <w:rFonts w:ascii="Verdana" w:hAnsi="Verdana"/>
          <w:color w:val="333333"/>
          <w:sz w:val="18"/>
          <w:szCs w:val="18"/>
          <w:shd w:val="clear" w:color="auto" w:fill="FFFFFF"/>
        </w:rPr>
        <w:t xml:space="preserve"> gene conversion</w:t>
      </w:r>
      <w:r w:rsidR="00081BCE">
        <w:rPr>
          <w:rFonts w:ascii="Verdana" w:hAnsi="Verdana"/>
          <w:color w:val="333333"/>
          <w:sz w:val="18"/>
          <w:szCs w:val="18"/>
          <w:shd w:val="clear" w:color="auto" w:fill="FFFFFF"/>
        </w:rPr>
        <w:t>; copy number variation;</w:t>
      </w:r>
      <w:r>
        <w:rPr>
          <w:rFonts w:ascii="Verdana" w:hAnsi="Verdana"/>
          <w:color w:val="333333"/>
          <w:sz w:val="18"/>
          <w:szCs w:val="18"/>
          <w:shd w:val="clear" w:color="auto" w:fill="FFFFFF"/>
        </w:rPr>
        <w:t xml:space="preserve"> d</w:t>
      </w:r>
      <w:r w:rsidR="00081BCE">
        <w:rPr>
          <w:rFonts w:ascii="Verdana" w:hAnsi="Verdana"/>
          <w:color w:val="333333"/>
          <w:sz w:val="18"/>
          <w:szCs w:val="18"/>
          <w:shd w:val="clear" w:color="auto" w:fill="FFFFFF"/>
        </w:rPr>
        <w:t>rug resistance</w:t>
      </w:r>
      <w:r>
        <w:rPr>
          <w:rFonts w:ascii="Verdana" w:hAnsi="Verdana"/>
          <w:color w:val="333333"/>
          <w:sz w:val="18"/>
          <w:szCs w:val="18"/>
          <w:shd w:val="clear" w:color="auto" w:fill="FFFFFF"/>
        </w:rPr>
        <w:t xml:space="preserve">  </w:t>
      </w:r>
    </w:p>
    <w:p w:rsidR="00666B61" w:rsidRDefault="00666B61" w:rsidP="00D92607">
      <w:pPr>
        <w:spacing w:line="276" w:lineRule="auto"/>
        <w:rPr>
          <w:vertAlign w:val="superscript"/>
        </w:rPr>
      </w:pPr>
      <w:r>
        <w:rPr>
          <w:vertAlign w:val="superscript"/>
        </w:rPr>
        <w:br w:type="page"/>
      </w:r>
    </w:p>
    <w:p w:rsidR="00A24306" w:rsidRDefault="00A24306" w:rsidP="00D92607">
      <w:pPr>
        <w:pStyle w:val="Heading1"/>
        <w:spacing w:line="480" w:lineRule="auto"/>
      </w:pPr>
      <w:r>
        <w:lastRenderedPageBreak/>
        <w:t>Abstract</w:t>
      </w:r>
    </w:p>
    <w:p w:rsidR="001F20D6" w:rsidRPr="001F20D6" w:rsidRDefault="00324626" w:rsidP="001F20D6">
      <w:pPr>
        <w:spacing w:line="480" w:lineRule="auto"/>
      </w:pPr>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w:t>
      </w:r>
      <w:r w:rsidR="003C347F">
        <w:t>genome-wide, integrated</w:t>
      </w:r>
      <w:r>
        <w:t xml:space="preserve"> analysis of SNP, INDEL and complex polymorphisms</w:t>
      </w:r>
      <w:r w:rsidR="003C347F">
        <w:t>,</w:t>
      </w:r>
      <w:r>
        <w:t xml:space="preserve"> using Mendelian error rates as an indicator of genotypic a</w:t>
      </w:r>
      <w:r w:rsidR="003C347F">
        <w:t xml:space="preserve">ccuracy. These data reveal that </w:t>
      </w:r>
      <w:r>
        <w:t>INDELs are exceptionally abundant</w:t>
      </w:r>
      <w:r w:rsidR="003C347F">
        <w:t>, being more common than SNPs</w:t>
      </w:r>
      <w:r>
        <w:t xml:space="preserve"> and </w:t>
      </w:r>
      <w:r w:rsidR="003C347F">
        <w:t xml:space="preserve">thus </w:t>
      </w:r>
      <w:r>
        <w:t xml:space="preserve">the dominant mode of polymorphism within the core genome. We </w:t>
      </w:r>
      <w:r w:rsidR="003C347F">
        <w:t xml:space="preserve">use the high density of SNP and INDEL markers to analyse patterns </w:t>
      </w:r>
      <w:r w:rsidR="005F02B9">
        <w:t>of meiotic recombination</w:t>
      </w:r>
      <w:r w:rsidR="00084E8A">
        <w:t>, confirming a high rate of crossover events</w:t>
      </w:r>
      <w:r w:rsidR="001F20D6">
        <w:t>,</w:t>
      </w:r>
      <w:r w:rsidR="00084E8A">
        <w:t xml:space="preserve"> </w:t>
      </w:r>
      <w:r w:rsidR="001F20D6">
        <w:t>and providing</w:t>
      </w:r>
      <w:r w:rsidR="003C347F">
        <w:t xml:space="preserve"> </w:t>
      </w:r>
      <w:r w:rsidR="001F20D6">
        <w:t xml:space="preserve">the first </w:t>
      </w:r>
      <w:r w:rsidR="003C347F">
        <w:t xml:space="preserve">estimates for the </w:t>
      </w:r>
      <w:r w:rsidR="001F20D6">
        <w:t xml:space="preserve">rate of </w:t>
      </w:r>
      <w:r>
        <w:t>non-crossover events</w:t>
      </w:r>
      <w:r w:rsidR="001F20D6">
        <w:t xml:space="preserve"> and the length of conversion tracts</w:t>
      </w:r>
      <w:r w:rsidR="005F02B9">
        <w:t>. W</w:t>
      </w:r>
      <w:r>
        <w:t xml:space="preserve">e </w:t>
      </w:r>
      <w:r w:rsidR="001F20D6">
        <w:t>observe</w:t>
      </w:r>
      <w:r>
        <w:t xml:space="preserve"> several instances of recombination that modify copy number variants associated with drug resistance</w:t>
      </w:r>
      <w:r w:rsidR="005F02B9">
        <w:t>, demonstrating a mechanism whereby fitness costs associated with resistance mutations could be compensated and greater phenotypic plasticity could be acquired</w:t>
      </w:r>
      <w:r>
        <w:t xml:space="preserve">. We describe a novel web application that allows these </w:t>
      </w:r>
      <w:r w:rsidR="005F02B9">
        <w:t>data to be explored in detail.</w:t>
      </w:r>
      <w:r w:rsidR="001F20D6">
        <w:rPr>
          <w:rFonts w:asciiTheme="majorHAnsi" w:eastAsiaTheme="majorEastAsia" w:hAnsiTheme="majorHAnsi" w:cstheme="majorBidi"/>
          <w:b/>
          <w:bCs/>
          <w:color w:val="365F91" w:themeColor="accent1" w:themeShade="BF"/>
          <w:sz w:val="28"/>
          <w:szCs w:val="28"/>
        </w:rPr>
        <w:br w:type="page"/>
      </w:r>
    </w:p>
    <w:p w:rsidR="00436C33" w:rsidRDefault="00436C33" w:rsidP="00D92607">
      <w:pPr>
        <w:pStyle w:val="Heading1"/>
        <w:spacing w:line="480" w:lineRule="auto"/>
      </w:pPr>
      <w:r>
        <w:lastRenderedPageBreak/>
        <w:t>Introduction</w:t>
      </w:r>
    </w:p>
    <w:p w:rsidR="00B2594B" w:rsidRDefault="00C37853" w:rsidP="00D92607">
      <w:pPr>
        <w:spacing w:line="480" w:lineRule="auto"/>
      </w:pPr>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D92607">
      <w:pPr>
        <w:spacing w:line="480" w:lineRule="auto"/>
      </w:pPr>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D92607">
      <w:pPr>
        <w:spacing w:line="480" w:lineRule="auto"/>
      </w:pPr>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F2C02" w:rsidRPr="00194EE4">
        <w:rPr>
          <w:noProof/>
        </w:rPr>
        <w:t xml:space="preserve">(Jeffares et al. 2007; Haerty &amp; Golding </w:t>
      </w:r>
      <w:r w:rsidR="000F2C02" w:rsidRPr="00194EE4">
        <w:rPr>
          <w:noProof/>
        </w:rPr>
        <w:lastRenderedPageBreak/>
        <w:t>2011; Tan et al. 2010)</w:t>
      </w:r>
      <w:r w:rsidR="000F2C02">
        <w:fldChar w:fldCharType="end"/>
      </w:r>
      <w:r w:rsidR="000F2C02">
        <w:t>.</w:t>
      </w:r>
      <w:r w:rsidR="00530F60">
        <w:t xml:space="preserve"> </w:t>
      </w:r>
      <w:r w:rsidR="003D7F87">
        <w:t>Little</w:t>
      </w:r>
      <w:r w:rsidR="00B1727B">
        <w:t xml:space="preserv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985FFB">
        <w:rPr>
          <w:i/>
        </w:rPr>
        <w:t xml:space="preserve"> </w:t>
      </w:r>
      <w:r w:rsidR="00716BD6">
        <w:fldChar w:fldCharType="begin" w:fldLock="1"/>
      </w:r>
      <w:r w:rsidR="00716BD6">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 "properties" : { "noteIndex" : 0 }, "schema" : "https://github.com/citation-style-language/schema/raw/master/csl-citation.json" }</w:instrText>
      </w:r>
      <w:r w:rsidR="00716BD6">
        <w:fldChar w:fldCharType="separate"/>
      </w:r>
      <w:r w:rsidR="00716BD6" w:rsidRPr="00716BD6">
        <w:rPr>
          <w:noProof/>
        </w:rPr>
        <w:t>(Roy et al. 2008)</w:t>
      </w:r>
      <w:r w:rsidR="00716BD6">
        <w:fldChar w:fldCharType="end"/>
      </w:r>
      <w:r w:rsidR="00B1727B">
        <w:t>.</w:t>
      </w:r>
    </w:p>
    <w:p w:rsidR="0048460E" w:rsidRDefault="000F2C02" w:rsidP="00D92607">
      <w:pPr>
        <w:spacing w:line="480" w:lineRule="auto"/>
      </w:pPr>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D92607">
      <w:pPr>
        <w:spacing w:line="480" w:lineRule="auto"/>
      </w:pPr>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D1140B">
        <w:fldChar w:fldCharType="separate"/>
      </w:r>
      <w:r w:rsidR="00D1140B" w:rsidRPr="00750C95">
        <w:rPr>
          <w:noProof/>
        </w:rPr>
        <w:t>(Su et al. 2007; Ranford-Cartwright &amp;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xml:space="preserve">. They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Although only a limited number of crosses are currently available, typically more than 30 genetically distinct progeny clones can be obtained from a single cross </w:t>
      </w:r>
      <w:r w:rsidR="00D1140B">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D1140B">
        <w:fldChar w:fldCharType="separate"/>
      </w:r>
      <w:r w:rsidR="00D1140B" w:rsidRPr="00367A11">
        <w:rPr>
          <w:noProof/>
        </w:rPr>
        <w:t>(Ranford-Cartwright &amp;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w:t>
      </w:r>
      <w:r w:rsidR="00D1140B">
        <w:lastRenderedPageBreak/>
        <w:t xml:space="preserve">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D92607">
      <w:pPr>
        <w:spacing w:line="480" w:lineRule="auto"/>
      </w:pPr>
      <w:r>
        <w:t xml:space="preserve">We use a combination of methods for variant discovery, leveraging both alignment of sequence reads to the 3D7 reference genome </w:t>
      </w:r>
      <w:r>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Pr="008F4EA1">
        <w:rPr>
          <w:noProof/>
        </w:rPr>
        <w:t>(DePristo et al. 2011; Li &amp;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w:t>
      </w:r>
      <w:r w:rsidR="00716BD6">
        <w:t>, and spanning both coding and non-coding regions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D92607">
      <w:pPr>
        <w:spacing w:line="480" w:lineRule="auto"/>
      </w:pPr>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716BD6">
        <w:t>, and thus contributes to parasite evolution</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w:t>
      </w:r>
      <w:r w:rsidR="006E7EA9">
        <w:lastRenderedPageBreak/>
        <w:t>non-crossovers</w:t>
      </w:r>
      <w:r w:rsidR="00716BD6">
        <w:t>, to</w:t>
      </w:r>
      <w:r w:rsidR="007C6969">
        <w:t xml:space="preserve"> </w:t>
      </w:r>
      <w:r w:rsidR="006E7EA9">
        <w:t>estimate rates for both types of recombination event</w:t>
      </w:r>
      <w:r w:rsidR="00716BD6">
        <w:t>, and to study conversion tract lengths</w:t>
      </w:r>
      <w:r w:rsidR="006E7EA9">
        <w:t xml:space="preserve">.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D92607">
      <w:pPr>
        <w:spacing w:line="480" w:lineRule="auto"/>
      </w:pPr>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92607">
      <w:pPr>
        <w:pStyle w:val="Heading1"/>
        <w:spacing w:line="480" w:lineRule="auto"/>
      </w:pPr>
      <w:r>
        <w:t>Results</w:t>
      </w:r>
    </w:p>
    <w:p w:rsidR="0066428C" w:rsidRDefault="00831572" w:rsidP="00D92607">
      <w:pPr>
        <w:pStyle w:val="Heading2"/>
        <w:spacing w:line="480" w:lineRule="auto"/>
      </w:pPr>
      <w:r>
        <w:t>Whole genome sequencing and genome accessibility</w:t>
      </w:r>
    </w:p>
    <w:p w:rsidR="00EF319F" w:rsidRDefault="00EA3CED" w:rsidP="00D92607">
      <w:pPr>
        <w:spacing w:line="480" w:lineRule="auto"/>
      </w:pPr>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w:t>
      </w:r>
      <w:r w:rsidR="00EF319F">
        <w:t xml:space="preserve">Table 1; </w:t>
      </w:r>
      <w:r w:rsidR="00A74395">
        <w:t>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w:t>
      </w:r>
    </w:p>
    <w:tbl>
      <w:tblPr>
        <w:tblStyle w:val="MediumList2-Accent1"/>
        <w:tblW w:w="5000" w:type="pct"/>
        <w:tblLook w:val="04A0" w:firstRow="1" w:lastRow="0" w:firstColumn="1" w:lastColumn="0" w:noHBand="0" w:noVBand="1"/>
      </w:tblPr>
      <w:tblGrid>
        <w:gridCol w:w="2703"/>
        <w:gridCol w:w="2472"/>
        <w:gridCol w:w="2032"/>
        <w:gridCol w:w="2035"/>
      </w:tblGrid>
      <w:tr w:rsidR="00EF319F" w:rsidRPr="009D0DED" w:rsidTr="008A0546">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EF319F" w:rsidRPr="009D0DED" w:rsidRDefault="00EF319F" w:rsidP="008A0546">
            <w:pPr>
              <w:rPr>
                <w:rFonts w:asciiTheme="minorHAnsi" w:eastAsiaTheme="minorEastAsia" w:hAnsiTheme="minorHAnsi" w:cs="Arial"/>
                <w:color w:val="auto"/>
                <w:sz w:val="22"/>
                <w:szCs w:val="22"/>
              </w:rPr>
            </w:pPr>
          </w:p>
        </w:tc>
        <w:tc>
          <w:tcPr>
            <w:tcW w:w="1340"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EF319F">
              <w:rPr>
                <w:rFonts w:asciiTheme="minorHAnsi" w:eastAsiaTheme="minorEastAsia" w:hAnsiTheme="minorHAnsi" w:cs="Arial"/>
                <w:color w:val="auto"/>
                <w:vertAlign w:val="superscript"/>
              </w:rPr>
              <w:t>1</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EF319F" w:rsidRPr="009D0DED" w:rsidTr="008A0546">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EF319F">
              <w:rPr>
                <w:vertAlign w:val="superscript"/>
              </w:rPr>
              <w:t>2</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Pr>
                <w:rStyle w:val="FootnoteReference"/>
                <w:rFonts w:asciiTheme="minorHAnsi" w:eastAsiaTheme="minorEastAsia" w:hAnsiTheme="minorHAnsi" w:cs="Arial"/>
                <w:color w:val="auto"/>
              </w:rPr>
              <w:t>3</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Pr>
                <w:rStyle w:val="FootnoteReference"/>
                <w:rFonts w:asciiTheme="minorHAnsi" w:eastAsiaTheme="minorEastAsia" w:hAnsiTheme="minorHAnsi" w:cs="Arial"/>
                <w:color w:val="auto"/>
              </w:rPr>
              <w:t>4</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Pr>
                <w:rStyle w:val="FootnoteReference"/>
                <w:rFonts w:asciiTheme="minorHAnsi" w:eastAsiaTheme="minorEastAsia" w:hAnsiTheme="minorHAnsi" w:cs="Arial"/>
                <w:color w:val="auto"/>
              </w:rPr>
              <w:t>5</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Pr>
                <w:rStyle w:val="FootnoteReference"/>
                <w:rFonts w:asciiTheme="minorHAnsi" w:eastAsiaTheme="minorEastAsia" w:hAnsiTheme="minorHAnsi" w:cs="Arial"/>
              </w:rPr>
              <w:t>6</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Pr>
                <w:rStyle w:val="FootnoteReference"/>
                <w:rFonts w:asciiTheme="minorHAnsi" w:eastAsiaTheme="minorEastAsia" w:hAnsiTheme="minorHAnsi" w:cs="Arial"/>
              </w:rPr>
              <w:t>7</w:t>
            </w:r>
          </w:p>
        </w:tc>
        <w:tc>
          <w:tcPr>
            <w:tcW w:w="1340" w:type="pct"/>
          </w:tcPr>
          <w:p w:rsidR="00EF319F" w:rsidRPr="009D0DED" w:rsidRDefault="00EF319F" w:rsidP="00A42036">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EF319F" w:rsidRPr="009D0DED" w:rsidRDefault="00EF319F" w:rsidP="00EF319F">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EF319F" w:rsidRPr="00C818E0" w:rsidRDefault="00EF319F" w:rsidP="00EF319F">
      <w:pPr>
        <w:pStyle w:val="Caption"/>
        <w:spacing w:line="360" w:lineRule="auto"/>
        <w:rPr>
          <w:b w:val="0"/>
          <w:color w:val="auto"/>
        </w:rPr>
      </w:pPr>
      <w:r>
        <w:br/>
      </w:r>
      <w:proofErr w:type="gramStart"/>
      <w:r w:rsidRPr="00C818E0">
        <w:rPr>
          <w:color w:val="auto"/>
        </w:rPr>
        <w:t xml:space="preserve">Table </w:t>
      </w:r>
      <w:proofErr w:type="gramEnd"/>
      <w:r w:rsidRPr="00C818E0">
        <w:rPr>
          <w:color w:val="auto"/>
        </w:rPr>
        <w:fldChar w:fldCharType="begin"/>
      </w:r>
      <w:r w:rsidRPr="00C818E0">
        <w:rPr>
          <w:color w:val="auto"/>
        </w:rPr>
        <w:instrText xml:space="preserve"> SEQ Table \* ARABIC </w:instrText>
      </w:r>
      <w:r w:rsidRPr="00C818E0">
        <w:rPr>
          <w:color w:val="auto"/>
        </w:rPr>
        <w:fldChar w:fldCharType="separate"/>
      </w:r>
      <w:r w:rsidR="00BA2C42">
        <w:rPr>
          <w:noProof/>
          <w:color w:val="auto"/>
        </w:rPr>
        <w:t>1</w:t>
      </w:r>
      <w:r w:rsidRPr="00C818E0">
        <w:rPr>
          <w:color w:val="auto"/>
        </w:rPr>
        <w:fldChar w:fldCharType="end"/>
      </w:r>
      <w:proofErr w:type="gramStart"/>
      <w:r w:rsidRPr="00C818E0">
        <w:rPr>
          <w:b w:val="0"/>
          <w:color w:val="auto"/>
        </w:rPr>
        <w:t>.</w:t>
      </w:r>
      <w:proofErr w:type="gramEnd"/>
      <w:r w:rsidRPr="00C818E0">
        <w:rPr>
          <w:b w:val="0"/>
          <w:color w:val="auto"/>
        </w:rPr>
        <w:t xml:space="preserve"> </w:t>
      </w:r>
      <w:proofErr w:type="gramStart"/>
      <w:r w:rsidRPr="00C818E0">
        <w:rPr>
          <w:b w:val="0"/>
          <w:color w:val="auto"/>
        </w:rPr>
        <w:t xml:space="preserve">Summary of sequence and variation data generated in this study for the three crosses 3D7xHB3, HB3xDd2 and 7G8xGB4. </w:t>
      </w:r>
      <w:r w:rsidRPr="00C818E0">
        <w:rPr>
          <w:b w:val="0"/>
          <w:color w:val="auto"/>
          <w:vertAlign w:val="superscript"/>
        </w:rPr>
        <w:t>1</w:t>
      </w:r>
      <w:r w:rsidRPr="00C818E0">
        <w:rPr>
          <w:b w:val="0"/>
          <w:color w:val="auto"/>
        </w:rPr>
        <w:t>Number of independent recombinant progeny that were sequenced as part of this study and yielded usable sequence data.</w:t>
      </w:r>
      <w:proofErr w:type="gramEnd"/>
      <w:r w:rsidRPr="00C818E0">
        <w:rPr>
          <w:b w:val="0"/>
          <w:color w:val="auto"/>
        </w:rPr>
        <w:t xml:space="preserve"> </w:t>
      </w:r>
      <w:r w:rsidRPr="00C818E0">
        <w:rPr>
          <w:b w:val="0"/>
          <w:color w:val="auto"/>
          <w:vertAlign w:val="superscript"/>
        </w:rPr>
        <w:t>2</w:t>
      </w:r>
      <w:r w:rsidRPr="00C818E0">
        <w:rPr>
          <w:b w:val="0"/>
          <w:color w:val="auto"/>
        </w:rPr>
        <w:t xml:space="preserve">Coverage for each sample was calculated as the mean depth of sequenced bases across the whole genome. Values shown are the median (minimum-maximum) values of sample coverage within a cross. </w:t>
      </w:r>
      <w:r w:rsidRPr="00C818E0">
        <w:rPr>
          <w:b w:val="0"/>
          <w:color w:val="auto"/>
          <w:vertAlign w:val="superscript"/>
        </w:rPr>
        <w:t>3</w:t>
      </w:r>
      <w:r w:rsidRPr="00C818E0">
        <w:rPr>
          <w:b w:val="0"/>
          <w:color w:val="auto"/>
        </w:rPr>
        <w:t xml:space="preserve">Total number of segregating SNPs combined from both alignment and assembly calling methods that passed all quality filters. </w:t>
      </w:r>
      <w:r w:rsidRPr="00C818E0">
        <w:rPr>
          <w:b w:val="0"/>
          <w:color w:val="auto"/>
          <w:vertAlign w:val="superscript"/>
        </w:rPr>
        <w:t>4</w:t>
      </w:r>
      <w:r w:rsidRPr="00C818E0">
        <w:rPr>
          <w:b w:val="0"/>
          <w:color w:val="auto"/>
        </w:rPr>
        <w:t xml:space="preserve">Total number of segregating INDELs combined from both alignment and assembly calling methods that passed all quality filters. </w:t>
      </w:r>
      <w:r w:rsidRPr="00C818E0">
        <w:rPr>
          <w:b w:val="0"/>
          <w:color w:val="auto"/>
          <w:vertAlign w:val="superscript"/>
        </w:rPr>
        <w:t>5</w:t>
      </w:r>
      <w:r w:rsidRPr="00C818E0">
        <w:rPr>
          <w:b w:val="0"/>
          <w:color w:val="auto"/>
        </w:rPr>
        <w:t xml:space="preserve">Nucleotide diversity (number of segregating SNPs per kilo base pair) calculated over 10kb non-overlapping windows within the core genome. Values shown are the median (5-95th percentile). </w:t>
      </w:r>
      <w:r w:rsidRPr="00C818E0">
        <w:rPr>
          <w:b w:val="0"/>
          <w:color w:val="auto"/>
          <w:vertAlign w:val="superscript"/>
        </w:rPr>
        <w:t>6</w:t>
      </w:r>
      <w:r w:rsidRPr="00C818E0">
        <w:rPr>
          <w:b w:val="0"/>
          <w:color w:val="auto"/>
        </w:rPr>
        <w:t xml:space="preserve">Indel diversity (number of segregating INDELs per kilo base pair) calculated over 10kb non-overlapping windows within the core genome. Values shown are the median (5-95th percentile). </w:t>
      </w:r>
      <w:proofErr w:type="gramStart"/>
      <w:r w:rsidRPr="00C818E0">
        <w:rPr>
          <w:b w:val="0"/>
          <w:color w:val="auto"/>
          <w:vertAlign w:val="superscript"/>
        </w:rPr>
        <w:t>7</w:t>
      </w:r>
      <w:r w:rsidRPr="00C818E0">
        <w:rPr>
          <w:b w:val="0"/>
          <w:color w:val="auto"/>
        </w:rPr>
        <w:t>Average distance between combined SNP and INDEL markers.</w:t>
      </w:r>
      <w:proofErr w:type="gramEnd"/>
      <w:r w:rsidRPr="00C818E0">
        <w:rPr>
          <w:b w:val="0"/>
          <w:color w:val="auto"/>
        </w:rPr>
        <w:t xml:space="preserve"> Values shown are </w:t>
      </w:r>
      <w:proofErr w:type="gramStart"/>
      <w:r w:rsidRPr="00C818E0">
        <w:rPr>
          <w:b w:val="0"/>
          <w:color w:val="auto"/>
        </w:rPr>
        <w:t>median</w:t>
      </w:r>
      <w:proofErr w:type="gramEnd"/>
      <w:r w:rsidRPr="00C818E0">
        <w:rPr>
          <w:b w:val="0"/>
          <w:color w:val="auto"/>
        </w:rPr>
        <w:t xml:space="preserve"> (5-95th percentile).</w:t>
      </w:r>
      <w:r w:rsidRPr="00C818E0">
        <w:rPr>
          <w:b w:val="0"/>
          <w:color w:val="auto"/>
        </w:rPr>
        <w:br/>
      </w:r>
    </w:p>
    <w:p w:rsidR="00BA4DCF" w:rsidRDefault="001C68E4" w:rsidP="00D92607">
      <w:pPr>
        <w:spacing w:line="480" w:lineRule="auto"/>
      </w:pPr>
      <w:proofErr w:type="gramStart"/>
      <w:r>
        <w:t>for</w:t>
      </w:r>
      <w:proofErr w:type="gramEnd"/>
      <w:r>
        <w:t xml:space="preserve"> crosses 3D7×HB3 and HB3×</w:t>
      </w:r>
      <w:r w:rsidR="0072106A">
        <w:t xml:space="preserve">Dd2 respectively. </w:t>
      </w:r>
      <w:r w:rsidR="004533B9">
        <w:t>B</w:t>
      </w:r>
      <w:r w:rsidR="0072106A">
        <w:t xml:space="preserve">iological replicates were </w:t>
      </w:r>
      <w:r w:rsidR="006C1DD2">
        <w:t>obtained</w:t>
      </w:r>
      <w:r w:rsidR="004533B9">
        <w:t xml:space="preserve"> for several progeny clones</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w:t>
      </w:r>
      <w:r w:rsidR="004533B9">
        <w:t xml:space="preserve">is provided in Table S1 and </w:t>
      </w:r>
      <w:r w:rsidR="008E486C">
        <w:t xml:space="preserve">can </w:t>
      </w:r>
      <w:r w:rsidR="004533B9">
        <w:t xml:space="preserve">alternatively </w:t>
      </w:r>
      <w:r w:rsidR="008E486C">
        <w:t xml:space="preserve">be obtained via the web application at </w:t>
      </w:r>
      <w:hyperlink r:id="rId9"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D92607">
      <w:pPr>
        <w:spacing w:line="480" w:lineRule="auto"/>
      </w:pPr>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w:t>
      </w:r>
      <w:r w:rsidR="00B1349E">
        <w:lastRenderedPageBreak/>
        <w:t>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92607">
      <w:pPr>
        <w:pStyle w:val="Heading2"/>
        <w:spacing w:line="480" w:lineRule="auto"/>
      </w:pPr>
      <w:r>
        <w:t xml:space="preserve">SNP, </w:t>
      </w:r>
      <w:r w:rsidR="00F230BE">
        <w:t>INDEL</w:t>
      </w:r>
      <w:r>
        <w:t xml:space="preserve"> and complex variation</w:t>
      </w:r>
      <w:r w:rsidR="00092516">
        <w:t xml:space="preserve"> within the core genome</w:t>
      </w:r>
    </w:p>
    <w:p w:rsidR="000118A7" w:rsidRDefault="00BF5714" w:rsidP="00D92607">
      <w:pPr>
        <w:spacing w:line="480" w:lineRule="auto"/>
      </w:pPr>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t>
      </w:r>
      <w:r w:rsidR="004177B6">
        <w:lastRenderedPageBreak/>
        <w:t xml:space="preserve">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10" w:history="1">
        <w:r w:rsidR="0083016F" w:rsidRPr="000B39EA">
          <w:rPr>
            <w:rStyle w:val="Hyperlink"/>
          </w:rPr>
          <w:t>http://www.malariagen.net/apps/pf-crosses</w:t>
        </w:r>
      </w:hyperlink>
      <w:r w:rsidR="0083016F">
        <w:t>.</w:t>
      </w:r>
    </w:p>
    <w:p w:rsidR="00A42036" w:rsidRDefault="00224F6A" w:rsidP="00D92607">
      <w:pPr>
        <w:spacing w:line="480" w:lineRule="auto"/>
      </w:pPr>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p>
    <w:p w:rsidR="00A42036" w:rsidRDefault="00A42036" w:rsidP="00A42036">
      <w:pPr>
        <w:keepNext/>
        <w:spacing w:line="480" w:lineRule="auto"/>
      </w:pPr>
      <w:r w:rsidRPr="005F76A4">
        <w:rPr>
          <w:noProof/>
          <w:lang w:eastAsia="en-GB"/>
        </w:rPr>
        <w:lastRenderedPageBreak/>
        <w:drawing>
          <wp:inline distT="0" distB="0" distL="0" distR="0" wp14:anchorId="1D21B4BF" wp14:editId="311FB9A3">
            <wp:extent cx="5483172" cy="31521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A42036" w:rsidRPr="00C818E0" w:rsidRDefault="00A42036" w:rsidP="00A42036">
      <w:pPr>
        <w:pStyle w:val="Caption"/>
        <w:spacing w:line="360" w:lineRule="auto"/>
        <w:rPr>
          <w:b w:val="0"/>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BA2C42">
        <w:rPr>
          <w:noProof/>
          <w:color w:val="auto"/>
        </w:rPr>
        <w:t>1</w:t>
      </w:r>
      <w:r w:rsidRPr="00C818E0">
        <w:rPr>
          <w:color w:val="auto"/>
        </w:rPr>
        <w:fldChar w:fldCharType="end"/>
      </w:r>
      <w:proofErr w:type="gramStart"/>
      <w:r w:rsidRPr="00C818E0">
        <w:rPr>
          <w:color w:val="auto"/>
        </w:rPr>
        <w:t>.</w:t>
      </w:r>
      <w:proofErr w:type="gramEnd"/>
      <w:r w:rsidRPr="00C818E0">
        <w:rPr>
          <w:b w:val="0"/>
          <w:color w:val="auto"/>
        </w:rPr>
        <w:t xml:space="preserve"> </w:t>
      </w:r>
      <w:proofErr w:type="gramStart"/>
      <w:r w:rsidRPr="00C818E0">
        <w:rPr>
          <w:b w:val="0"/>
          <w:color w:val="auto"/>
        </w:rPr>
        <w:t>Properties of INDELs.</w:t>
      </w:r>
      <w:proofErr w:type="gramEnd"/>
      <w:r w:rsidRPr="00C818E0">
        <w:rPr>
          <w:b w:val="0"/>
          <w:color w:val="auto"/>
        </w:rPr>
        <w:t xml:space="preserve"> </w:t>
      </w:r>
      <w:r w:rsidRPr="00C818E0">
        <w:rPr>
          <w:color w:val="auto"/>
        </w:rPr>
        <w:t>A</w:t>
      </w:r>
      <w:r w:rsidRPr="00C818E0">
        <w:rPr>
          <w:b w:val="0"/>
          <w:color w:val="auto"/>
        </w:rP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rsidRPr="00C818E0">
        <w:rPr>
          <w:b w:val="0"/>
          <w:color w:val="auto"/>
        </w:rPr>
        <w:t>poly(</w:t>
      </w:r>
      <w:proofErr w:type="gramEnd"/>
      <w:r w:rsidRPr="00C818E0">
        <w:rPr>
          <w:b w:val="0"/>
          <w:color w:val="auto"/>
        </w:rPr>
        <w:t xml:space="preserve">AT) repeats in non-coding regions. </w:t>
      </w:r>
      <w:r w:rsidRPr="00C818E0">
        <w:rPr>
          <w:color w:val="auto"/>
        </w:rPr>
        <w:t>B</w:t>
      </w:r>
      <w:r w:rsidRPr="00C818E0">
        <w:rPr>
          <w:b w:val="0"/>
          <w:color w:val="auto"/>
        </w:rPr>
        <w:t xml:space="preserve">, Amino acids inserted and deleted (relative to the 3D7 reference genome). </w:t>
      </w:r>
      <w:proofErr w:type="gramStart"/>
      <w:r w:rsidRPr="00C818E0">
        <w:rPr>
          <w:color w:val="auto"/>
        </w:rPr>
        <w:t>C</w:t>
      </w:r>
      <w:r w:rsidRPr="00C818E0">
        <w:rPr>
          <w:b w:val="0"/>
          <w:color w:val="auto"/>
        </w:rPr>
        <w:t>, INDEL diversity in intergenic regions relative to the position of core promoters predicted by Brick et al. (2008).</w:t>
      </w:r>
      <w:proofErr w:type="gramEnd"/>
      <w:r w:rsidRPr="00C818E0">
        <w:rPr>
          <w:b w:val="0"/>
          <w:color w:val="auto"/>
        </w:rP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r w:rsidRPr="00C818E0">
        <w:rPr>
          <w:b w:val="0"/>
          <w:color w:val="auto"/>
        </w:rPr>
        <w:br/>
      </w:r>
    </w:p>
    <w:p w:rsidR="000118A7" w:rsidRDefault="001865B1" w:rsidP="00D92607">
      <w:pPr>
        <w:spacing w:line="480" w:lineRule="auto"/>
      </w:pPr>
      <w:r>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rsidR="00224F6A">
        <w:t>T</w:t>
      </w:r>
      <w:r w:rsidR="003B428E">
        <w:t xml:space="preserve">able 1). </w:t>
      </w:r>
    </w:p>
    <w:p w:rsidR="00A4677A" w:rsidRDefault="00F230BE" w:rsidP="00D92607">
      <w:pPr>
        <w:pStyle w:val="Heading3"/>
        <w:spacing w:line="480" w:lineRule="auto"/>
      </w:pPr>
      <w:r>
        <w:t>INDEL</w:t>
      </w:r>
      <w:r w:rsidR="00A4677A">
        <w:t>s are the most abundant form of polymorphism</w:t>
      </w:r>
    </w:p>
    <w:p w:rsidR="00FE0FEE" w:rsidRDefault="008A5CF4" w:rsidP="00D92607">
      <w:pPr>
        <w:spacing w:line="480" w:lineRule="auto"/>
      </w:pPr>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w:t>
      </w:r>
      <w:r w:rsidR="00C31D10">
        <w:t>the</w:t>
      </w:r>
      <w:r w:rsidR="006E6764">
        <w:t xml:space="preserve"> SNP to INDEL ratio </w:t>
      </w:r>
      <w:r w:rsidR="00C31D10">
        <w:t>is</w:t>
      </w:r>
      <w:r w:rsidR="006E6764">
        <w:t xml:space="preserve">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 xml:space="preserve">s found in the crosses were expansions or contractions of short tandem </w:t>
      </w:r>
      <w:r w:rsidR="00FE0FEE">
        <w:lastRenderedPageBreak/>
        <w:t>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D92607">
      <w:pPr>
        <w:spacing w:line="480" w:lineRule="auto"/>
      </w:pPr>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2A2BE8" w:rsidRDefault="002A2BE8" w:rsidP="002A2BE8">
      <w:pPr>
        <w:pStyle w:val="Heading3"/>
        <w:spacing w:line="480" w:lineRule="auto"/>
      </w:pPr>
      <w:r w:rsidRPr="005F76A4">
        <w:rPr>
          <w:noProof/>
          <w:lang w:eastAsia="en-GB"/>
        </w:rPr>
        <w:lastRenderedPageBreak/>
        <w:drawing>
          <wp:inline distT="0" distB="0" distL="0" distR="0" wp14:anchorId="43F6CB0E" wp14:editId="6DD8AA5B">
            <wp:extent cx="5728584" cy="35839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A2BE8" w:rsidRPr="00C818E0" w:rsidRDefault="002A2BE8" w:rsidP="002A2BE8">
      <w:pPr>
        <w:pStyle w:val="Caption"/>
        <w:spacing w:line="360" w:lineRule="auto"/>
        <w:rPr>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BA2C42">
        <w:rPr>
          <w:noProof/>
          <w:color w:val="auto"/>
        </w:rPr>
        <w:t>2</w:t>
      </w:r>
      <w:r w:rsidRPr="00C818E0">
        <w:rPr>
          <w:color w:val="auto"/>
        </w:rPr>
        <w:fldChar w:fldCharType="end"/>
      </w:r>
      <w:proofErr w:type="gramStart"/>
      <w:r w:rsidRPr="00C818E0">
        <w:rPr>
          <w:color w:val="auto"/>
        </w:rPr>
        <w:t>.</w:t>
      </w:r>
      <w:proofErr w:type="gramEnd"/>
      <w:r w:rsidRPr="00C818E0">
        <w:rPr>
          <w:color w:val="auto"/>
        </w:rPr>
        <w:t xml:space="preserve"> </w:t>
      </w:r>
      <w:proofErr w:type="gramStart"/>
      <w:r w:rsidRPr="00C818E0">
        <w:rPr>
          <w:b w:val="0"/>
          <w:color w:val="auto"/>
        </w:rPr>
        <w:t>Variation in nucleotide diversity over the core genome.</w:t>
      </w:r>
      <w:proofErr w:type="gramEnd"/>
      <w:r w:rsidRPr="00C818E0">
        <w:rPr>
          <w:b w:val="0"/>
          <w:color w:val="auto"/>
        </w:rPr>
        <w:t xml:space="preserve"> Nucleotide diversity is shown for each cross in 500bp half-overlapping windows across the core genome (which excludes hypervariable regions containing </w:t>
      </w:r>
      <w:proofErr w:type="spellStart"/>
      <w:r w:rsidRPr="00C818E0">
        <w:rPr>
          <w:b w:val="0"/>
          <w:color w:val="auto"/>
        </w:rPr>
        <w:t>var</w:t>
      </w:r>
      <w:proofErr w:type="spellEnd"/>
      <w:r w:rsidRPr="00C818E0">
        <w:rPr>
          <w:b w:val="0"/>
          <w:color w:val="auto"/>
        </w:rPr>
        <w:t xml:space="preserve">, </w:t>
      </w:r>
      <w:proofErr w:type="spellStart"/>
      <w:r w:rsidRPr="00C818E0">
        <w:rPr>
          <w:b w:val="0"/>
          <w:color w:val="auto"/>
        </w:rPr>
        <w:t>rif</w:t>
      </w:r>
      <w:proofErr w:type="spellEnd"/>
      <w:r w:rsidRPr="00C818E0">
        <w:rPr>
          <w:b w:val="0"/>
          <w:color w:val="auto"/>
        </w:rPr>
        <w:t xml:space="preserve"> or </w:t>
      </w:r>
      <w:proofErr w:type="spellStart"/>
      <w:r w:rsidRPr="00C818E0">
        <w:rPr>
          <w:b w:val="0"/>
          <w:color w:val="auto"/>
        </w:rPr>
        <w:t>stevor</w:t>
      </w:r>
      <w:proofErr w:type="spellEnd"/>
      <w:r w:rsidRPr="00C818E0">
        <w:rPr>
          <w:b w:val="0"/>
          <w:color w:val="auto"/>
        </w:rPr>
        <w:t xml:space="preserve"> genes) using SNPs combined from both variant calling methods and passing all quality filters. The peak of nucleotide diversity in chromosome 10 is expanded to show four distinct peaks due to genes encoding merozoite surface antigens MSP3, MSP6, DBLMSP and DBLMSP2. All labelled loci (with the exception of AMA1) are sites of complex variation where assembly of sequence reads is required to determine the non-reference alleles.</w:t>
      </w:r>
      <w:r w:rsidRPr="00C818E0">
        <w:rPr>
          <w:b w:val="0"/>
          <w:color w:val="auto"/>
        </w:rPr>
        <w:br/>
      </w:r>
    </w:p>
    <w:p w:rsidR="00A4677A" w:rsidRDefault="00D246DE" w:rsidP="00D92607">
      <w:pPr>
        <w:pStyle w:val="Heading3"/>
        <w:spacing w:line="480" w:lineRule="auto"/>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92607">
      <w:pPr>
        <w:spacing w:line="480" w:lineRule="auto"/>
      </w:pPr>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 xml:space="preserve">ethod, because sequences </w:t>
      </w:r>
      <w:r w:rsidR="004C331A">
        <w:lastRenderedPageBreak/>
        <w:t>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92607">
      <w:pPr>
        <w:pStyle w:val="Heading2"/>
        <w:spacing w:line="480" w:lineRule="auto"/>
      </w:pPr>
      <w:r>
        <w:t>Meiotic c</w:t>
      </w:r>
      <w:r w:rsidR="00901FE9">
        <w:t>rossover and non-crossover</w:t>
      </w:r>
      <w:r w:rsidR="00316BAD">
        <w:t xml:space="preserve"> </w:t>
      </w:r>
      <w:r w:rsidR="00901FE9">
        <w:t xml:space="preserve">recombination </w:t>
      </w:r>
    </w:p>
    <w:p w:rsidR="00316BAD" w:rsidRDefault="001C6FE6" w:rsidP="00D92607">
      <w:pPr>
        <w:spacing w:line="480" w:lineRule="auto"/>
      </w:pPr>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 xml:space="preserve">during meiosis are resolved by either crossover (CO) or non-crossover </w:t>
      </w:r>
      <w:r w:rsidR="00936076">
        <w:lastRenderedPageBreak/>
        <w:t>(NCO)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w:t>
      </w:r>
      <w:r w:rsidR="001F7E29">
        <w:t>rsion tracts for further analysi</w:t>
      </w:r>
      <w:r w:rsidR="00936076">
        <w:t>s</w:t>
      </w:r>
      <w:r w:rsidR="003C6843">
        <w:t xml:space="preserve"> (Figure</w:t>
      </w:r>
      <w:r w:rsidR="001F7E29">
        <w:t>s</w:t>
      </w:r>
      <w:r w:rsidR="003C6843">
        <w:t xml:space="preserve"> </w:t>
      </w:r>
      <w:r w:rsidR="00F2574B">
        <w:t xml:space="preserve">S10 and </w:t>
      </w:r>
      <w:r w:rsidR="000118A7">
        <w:t>S11</w:t>
      </w:r>
      <w:r w:rsidR="00F1438E">
        <w:t>)</w:t>
      </w:r>
      <w:r w:rsidR="00936076">
        <w:t>.</w:t>
      </w:r>
    </w:p>
    <w:p w:rsidR="0036655D" w:rsidRDefault="0036655D" w:rsidP="00D92607">
      <w:pPr>
        <w:pStyle w:val="Heading3"/>
        <w:spacing w:line="480" w:lineRule="auto"/>
      </w:pPr>
      <w:r w:rsidRPr="0036655D">
        <w:t>Gene coding regions are warm</w:t>
      </w:r>
      <w:r w:rsidR="00E852B4">
        <w:t>-</w:t>
      </w:r>
      <w:r w:rsidRPr="0036655D">
        <w:t>spots and centromeres are cold</w:t>
      </w:r>
      <w:r w:rsidR="00E852B4">
        <w:t>-</w:t>
      </w:r>
      <w:r w:rsidRPr="0036655D">
        <w:t>spots of CO recombination</w:t>
      </w:r>
    </w:p>
    <w:p w:rsidR="009C2480" w:rsidRDefault="009C2480" w:rsidP="00D92607">
      <w:pPr>
        <w:spacing w:line="480" w:lineRule="auto"/>
      </w:pPr>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7C7B84" w:rsidRDefault="007C7B84" w:rsidP="00D92607">
      <w:pPr>
        <w:spacing w:line="480" w:lineRule="auto"/>
      </w:pPr>
    </w:p>
    <w:p w:rsidR="007C7B84" w:rsidRDefault="007C7B84" w:rsidP="007C7B84">
      <w:pPr>
        <w:keepNext/>
        <w:spacing w:line="480" w:lineRule="auto"/>
      </w:pPr>
      <w:r w:rsidRPr="005F76A4">
        <w:rPr>
          <w:noProof/>
          <w:lang w:eastAsia="en-GB"/>
        </w:rPr>
        <w:lastRenderedPageBreak/>
        <w:drawing>
          <wp:inline distT="0" distB="0" distL="0" distR="0" wp14:anchorId="4F02AE99" wp14:editId="34F10A03">
            <wp:extent cx="5731508" cy="3812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7C7B84" w:rsidRPr="007C7B84" w:rsidRDefault="007C7B84" w:rsidP="007C7B84">
      <w:pPr>
        <w:pStyle w:val="Caption"/>
        <w:spacing w:line="360" w:lineRule="auto"/>
        <w:rPr>
          <w:color w:val="auto"/>
        </w:rPr>
      </w:pPr>
      <w:proofErr w:type="gramStart"/>
      <w:r w:rsidRPr="007C7B84">
        <w:rPr>
          <w:color w:val="auto"/>
        </w:rPr>
        <w:t xml:space="preserve">Figure </w:t>
      </w:r>
      <w:proofErr w:type="gramEnd"/>
      <w:r w:rsidRPr="007C7B84">
        <w:rPr>
          <w:color w:val="auto"/>
        </w:rPr>
        <w:fldChar w:fldCharType="begin"/>
      </w:r>
      <w:r w:rsidRPr="007C7B84">
        <w:rPr>
          <w:color w:val="auto"/>
        </w:rPr>
        <w:instrText xml:space="preserve"> SEQ Figure \* ARABIC </w:instrText>
      </w:r>
      <w:r w:rsidRPr="007C7B84">
        <w:rPr>
          <w:color w:val="auto"/>
        </w:rPr>
        <w:fldChar w:fldCharType="separate"/>
      </w:r>
      <w:r w:rsidR="00BA2C42">
        <w:rPr>
          <w:noProof/>
          <w:color w:val="auto"/>
        </w:rPr>
        <w:t>3</w:t>
      </w:r>
      <w:r w:rsidRPr="007C7B84">
        <w:rPr>
          <w:color w:val="auto"/>
        </w:rPr>
        <w:fldChar w:fldCharType="end"/>
      </w:r>
      <w:proofErr w:type="gramStart"/>
      <w:r w:rsidRPr="007C7B84">
        <w:rPr>
          <w:b w:val="0"/>
          <w:color w:val="auto"/>
        </w:rPr>
        <w:t>.</w:t>
      </w:r>
      <w:proofErr w:type="gramEnd"/>
      <w:r w:rsidRPr="007C7B84">
        <w:rPr>
          <w:b w:val="0"/>
          <w:color w:val="auto"/>
        </w:rPr>
        <w:t xml:space="preserve"> </w:t>
      </w:r>
      <w:proofErr w:type="gramStart"/>
      <w:r w:rsidRPr="007C7B84">
        <w:rPr>
          <w:b w:val="0"/>
          <w:color w:val="auto"/>
        </w:rPr>
        <w:t>Crossover (CO) and non-crossover (NCO) recombination parameters.</w:t>
      </w:r>
      <w:proofErr w:type="gramEnd"/>
      <w:r w:rsidRPr="007C7B84">
        <w:rPr>
          <w:b w:val="0"/>
          <w:color w:val="auto"/>
        </w:rPr>
        <w:t xml:space="preserve"> </w:t>
      </w:r>
      <w:proofErr w:type="gramStart"/>
      <w:r w:rsidRPr="007C7B84">
        <w:rPr>
          <w:color w:val="auto"/>
        </w:rPr>
        <w:t>A</w:t>
      </w:r>
      <w:r w:rsidRPr="007C7B84">
        <w:rPr>
          <w:b w:val="0"/>
          <w:color w:val="auto"/>
        </w:rPr>
        <w:t>, Genetic map length by cross.</w:t>
      </w:r>
      <w:proofErr w:type="gramEnd"/>
      <w:r w:rsidRPr="007C7B84">
        <w:rPr>
          <w:b w:val="0"/>
          <w:color w:val="auto"/>
        </w:rPr>
        <w:t xml:space="preserve"> For each cross the red line shows the median map length averaged over progeny, boxes extend from lower to upper quartiles. </w:t>
      </w:r>
      <w:proofErr w:type="gramStart"/>
      <w:r w:rsidRPr="007C7B84">
        <w:rPr>
          <w:color w:val="auto"/>
        </w:rPr>
        <w:t>B</w:t>
      </w:r>
      <w:r w:rsidRPr="007C7B84">
        <w:rPr>
          <w:b w:val="0"/>
          <w:color w:val="auto"/>
        </w:rPr>
        <w:t>, Map length by chromosome.</w:t>
      </w:r>
      <w:proofErr w:type="gramEnd"/>
      <w:r w:rsidRPr="007C7B84">
        <w:rPr>
          <w:b w:val="0"/>
          <w:color w:val="auto"/>
        </w:rPr>
        <w:t xml:space="preserve"> Each point shows the mean map length for a single chromosome averaged over progeny, with an error bar showing the 95% confidence interval from 1000 bootstraps. The line shows a fitted linear regression model with shading showing the 95% bootstrap confidence interval. </w:t>
      </w:r>
      <w:proofErr w:type="gramStart"/>
      <w:r w:rsidRPr="007C7B84">
        <w:rPr>
          <w:color w:val="auto"/>
        </w:rPr>
        <w:t>C</w:t>
      </w:r>
      <w:r w:rsidRPr="007C7B84">
        <w:rPr>
          <w:b w:val="0"/>
          <w:color w:val="auto"/>
        </w:rPr>
        <w:t>, CO recombination rate relative to centromere position.</w:t>
      </w:r>
      <w:proofErr w:type="gramEnd"/>
      <w:r w:rsidRPr="007C7B84">
        <w:rPr>
          <w:b w:val="0"/>
          <w:color w:val="auto"/>
        </w:rPr>
        <w:t xml:space="preserve"> Error bars show the 95% confidence interval from 1000 bootstraps. </w:t>
      </w:r>
      <w:proofErr w:type="gramStart"/>
      <w:r w:rsidRPr="007C7B84">
        <w:rPr>
          <w:color w:val="auto"/>
        </w:rPr>
        <w:t>D</w:t>
      </w:r>
      <w:r w:rsidRPr="007C7B84">
        <w:rPr>
          <w:b w:val="0"/>
          <w:color w:val="auto"/>
        </w:rPr>
        <w:t>, NCO tract length distribution.</w:t>
      </w:r>
      <w:proofErr w:type="gramEnd"/>
      <w:r w:rsidRPr="007C7B84">
        <w:rPr>
          <w:b w:val="0"/>
          <w:color w:val="auto"/>
        </w:rPr>
        <w:t xml:space="preserve"> The dashed line shows the distribution of minimal tract lengths that would be observed with the available markers if NCO tract lengths follow a geometric distribution with parameter </w:t>
      </w:r>
      <w:r w:rsidRPr="007C7B84">
        <w:rPr>
          <w:b w:val="0"/>
          <w:i/>
          <w:color w:val="auto"/>
        </w:rPr>
        <w:t>phi</w:t>
      </w:r>
      <w:r w:rsidRPr="007C7B84">
        <w:rPr>
          <w:b w:val="0"/>
          <w:color w:val="auto"/>
        </w:rPr>
        <w:t xml:space="preserve"> = 0.9993. </w:t>
      </w:r>
      <w:r w:rsidRPr="007C7B84">
        <w:rPr>
          <w:color w:val="auto"/>
        </w:rPr>
        <w:t>E</w:t>
      </w:r>
      <w:r w:rsidRPr="007C7B84">
        <w:rPr>
          <w:b w:val="0"/>
          <w:color w:val="auto"/>
        </w:rPr>
        <w:t xml:space="preserve">, Quantile-quantile plot of actual NCO minimal tract lengths versus the expected distribution of minimal tract lengths that would be observed with the given markers if NCO tract length is modelled as a geometric distribution with parameter </w:t>
      </w:r>
      <w:r w:rsidRPr="007C7B84">
        <w:rPr>
          <w:b w:val="0"/>
          <w:i/>
          <w:color w:val="auto"/>
        </w:rPr>
        <w:t>phi</w:t>
      </w:r>
      <w:r w:rsidRPr="007C7B84">
        <w:rPr>
          <w:b w:val="0"/>
          <w:color w:val="auto"/>
        </w:rPr>
        <w:t xml:space="preserve"> = 0.9993. The data fit the model well except for an excess of tracts with minimal length greater than ~3kb. </w:t>
      </w:r>
      <w:r w:rsidRPr="007C7B84">
        <w:rPr>
          <w:color w:val="auto"/>
        </w:rPr>
        <w:t>F</w:t>
      </w:r>
      <w:r w:rsidRPr="007C7B84">
        <w:rPr>
          <w:b w:val="0"/>
          <w:color w:val="auto"/>
        </w:rPr>
        <w:t>, NCO frequency by chromosome, adjusted for incomplete discovery of NCO events. Error bars and linear regression as in panel B.</w:t>
      </w:r>
      <w:r w:rsidRPr="007C7B84">
        <w:rPr>
          <w:color w:val="auto"/>
        </w:rPr>
        <w:br/>
      </w:r>
    </w:p>
    <w:p w:rsidR="00DE05F9" w:rsidRDefault="009C2480" w:rsidP="00D92607">
      <w:pPr>
        <w:spacing w:line="480" w:lineRule="auto"/>
      </w:pPr>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lastRenderedPageBreak/>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92607">
      <w:pPr>
        <w:pStyle w:val="Heading3"/>
        <w:spacing w:line="480" w:lineRule="auto"/>
      </w:pPr>
      <w:r>
        <w:t xml:space="preserve">Estimation of </w:t>
      </w:r>
      <w:r w:rsidR="00DA1B2C">
        <w:t>conversion tract</w:t>
      </w:r>
      <w:r>
        <w:t xml:space="preserve"> length</w:t>
      </w:r>
      <w:r w:rsidR="00C81D5D">
        <w:t xml:space="preserve"> and NCO recombination rate</w:t>
      </w:r>
    </w:p>
    <w:p w:rsidR="005D73F0" w:rsidRDefault="005D73F0" w:rsidP="00D92607">
      <w:pPr>
        <w:spacing w:line="480" w:lineRule="auto"/>
      </w:pPr>
      <w:r>
        <w:t>Of the 331 conversion tracts observed, an outlying group of 7 very long (</w:t>
      </w:r>
      <w:r w:rsidR="007A4A23">
        <w:t>&gt;18kb) complex tracts was found</w:t>
      </w:r>
      <w:r w:rsidR="001F7E29">
        <w:t>,</w:t>
      </w:r>
      <w:r>
        <w:t xml:space="preserve"> described further </w:t>
      </w:r>
      <w:r w:rsidR="00C44746">
        <w:t>below</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 xml:space="preserve">E). Assuming this model for the tract length distribution, simulations predicted an NCO discovery rate of 40% for HB3 x </w:t>
      </w:r>
      <w:r>
        <w:lastRenderedPageBreak/>
        <w:t>Dd2, 39% for 7G8 x GB4, and 45% for 3D7 x HB3 where the marker density was slightly higher</w:t>
      </w:r>
      <w:r w:rsidR="0083016F">
        <w:t xml:space="preserve"> (Supplementary Information)</w:t>
      </w:r>
      <w:r>
        <w:t xml:space="preserve">. </w:t>
      </w:r>
    </w:p>
    <w:p w:rsidR="005D73F0" w:rsidRDefault="005D73F0" w:rsidP="00D92607">
      <w:pPr>
        <w:spacing w:line="480" w:lineRule="auto"/>
      </w:pPr>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D92607">
      <w:pPr>
        <w:spacing w:line="480" w:lineRule="auto"/>
      </w:pPr>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92607">
      <w:pPr>
        <w:pStyle w:val="Heading2"/>
        <w:spacing w:line="480" w:lineRule="auto"/>
      </w:pPr>
      <w:r>
        <w:lastRenderedPageBreak/>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D92607">
      <w:pPr>
        <w:spacing w:line="480" w:lineRule="auto"/>
      </w:pPr>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7D200B">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7D200B">
        <w:fldChar w:fldCharType="separate"/>
      </w:r>
      <w:r w:rsidR="007D200B" w:rsidRPr="0069322E">
        <w:rPr>
          <w:noProof/>
        </w:rPr>
        <w:t>(Kidgell et al. 2006; Heinberg et al. 2013)</w:t>
      </w:r>
      <w:r w:rsidR="007D200B">
        <w:fldChar w:fldCharType="end"/>
      </w:r>
      <w:r w:rsidR="007D200B">
        <w:t xml:space="preserve">. The </w:t>
      </w:r>
      <w:r w:rsidR="007D200B">
        <w:rPr>
          <w:i/>
        </w:rPr>
        <w:t>mdr1</w:t>
      </w:r>
      <w:r w:rsidR="007D200B">
        <w:t xml:space="preserve"> amplification segregates in the progeny of HB3xDd2 </w:t>
      </w:r>
      <w:r w:rsidR="007D200B">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7D200B">
        <w:fldChar w:fldCharType="separate"/>
      </w:r>
      <w:r w:rsidR="007D200B" w:rsidRPr="00686F39">
        <w:rPr>
          <w:noProof/>
        </w:rPr>
        <w:t>(Wellems et al. 1990)</w:t>
      </w:r>
      <w:r w:rsidR="007D200B">
        <w:fldChar w:fldCharType="end"/>
      </w:r>
      <w:r w:rsidR="007D200B">
        <w:t xml:space="preserve"> and there is evidence that meiotic recombination has occurred within the amplified region in two progeny clones</w:t>
      </w:r>
      <w:r w:rsidR="00686F39">
        <w:t xml:space="preserve">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8A0546" w:rsidRDefault="00A87178" w:rsidP="00D92607">
      <w:pPr>
        <w:spacing w:line="480" w:lineRule="auto"/>
      </w:pPr>
      <w:r w:rsidRPr="00143AF4">
        <w:t>We</w:t>
      </w:r>
      <w:r>
        <w:t xml:space="preserve"> combined data on depth of sequence coverage </w:t>
      </w:r>
      <w:r w:rsidR="00143AF4">
        <w:t>and the orientation of ali</w:t>
      </w:r>
      <w:r w:rsidR="00A6066D">
        <w:t>gned read pairs</w:t>
      </w:r>
      <w:r w:rsidR="00143AF4">
        <w:t xml:space="preserve"> to study CNV alleles in all three crosses</w:t>
      </w:r>
      <w:r w:rsidR="001F7E29">
        <w:t xml:space="preserve"> (Methods and Supplementary Information)</w:t>
      </w:r>
      <w:r w:rsidR="00143AF4">
        <w:t>.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w:t>
      </w:r>
      <w:r w:rsidR="001F7E29">
        <w:t xml:space="preserve">(version 3) </w:t>
      </w:r>
      <w:r w:rsidR="005A420C">
        <w:t xml:space="preserve">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xml:space="preserve">. </w:t>
      </w:r>
      <w:r w:rsidR="00B25677">
        <w:t>We found that a</w:t>
      </w:r>
      <w:r w:rsidR="00DC4403">
        <w:t>lignment of re</w:t>
      </w:r>
      <w:r w:rsidR="00F57A57">
        <w:t xml:space="preserve">ad pairs indicated that </w:t>
      </w:r>
      <w:r w:rsidR="00DC4403">
        <w:t xml:space="preserve">the Dd2 amplification was arranged as a tandem </w:t>
      </w:r>
    </w:p>
    <w:p w:rsidR="008A0546" w:rsidRDefault="00D06D92" w:rsidP="00D92607">
      <w:pPr>
        <w:spacing w:line="480"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0;margin-top:594.85pt;width:451.3pt;height:.05pt;z-index:251660288;mso-position-horizontal-relative:text;mso-position-vertical-relative:text" stroked="f">
            <v:textbox style="mso-fit-shape-to-text:t" inset="0,0,0,0">
              <w:txbxContent>
                <w:p w:rsidR="008A0546" w:rsidRPr="00FE299C" w:rsidRDefault="008A0546" w:rsidP="00F422C1">
                  <w:pPr>
                    <w:pStyle w:val="Caption"/>
                    <w:spacing w:line="276" w:lineRule="auto"/>
                    <w:rPr>
                      <w:b w:val="0"/>
                      <w:noProof/>
                      <w:color w:val="auto"/>
                    </w:rPr>
                  </w:pPr>
                  <w:proofErr w:type="gramStart"/>
                  <w:r w:rsidRPr="00FE299C">
                    <w:rPr>
                      <w:color w:val="auto"/>
                    </w:rPr>
                    <w:t xml:space="preserve">Figure </w:t>
                  </w:r>
                  <w:proofErr w:type="gramEnd"/>
                  <w:r w:rsidRPr="00FE299C">
                    <w:rPr>
                      <w:color w:val="auto"/>
                    </w:rPr>
                    <w:fldChar w:fldCharType="begin"/>
                  </w:r>
                  <w:r w:rsidRPr="00FE299C">
                    <w:rPr>
                      <w:color w:val="auto"/>
                    </w:rPr>
                    <w:instrText xml:space="preserve"> SEQ Figure \* ARABIC </w:instrText>
                  </w:r>
                  <w:r w:rsidRPr="00FE299C">
                    <w:rPr>
                      <w:color w:val="auto"/>
                    </w:rPr>
                    <w:fldChar w:fldCharType="separate"/>
                  </w:r>
                  <w:r w:rsidR="00BA2C42">
                    <w:rPr>
                      <w:noProof/>
                      <w:color w:val="auto"/>
                    </w:rPr>
                    <w:t>4</w:t>
                  </w:r>
                  <w:r w:rsidRPr="00FE299C">
                    <w:rPr>
                      <w:color w:val="auto"/>
                    </w:rPr>
                    <w:fldChar w:fldCharType="end"/>
                  </w:r>
                  <w:proofErr w:type="gramStart"/>
                  <w:r w:rsidRPr="00FE299C">
                    <w:rPr>
                      <w:color w:val="auto"/>
                    </w:rPr>
                    <w:t>.</w:t>
                  </w:r>
                  <w:proofErr w:type="gramEnd"/>
                  <w:r w:rsidRPr="00FE299C">
                    <w:rPr>
                      <w:color w:val="auto"/>
                    </w:rPr>
                    <w:t xml:space="preserve"> </w:t>
                  </w:r>
                  <w:proofErr w:type="gramStart"/>
                  <w:r w:rsidRPr="00FE299C">
                    <w:rPr>
                      <w:b w:val="0"/>
                      <w:color w:val="auto"/>
                    </w:rPr>
                    <w:t xml:space="preserve">Copy number variation and recombination spanning the anti-folate resistance gene </w:t>
                  </w:r>
                  <w:r w:rsidRPr="00FE299C">
                    <w:rPr>
                      <w:b w:val="0"/>
                      <w:i/>
                      <w:color w:val="auto"/>
                    </w:rPr>
                    <w:t xml:space="preserve">gch1 </w:t>
                  </w:r>
                  <w:r w:rsidRPr="00FE299C">
                    <w:rPr>
                      <w:b w:val="0"/>
                      <w:color w:val="auto"/>
                    </w:rPr>
                    <w:t>on chromosome 12.</w:t>
                  </w:r>
                  <w:proofErr w:type="gramEnd"/>
                  <w:r w:rsidRPr="00FE299C">
                    <w:rPr>
                      <w:b w:val="0"/>
                      <w:color w:val="auto"/>
                    </w:rPr>
                    <w:t xml:space="preserve"> </w:t>
                  </w:r>
                  <w:r w:rsidRPr="00FE299C">
                    <w:rPr>
                      <w:color w:val="auto"/>
                    </w:rPr>
                    <w:t>A</w:t>
                  </w:r>
                  <w:r w:rsidRPr="00FE299C">
                    <w:rPr>
                      <w:b w:val="0"/>
                      <w:color w:val="auto"/>
                    </w:rPr>
                    <w:t xml:space="preserve">, CNVs in the 3D7 and </w:t>
                  </w:r>
                  <w:proofErr w:type="gramStart"/>
                  <w:r w:rsidRPr="00FE299C">
                    <w:rPr>
                      <w:b w:val="0"/>
                      <w:color w:val="auto"/>
                    </w:rPr>
                    <w:t>HB3(</w:t>
                  </w:r>
                  <w:proofErr w:type="gramEnd"/>
                  <w:r w:rsidRPr="00FE299C">
                    <w:rPr>
                      <w:b w:val="0"/>
                      <w:color w:val="auto"/>
                    </w:rPr>
                    <w:t xml:space="preserve">1) parental clones; </w:t>
                  </w:r>
                  <w:r w:rsidRPr="00FE299C">
                    <w:rPr>
                      <w:rFonts w:ascii="Times New Roman" w:hAnsi="Times New Roman" w:cs="Times New Roman"/>
                      <w:b w:val="0"/>
                      <w:i/>
                      <w:color w:val="auto"/>
                    </w:rPr>
                    <w:t>α</w:t>
                  </w:r>
                  <w:r w:rsidRPr="00FE299C">
                    <w:rPr>
                      <w:b w:val="0"/>
                      <w:color w:val="auto"/>
                    </w:rPr>
                    <w:t xml:space="preserve"> labels the segment amplified in HB3, </w:t>
                  </w:r>
                  <w:r w:rsidRPr="00FE299C">
                    <w:rPr>
                      <w:rFonts w:ascii="Times New Roman" w:hAnsi="Times New Roman" w:cs="Times New Roman"/>
                      <w:b w:val="0"/>
                      <w:i/>
                      <w:color w:val="auto"/>
                    </w:rPr>
                    <w:t>β</w:t>
                  </w:r>
                  <w:r w:rsidRPr="00FE299C">
                    <w:rPr>
                      <w:rFonts w:ascii="Times New Roman" w:hAnsi="Times New Roman" w:cs="Times New Roman"/>
                      <w:b w:val="0"/>
                      <w:color w:val="auto"/>
                    </w:rPr>
                    <w:t xml:space="preserve"> </w:t>
                  </w:r>
                  <w:r w:rsidRPr="00FE299C">
                    <w:rPr>
                      <w:b w:val="0"/>
                      <w:color w:val="auto"/>
                    </w:rPr>
                    <w:t xml:space="preserve">labels the segment amplified in 3D7. </w:t>
                  </w:r>
                  <w:r w:rsidRPr="00FE299C">
                    <w:rPr>
                      <w:color w:val="auto"/>
                    </w:rPr>
                    <w:t>B</w:t>
                  </w:r>
                  <w:r w:rsidRPr="00FE299C">
                    <w:rPr>
                      <w:b w:val="0"/>
                      <w:color w:val="auto"/>
                    </w:rPr>
                    <w:t xml:space="preserve">, CNV and recombination in clone C06, progeny of 3D7xHB3. </w:t>
                  </w:r>
                  <w:r w:rsidRPr="00FE299C">
                    <w:rPr>
                      <w:color w:val="auto"/>
                    </w:rPr>
                    <w:t>C</w:t>
                  </w:r>
                  <w:r w:rsidRPr="00FE299C">
                    <w:rPr>
                      <w:b w:val="0"/>
                      <w:color w:val="auto"/>
                    </w:rPr>
                    <w:t xml:space="preserve">, CNV and recombination in clone C05, progeny of 3D7xHB3. </w:t>
                  </w:r>
                  <w:r w:rsidRPr="00FE299C">
                    <w:rPr>
                      <w:color w:val="auto"/>
                    </w:rPr>
                    <w:t>D</w:t>
                  </w:r>
                  <w:r w:rsidRPr="00FE299C">
                    <w:rPr>
                      <w:b w:val="0"/>
                      <w:color w:val="auto"/>
                    </w:rPr>
                    <w:t xml:space="preserve">, CNVs in the </w:t>
                  </w:r>
                  <w:proofErr w:type="gramStart"/>
                  <w:r w:rsidRPr="00FE299C">
                    <w:rPr>
                      <w:b w:val="0"/>
                      <w:color w:val="auto"/>
                    </w:rPr>
                    <w:t>HB3(</w:t>
                  </w:r>
                  <w:proofErr w:type="gramEnd"/>
                  <w:r w:rsidRPr="00FE299C">
                    <w:rPr>
                      <w:b w:val="0"/>
                      <w:color w:val="auto"/>
                    </w:rPr>
                    <w:t xml:space="preserve">2) and Dd2 parental clones; </w:t>
                  </w:r>
                  <w:r w:rsidRPr="00FE299C">
                    <w:rPr>
                      <w:rFonts w:ascii="Times New Roman" w:hAnsi="Times New Roman" w:cs="Times New Roman"/>
                      <w:b w:val="0"/>
                      <w:i/>
                      <w:color w:val="auto"/>
                    </w:rPr>
                    <w:t>γ</w:t>
                  </w:r>
                  <w:r w:rsidRPr="00FE299C">
                    <w:rPr>
                      <w:b w:val="0"/>
                      <w:color w:val="auto"/>
                    </w:rPr>
                    <w:t xml:space="preserve"> labels the segment amplified in Dd2. Note that the HB3(2) clone sequenced here appears to be a mixture, with a minor proportion of parasites carrying the amplification visible in HB3(1). </w:t>
                  </w:r>
                  <w:r w:rsidRPr="00FE299C">
                    <w:rPr>
                      <w:color w:val="auto"/>
                    </w:rPr>
                    <w:t>E</w:t>
                  </w:r>
                  <w:r w:rsidRPr="00FE299C">
                    <w:rPr>
                      <w:b w:val="0"/>
                      <w:color w:val="auto"/>
                    </w:rPr>
                    <w:t xml:space="preserve">, CNV and recombination in clone CH3_61, progeny of HB3xDd2. </w:t>
                  </w:r>
                  <w:r w:rsidRPr="00FE299C">
                    <w:rPr>
                      <w:color w:val="auto"/>
                    </w:rPr>
                    <w:t>F</w:t>
                  </w:r>
                  <w:r w:rsidRPr="00FE299C">
                    <w:rPr>
                      <w:b w:val="0"/>
                      <w:color w:val="auto"/>
                    </w:rPr>
                    <w:t>, CNVs in the 7G8 and GB4 parental clones. C</w:t>
                  </w:r>
                  <w:r w:rsidR="00F422C1" w:rsidRPr="00FE299C">
                    <w:rPr>
                      <w:b w:val="0"/>
                      <w:color w:val="auto"/>
                    </w:rPr>
                    <w:t xml:space="preserve">N = copy number, </w:t>
                  </w:r>
                  <w:r w:rsidRPr="00FE299C">
                    <w:rPr>
                      <w:b w:val="0"/>
                      <w:color w:val="auto"/>
                    </w:rPr>
                    <w:t>markers show normalised read counts within 300bp non-overlapping windows, excluding windows where GC content was below 20%; solid black li</w:t>
                  </w:r>
                  <w:r w:rsidR="00F422C1" w:rsidRPr="00FE299C">
                    <w:rPr>
                      <w:b w:val="0"/>
                      <w:color w:val="auto"/>
                    </w:rPr>
                    <w:t xml:space="preserve">ne is the copy number </w:t>
                  </w:r>
                  <w:r w:rsidRPr="00FE299C">
                    <w:rPr>
                      <w:b w:val="0"/>
                      <w:color w:val="auto"/>
                    </w:rPr>
                    <w:t>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AB = fraction of aligned reads containing the first parent’s allele.</w:t>
                  </w:r>
                </w:p>
              </w:txbxContent>
            </v:textbox>
            <w10:wrap type="topAndBottom"/>
          </v:shape>
        </w:pict>
      </w:r>
      <w:r w:rsidR="008A0546" w:rsidRPr="005F76A4">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-609600</wp:posOffset>
            </wp:positionV>
            <wp:extent cx="5731510" cy="8107045"/>
            <wp:effectExtent l="0" t="0" r="0" b="0"/>
            <wp:wrapTopAndBottom/>
            <wp:docPr id="10"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14:sizeRelH relativeFrom="page">
              <wp14:pctWidth>0</wp14:pctWidth>
            </wp14:sizeRelH>
            <wp14:sizeRelV relativeFrom="page">
              <wp14:pctHeight>0</wp14:pctHeight>
            </wp14:sizeRelV>
          </wp:anchor>
        </w:drawing>
      </w:r>
    </w:p>
    <w:p w:rsidR="004925F5" w:rsidRDefault="00DC4403" w:rsidP="00D92607">
      <w:pPr>
        <w:spacing w:line="480" w:lineRule="auto"/>
      </w:pPr>
      <w:proofErr w:type="gramStart"/>
      <w:r>
        <w:lastRenderedPageBreak/>
        <w:t>inversion</w:t>
      </w:r>
      <w:proofErr w:type="gramEnd"/>
      <w:r w:rsidR="00D24847">
        <w:t xml:space="preserve"> (Figure 4D)</w:t>
      </w:r>
      <w:r>
        <w:t xml:space="preserve"> whereas 3D7, HB3 and 7G8 carried tandem </w:t>
      </w:r>
      <w:r w:rsidR="0083016F">
        <w:t>arrays</w:t>
      </w:r>
      <w:r w:rsidR="00D24847">
        <w:t xml:space="preserve"> (Figures 4A and 4E)</w:t>
      </w:r>
      <w:r>
        <w:t xml:space="preserve"> adding further evid</w:t>
      </w:r>
      <w:r w:rsidR="00EC5F6F">
        <w:t>ence for the independent origin</w:t>
      </w:r>
      <w:r w:rsidR="00E048FA">
        <w:t xml:space="preserve"> of these CNV alleles</w:t>
      </w:r>
      <w:r>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B25677">
        <w:t xml:space="preserve">leading to a mixed colony of parasites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92607">
      <w:pPr>
        <w:pStyle w:val="Heading4"/>
        <w:spacing w:line="480" w:lineRule="auto"/>
      </w:pPr>
      <w:r>
        <w:t xml:space="preserve">Recombination within amplified regions leads to pseudo-heterozygosity </w:t>
      </w:r>
    </w:p>
    <w:p w:rsidR="00685935" w:rsidRDefault="00581853" w:rsidP="00D92607">
      <w:pPr>
        <w:spacing w:line="480" w:lineRule="auto"/>
      </w:pPr>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D92607">
      <w:pPr>
        <w:spacing w:line="480" w:lineRule="auto"/>
      </w:pPr>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w:t>
      </w:r>
      <w:r>
        <w:lastRenderedPageBreak/>
        <w:t>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w:t>
      </w:r>
      <w:r w:rsidR="00B25677">
        <w:t xml:space="preserve">at least </w:t>
      </w:r>
      <w:r>
        <w:t xml:space="preserve">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D92607">
      <w:pPr>
        <w:pStyle w:val="Heading2"/>
        <w:spacing w:line="480" w:lineRule="auto"/>
      </w:pPr>
      <w:r>
        <w:t>A web application to facilitate data exploration and re-use</w:t>
      </w:r>
    </w:p>
    <w:p w:rsidR="00C5471C" w:rsidRDefault="00DC6B87" w:rsidP="00D92607">
      <w:pPr>
        <w:spacing w:line="480" w:lineRule="auto"/>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5" w:history="1">
        <w:r w:rsidR="00F428AA" w:rsidRPr="006F0B99">
          <w:rPr>
            <w:rStyle w:val="Hyperlink"/>
          </w:rPr>
          <w:t>http://www.malariagen.net/apps/pf-crosses</w:t>
        </w:r>
      </w:hyperlink>
      <w:r w:rsidR="00D24847">
        <w:t>.</w:t>
      </w:r>
      <w:r w:rsidR="00F428AA">
        <w:t xml:space="preserve"> </w:t>
      </w:r>
      <w:r w:rsidR="00D24847">
        <w:t>The introduction page (Figure 5A) provides navig</w:t>
      </w:r>
      <w:r w:rsidR="00B25677">
        <w:t>ation to a set of tools, including</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w:t>
      </w:r>
    </w:p>
    <w:p w:rsidR="00C5471C" w:rsidRDefault="00C5471C" w:rsidP="00C5471C">
      <w:pPr>
        <w:keepNext/>
        <w:spacing w:line="480" w:lineRule="auto"/>
      </w:pPr>
      <w:r w:rsidRPr="005F76A4">
        <w:rPr>
          <w:noProof/>
          <w:lang w:eastAsia="en-GB"/>
        </w:rPr>
        <w:lastRenderedPageBreak/>
        <w:drawing>
          <wp:inline distT="0" distB="0" distL="0" distR="0" wp14:anchorId="728A1C7F" wp14:editId="377434CA">
            <wp:extent cx="5731510" cy="6003925"/>
            <wp:effectExtent l="0" t="0" r="0" b="0"/>
            <wp:docPr id="6"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p>
    <w:p w:rsidR="00C5471C" w:rsidRPr="00C5471C" w:rsidRDefault="00C5471C" w:rsidP="00C5471C">
      <w:pPr>
        <w:pStyle w:val="Caption"/>
        <w:spacing w:line="360" w:lineRule="auto"/>
        <w:rPr>
          <w:color w:val="auto"/>
        </w:rPr>
      </w:pPr>
      <w:proofErr w:type="gramStart"/>
      <w:r w:rsidRPr="00C5471C">
        <w:rPr>
          <w:color w:val="auto"/>
        </w:rPr>
        <w:t xml:space="preserve">Figure </w:t>
      </w:r>
      <w:proofErr w:type="gramEnd"/>
      <w:r w:rsidRPr="00C5471C">
        <w:rPr>
          <w:color w:val="auto"/>
        </w:rPr>
        <w:fldChar w:fldCharType="begin"/>
      </w:r>
      <w:r w:rsidRPr="00C5471C">
        <w:rPr>
          <w:color w:val="auto"/>
        </w:rPr>
        <w:instrText xml:space="preserve"> SEQ Figure \* ARABIC </w:instrText>
      </w:r>
      <w:r w:rsidRPr="00C5471C">
        <w:rPr>
          <w:color w:val="auto"/>
        </w:rPr>
        <w:fldChar w:fldCharType="separate"/>
      </w:r>
      <w:r w:rsidR="00BA2C42">
        <w:rPr>
          <w:noProof/>
          <w:color w:val="auto"/>
        </w:rPr>
        <w:t>5</w:t>
      </w:r>
      <w:r w:rsidRPr="00C5471C">
        <w:rPr>
          <w:color w:val="auto"/>
        </w:rPr>
        <w:fldChar w:fldCharType="end"/>
      </w:r>
      <w:proofErr w:type="gramStart"/>
      <w:r w:rsidRPr="00C5471C">
        <w:rPr>
          <w:color w:val="auto"/>
        </w:rPr>
        <w:t>.</w:t>
      </w:r>
      <w:proofErr w:type="gramEnd"/>
      <w:r w:rsidRPr="00C5471C">
        <w:rPr>
          <w:color w:val="auto"/>
        </w:rPr>
        <w:t xml:space="preserve"> </w:t>
      </w:r>
      <w:r w:rsidRPr="00C5471C">
        <w:rPr>
          <w:b w:val="0"/>
          <w:color w:val="auto"/>
        </w:rPr>
        <w:t xml:space="preserve">Screenshots from the web application at </w:t>
      </w:r>
      <w:hyperlink r:id="rId17" w:history="1">
        <w:r w:rsidRPr="00C5471C">
          <w:rPr>
            <w:rStyle w:val="Hyperlink"/>
            <w:b w:val="0"/>
            <w:color w:val="auto"/>
          </w:rPr>
          <w:t>www.malariagen.net/apps/pf-crosses/</w:t>
        </w:r>
      </w:hyperlink>
      <w:r w:rsidRPr="00C5471C">
        <w:rPr>
          <w:b w:val="0"/>
          <w:color w:val="auto"/>
        </w:rPr>
        <w:t xml:space="preserve"> providing access to sequence and variation data on the three crosses. </w:t>
      </w:r>
      <w:proofErr w:type="gramStart"/>
      <w:r w:rsidRPr="00C5471C">
        <w:rPr>
          <w:color w:val="auto"/>
        </w:rPr>
        <w:t>A</w:t>
      </w:r>
      <w:r w:rsidRPr="00C5471C">
        <w:rPr>
          <w:b w:val="0"/>
          <w:color w:val="auto"/>
        </w:rPr>
        <w:t>, Introduction page, providing navigation to different tools for data exploration.</w:t>
      </w:r>
      <w:proofErr w:type="gramEnd"/>
      <w:r w:rsidRPr="00C5471C">
        <w:rPr>
          <w:b w:val="0"/>
          <w:color w:val="auto"/>
        </w:rPr>
        <w:t xml:space="preserve"> </w:t>
      </w:r>
      <w:r w:rsidRPr="00C5471C">
        <w:rPr>
          <w:color w:val="auto"/>
        </w:rPr>
        <w:t>B</w:t>
      </w:r>
      <w:r w:rsidRPr="00C5471C">
        <w:rPr>
          <w:b w:val="0"/>
          <w:color w:val="auto"/>
        </w:rPr>
        <w:t xml:space="preserve">, Browse and query data on variants (SNPs and INDELs) discovered in the crosses by different calling methods. </w:t>
      </w:r>
      <w:r w:rsidRPr="00C5471C">
        <w:rPr>
          <w:color w:val="auto"/>
        </w:rPr>
        <w:t>C</w:t>
      </w:r>
      <w:r w:rsidRPr="00C5471C">
        <w:rPr>
          <w:b w:val="0"/>
          <w:color w:val="auto"/>
        </w:rPr>
        <w:t xml:space="preserve">, Browse genotype calls in parents and progeny and visualise patterns of allelic inheritance and recombination. </w:t>
      </w:r>
      <w:proofErr w:type="gramStart"/>
      <w:r w:rsidRPr="00C5471C">
        <w:rPr>
          <w:color w:val="auto"/>
        </w:rPr>
        <w:t>D</w:t>
      </w:r>
      <w:r w:rsidRPr="00C5471C">
        <w:rPr>
          <w:b w:val="0"/>
          <w:color w:val="auto"/>
        </w:rPr>
        <w:t>, Genome browser, providing multi-resolution views of various data tracks including coverage and mapping quality.</w:t>
      </w:r>
      <w:proofErr w:type="gramEnd"/>
      <w:r w:rsidRPr="00C5471C">
        <w:rPr>
          <w:b w:val="0"/>
          <w:color w:val="auto"/>
        </w:rPr>
        <w:t xml:space="preserve"> </w:t>
      </w:r>
      <w:proofErr w:type="gramStart"/>
      <w:r w:rsidRPr="00C5471C">
        <w:rPr>
          <w:color w:val="auto"/>
        </w:rPr>
        <w:t>E</w:t>
      </w:r>
      <w:r w:rsidRPr="00C5471C">
        <w:rPr>
          <w:b w:val="0"/>
          <w:color w:val="auto"/>
        </w:rPr>
        <w:t>, Sequence alignment browser (</w:t>
      </w:r>
      <w:proofErr w:type="spellStart"/>
      <w:r w:rsidRPr="00C5471C">
        <w:rPr>
          <w:b w:val="0"/>
          <w:color w:val="auto"/>
        </w:rPr>
        <w:t>LookSeq</w:t>
      </w:r>
      <w:proofErr w:type="spellEnd"/>
      <w:r w:rsidRPr="00C5471C">
        <w:rPr>
          <w:b w:val="0"/>
          <w:color w:val="auto"/>
        </w:rPr>
        <w:t>).</w:t>
      </w:r>
      <w:proofErr w:type="gramEnd"/>
      <w:r w:rsidRPr="00C5471C">
        <w:rPr>
          <w:color w:val="auto"/>
        </w:rPr>
        <w:br/>
      </w:r>
      <w:bookmarkStart w:id="6" w:name="_GoBack"/>
      <w:bookmarkEnd w:id="6"/>
    </w:p>
    <w:p w:rsidR="00F428AA" w:rsidRPr="00D24847" w:rsidRDefault="0043059A" w:rsidP="00D92607">
      <w:pPr>
        <w:spacing w:line="480" w:lineRule="auto"/>
        <w:rPr>
          <w:color w:val="0000FF" w:themeColor="hyperlink"/>
          <w:u w:val="single"/>
        </w:rPr>
      </w:pPr>
      <w:r>
        <w:t xml:space="preserve">individual samples and </w:t>
      </w:r>
      <w:r w:rsidR="00F428AA">
        <w:t xml:space="preserve">patterns of </w:t>
      </w:r>
      <w:r>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w:t>
      </w:r>
      <w:r w:rsidR="00F428AA">
        <w:lastRenderedPageBreak/>
        <w:t xml:space="preserve">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D92607">
      <w:pPr>
        <w:pStyle w:val="Heading1"/>
        <w:spacing w:line="480" w:lineRule="auto"/>
      </w:pPr>
      <w:r>
        <w:t>Discussion</w:t>
      </w:r>
    </w:p>
    <w:p w:rsidR="00FD7AB6" w:rsidRDefault="00295C75" w:rsidP="00D92607">
      <w:pPr>
        <w:spacing w:line="480" w:lineRule="auto"/>
      </w:pPr>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716BD6">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"previouslyFormattedCitation"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w:t>
      </w:r>
      <w:r w:rsidR="00EC7A42">
        <w:t xml:space="preserve">significantly </w:t>
      </w:r>
      <w:r w:rsidR="00BD2070">
        <w:t xml:space="preserve">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D92607">
      <w:pPr>
        <w:spacing w:line="480" w:lineRule="auto"/>
      </w:pPr>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lastRenderedPageBreak/>
        <w:t>using</w:t>
      </w:r>
      <w:r w:rsidR="00CF7888">
        <w:t xml:space="preserve"> short sequence reads. </w:t>
      </w:r>
      <w:r w:rsidR="00EC7A42">
        <w:t>However, 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w:t>
      </w:r>
      <w:r w:rsidR="00EC7A42">
        <w:t xml:space="preserve">are clearly capable of dealing with highly divergent sequences and </w:t>
      </w:r>
      <w:r w:rsidR="00CF7888">
        <w:t xml:space="preserve">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D92607">
      <w:pPr>
        <w:spacing w:line="480" w:lineRule="auto"/>
      </w:pPr>
      <w:r>
        <w:t xml:space="preserve">The </w:t>
      </w:r>
      <w:r w:rsidR="0042585D">
        <w:t xml:space="preserve">SNP and INDEL variants </w:t>
      </w:r>
      <w:r w:rsidR="00A42392">
        <w:t>presented here could be used as a truth set to calibrate variant calling and filtering methods</w:t>
      </w:r>
      <w:r w:rsidR="00EC7A42">
        <w:t xml:space="preserve"> in other studies</w:t>
      </w:r>
      <w:r w:rsidR="00295C75">
        <w:t xml:space="preserve">,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w:t>
      </w:r>
      <w:r w:rsidR="00AF1774">
        <w:t xml:space="preserve"> </w:t>
      </w:r>
      <w:r w:rsidR="00BF5E41">
        <w:t xml:space="preserve">HB3 draft assembly and published </w:t>
      </w:r>
      <w:r w:rsidR="00AF1774">
        <w:t>gene</w:t>
      </w:r>
      <w:r w:rsidR="00BF5E41">
        <w:t xml:space="preserv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 xml:space="preserve">assembled to the same quality as the </w:t>
      </w:r>
      <w:r w:rsidR="00DA6F10">
        <w:lastRenderedPageBreak/>
        <w:t>current 3D7 reference, so that methods for calling all</w:t>
      </w:r>
      <w:r w:rsidR="00A80866">
        <w:t xml:space="preserve"> types</w:t>
      </w:r>
      <w:r w:rsidR="00DA6F10">
        <w:t xml:space="preserve"> of polymorphism </w:t>
      </w:r>
      <w:r w:rsidR="00AF1774">
        <w:t>and can be accurately evaluated.</w:t>
      </w:r>
    </w:p>
    <w:p w:rsidR="00FA1985" w:rsidRPr="00757C5C" w:rsidRDefault="00FA1985" w:rsidP="00D92607">
      <w:pPr>
        <w:spacing w:line="480" w:lineRule="auto"/>
      </w:pPr>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w:t>
      </w:r>
      <w:r w:rsidR="00AF1774">
        <w:t>The data on non-coding variation presented here could provide a starting point for f</w:t>
      </w:r>
      <w:r w:rsidR="00E551B5">
        <w:t xml:space="preserve">urther experimental work to explore the impact of non-coding variation in </w:t>
      </w:r>
      <w:r w:rsidR="00E551B5" w:rsidRPr="00E551B5">
        <w:rPr>
          <w:i/>
        </w:rPr>
        <w:t>P. falciparum</w:t>
      </w:r>
      <w:r w:rsidR="00E551B5">
        <w:t>.</w:t>
      </w:r>
    </w:p>
    <w:p w:rsidR="00DE2B43" w:rsidRDefault="00E551B5" w:rsidP="00D92607">
      <w:pPr>
        <w:spacing w:line="480" w:lineRule="auto"/>
      </w:pPr>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w:t>
      </w:r>
      <w:r w:rsidR="00AA140E">
        <w:lastRenderedPageBreak/>
        <w:t xml:space="preserve">recombination events spanning &gt;60kb in some progeny do not fit well with current models </w:t>
      </w:r>
      <w:r w:rsidR="008337E7">
        <w:t xml:space="preserve">for eukaryotic recombination pathways </w:t>
      </w:r>
      <w:r w:rsidR="00AA140E">
        <w:t>and remain to be explained.</w:t>
      </w:r>
    </w:p>
    <w:p w:rsidR="000C7B24" w:rsidRDefault="00A42F7A" w:rsidP="00D92607">
      <w:pPr>
        <w:spacing w:line="480" w:lineRule="auto"/>
      </w:pPr>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will be required to robustly evaluate the support for different hotspot mode</w:t>
      </w:r>
      <w:r w:rsidR="00414247">
        <w:t>ls</w:t>
      </w:r>
      <w:r w:rsidR="00AF1774">
        <w:t xml:space="preserve"> in P. falciparum. We observed a small but significant bias towards recombination within coding </w:t>
      </w:r>
      <w:proofErr w:type="gramStart"/>
      <w:r w:rsidR="00AF1774">
        <w:t>regions,</w:t>
      </w:r>
      <w:proofErr w:type="gramEnd"/>
      <w:r w:rsidR="00AF1774">
        <w:t xml:space="preserve"> however</w:t>
      </w:r>
      <w:r w:rsidR="00ED4067">
        <w:t xml:space="preserve"> </w:t>
      </w:r>
      <w:r w:rsidR="00414247">
        <w:t>recombination events</w:t>
      </w:r>
      <w:r w:rsidR="0084749C">
        <w:t xml:space="preserve"> </w:t>
      </w:r>
      <w:r w:rsidR="00AF1774">
        <w:t>were frequent</w:t>
      </w:r>
      <w:r w:rsidR="0084749C">
        <w:t xml:space="preserve">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92607">
      <w:pPr>
        <w:spacing w:line="480" w:lineRule="auto"/>
      </w:pPr>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w:t>
      </w:r>
      <w:r w:rsidR="00AF1774">
        <w:t>pseudo-</w:t>
      </w:r>
      <w:r>
        <w:t xml:space="preserve">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The process of amplification followed by homologous recombination could provide a mechanism by which both mutant and wild type alleles are acquired</w:t>
      </w:r>
      <w:r w:rsidR="00AF1774">
        <w:t xml:space="preserve"> and could both be expressed simultaneously</w:t>
      </w:r>
      <w:r w:rsidR="00DF4B94">
        <w:t xml:space="preserve">, compensating for fitness costs associated with </w:t>
      </w:r>
      <w:r w:rsidR="00D329C7">
        <w:t xml:space="preserve">either </w:t>
      </w:r>
      <w:r w:rsidR="00DF4B94">
        <w:t xml:space="preserve">allele alone. </w:t>
      </w:r>
      <w:r w:rsidR="005B6E1D">
        <w:t xml:space="preserve">The acquisition of both alleles </w:t>
      </w:r>
      <w:r w:rsidR="00AF1774">
        <w:t xml:space="preserve">also </w:t>
      </w:r>
      <w:r w:rsidR="004C0B1A">
        <w:t xml:space="preserve">creates an </w:t>
      </w:r>
      <w:r w:rsidR="005B6E1D">
        <w:t xml:space="preserve">opportunity to silence one allele and switch expression </w:t>
      </w:r>
      <w:r w:rsidR="005B6E1D">
        <w:lastRenderedPageBreak/>
        <w:t xml:space="preserve">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AF1774">
        <w:t>Over a longer timescale, g</w:t>
      </w:r>
      <w:r w:rsidR="00090410">
        <w:t>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D92607">
      <w:pPr>
        <w:spacing w:line="480" w:lineRule="auto"/>
      </w:pPr>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AF1774">
        <w:t>populations.</w:t>
      </w:r>
    </w:p>
    <w:p w:rsidR="00D51DCC" w:rsidRDefault="003C72B7" w:rsidP="00D92607">
      <w:pPr>
        <w:spacing w:line="480" w:lineRule="auto"/>
      </w:pPr>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D92607">
      <w:pPr>
        <w:pStyle w:val="Heading1"/>
        <w:spacing w:line="480" w:lineRule="auto"/>
      </w:pPr>
      <w:r>
        <w:t>Methods</w:t>
      </w:r>
    </w:p>
    <w:p w:rsidR="00AC67A5" w:rsidRDefault="00AC67A5" w:rsidP="00D92607">
      <w:pPr>
        <w:pStyle w:val="Heading2"/>
        <w:spacing w:line="480" w:lineRule="auto"/>
      </w:pPr>
      <w:r>
        <w:t>Whole genome sequencing</w:t>
      </w:r>
    </w:p>
    <w:p w:rsidR="00AC67A5" w:rsidRDefault="00AC67A5" w:rsidP="00D92607">
      <w:pPr>
        <w:spacing w:line="480" w:lineRule="auto"/>
      </w:pPr>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D92607">
      <w:pPr>
        <w:pStyle w:val="Heading2"/>
        <w:spacing w:line="480" w:lineRule="auto"/>
      </w:pPr>
      <w:r>
        <w:lastRenderedPageBreak/>
        <w:t>Variant calling</w:t>
      </w:r>
    </w:p>
    <w:p w:rsidR="00536C74" w:rsidRDefault="000E06C9" w:rsidP="00D92607">
      <w:pPr>
        <w:spacing w:line="480" w:lineRule="auto"/>
      </w:pPr>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w:t>
      </w:r>
      <w:r w:rsidR="00B34836">
        <w:t xml:space="preserve"> using the Unified </w:t>
      </w:r>
      <w:proofErr w:type="spellStart"/>
      <w:r w:rsidR="00B34836">
        <w:t>Genotyper</w:t>
      </w:r>
      <w:proofErr w:type="spellEnd"/>
      <w:r w:rsidR="00077681">
        <w:t>,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w:t>
      </w:r>
      <w:r w:rsidR="00B34836">
        <w:t xml:space="preserve">Mendelian errors were used to calibrate variant filtering methods. </w:t>
      </w:r>
      <w:r w:rsidR="00536C74">
        <w:t>Filtered variants from both calling methods were t</w:t>
      </w:r>
      <w:r w:rsidR="00CD5EC1">
        <w:t xml:space="preserve">hen combined into a single </w:t>
      </w:r>
      <w:r w:rsidR="00536C74">
        <w:t>set of segregating variation for each cross.</w:t>
      </w:r>
      <w:r w:rsidR="00B34836">
        <w:t xml:space="preserve"> Further details are provided in the Supplementary Information.</w:t>
      </w:r>
      <w:r w:rsidR="00EE5A51">
        <w:t xml:space="preserve"> </w:t>
      </w:r>
    </w:p>
    <w:p w:rsidR="0077582B" w:rsidRDefault="0077582B" w:rsidP="00D92607">
      <w:pPr>
        <w:pStyle w:val="Heading2"/>
        <w:spacing w:line="480" w:lineRule="auto"/>
      </w:pPr>
      <w:r>
        <w:t>Inference of CO and NCO recombination events and conversion tracts</w:t>
      </w:r>
    </w:p>
    <w:p w:rsidR="0077582B" w:rsidRPr="0077582B" w:rsidRDefault="0077582B" w:rsidP="00D92607">
      <w:pPr>
        <w:spacing w:line="480" w:lineRule="auto"/>
      </w:pPr>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D92607">
      <w:pPr>
        <w:pStyle w:val="Heading2"/>
        <w:spacing w:line="480" w:lineRule="auto"/>
      </w:pPr>
      <w:r>
        <w:lastRenderedPageBreak/>
        <w:t>Recombination analyses</w:t>
      </w:r>
    </w:p>
    <w:p w:rsidR="005E5FE9" w:rsidRDefault="005E5FE9" w:rsidP="00D92607">
      <w:pPr>
        <w:spacing w:line="480" w:lineRule="auto"/>
      </w:pPr>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w:t>
      </w:r>
      <w:r w:rsidR="00C333D0">
        <w:t>all crossovers were observed</w:t>
      </w:r>
      <w:r>
        <w:t xml:space="preserve">.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D92607">
      <w:pPr>
        <w:pStyle w:val="Heading2"/>
        <w:spacing w:line="480" w:lineRule="auto"/>
      </w:pPr>
      <w:r>
        <w:t>C</w:t>
      </w:r>
      <w:r w:rsidR="00F7616C">
        <w:t>opy number variation</w:t>
      </w:r>
    </w:p>
    <w:p w:rsidR="00F7616C" w:rsidRDefault="00F7616C" w:rsidP="00D270DA">
      <w:pPr>
        <w:spacing w:line="480" w:lineRule="auto"/>
      </w:pPr>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325FF3" w:rsidRDefault="00325FF3" w:rsidP="00D270DA">
      <w:pPr>
        <w:pStyle w:val="Heading1"/>
        <w:spacing w:line="480" w:lineRule="auto"/>
      </w:pPr>
      <w:r>
        <w:lastRenderedPageBreak/>
        <w:t>Data access</w:t>
      </w:r>
    </w:p>
    <w:p w:rsidR="00325FF3" w:rsidRPr="00325FF3" w:rsidRDefault="00325FF3" w:rsidP="00D270DA">
      <w:pPr>
        <w:spacing w:line="480" w:lineRule="auto"/>
      </w:pPr>
      <w:r>
        <w:t xml:space="preserve">All sequence data generated in this study are available from the European Nucleotide Archive (ENA). A mapping from clone identifiers to ENA run accessions is given in Table S1. BAM files containing alignments of sequence reads to the 3D7 version </w:t>
      </w:r>
      <w:proofErr w:type="gramStart"/>
      <w:r>
        <w:t>3 reference genome</w:t>
      </w:r>
      <w:proofErr w:type="gramEnd"/>
      <w:r>
        <w:t xml:space="preserve"> can be downloaded from a public FTP site hosted by the Wellcome Trust Sanger Institute at </w:t>
      </w:r>
      <w:hyperlink r:id="rId18" w:history="1">
        <w:r w:rsidRPr="009A7AFD">
          <w:rPr>
            <w:rStyle w:val="Hyperlink"/>
          </w:rPr>
          <w:t>ftp://ngs.sanger.ac.uk/production/malaria/pf-crosses/1.0/</w:t>
        </w:r>
      </w:hyperlink>
      <w:r>
        <w:t xml:space="preserve">. VCF files containing variant calls for each of the three crosses, from both calling methods as well as the combined call sets, can be downloaded from the same FTP site. All these data can also be explored interactively via the web application at </w:t>
      </w:r>
      <w:hyperlink r:id="rId19" w:history="1">
        <w:r w:rsidRPr="009A7AFD">
          <w:rPr>
            <w:rStyle w:val="Hyperlink"/>
          </w:rPr>
          <w:t>http://www.malariagen.net/apps/pf-crosses/1.0/</w:t>
        </w:r>
      </w:hyperlink>
      <w:r>
        <w:t xml:space="preserve">. </w:t>
      </w:r>
    </w:p>
    <w:p w:rsidR="001F6267" w:rsidRDefault="001F6267" w:rsidP="00D270DA">
      <w:pPr>
        <w:pStyle w:val="Heading1"/>
        <w:spacing w:line="480" w:lineRule="auto"/>
      </w:pPr>
      <w:r>
        <w:t>Acknowledgments</w:t>
      </w:r>
    </w:p>
    <w:p w:rsidR="001F6267" w:rsidRDefault="0042544D" w:rsidP="00D270DA">
      <w:pPr>
        <w:spacing w:line="480" w:lineRule="auto"/>
      </w:pPr>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339B7" w:rsidRDefault="00B339B7" w:rsidP="00D270DA">
      <w:pPr>
        <w:pStyle w:val="Heading1"/>
        <w:spacing w:line="480" w:lineRule="auto"/>
      </w:pPr>
      <w:r>
        <w:t>Disclosure declaration</w:t>
      </w:r>
    </w:p>
    <w:p w:rsidR="00C5471C" w:rsidRDefault="00B339B7" w:rsidP="00D270DA">
      <w:pPr>
        <w:spacing w:line="480" w:lineRule="auto"/>
      </w:pPr>
      <w:r>
        <w:t xml:space="preserve">We </w:t>
      </w:r>
      <w:r w:rsidR="00431284">
        <w:t>declare no competing interests.</w:t>
      </w:r>
    </w:p>
    <w:p w:rsidR="009E1600" w:rsidRDefault="009E1600" w:rsidP="000A1F02">
      <w:pPr>
        <w:pStyle w:val="Heading1"/>
      </w:pPr>
      <w:r>
        <w:t>References</w:t>
      </w:r>
    </w:p>
    <w:p w:rsidR="00716BD6" w:rsidRPr="00716BD6" w:rsidRDefault="005C3FF3">
      <w:pPr>
        <w:pStyle w:val="NormalWeb"/>
        <w:ind w:left="480" w:hanging="480"/>
        <w:divId w:val="1299148219"/>
        <w:rPr>
          <w:rFonts w:ascii="Calibri" w:hAnsi="Calibri"/>
          <w:noProof/>
          <w:sz w:val="22"/>
        </w:rPr>
      </w:pPr>
      <w:r>
        <w:fldChar w:fldCharType="begin" w:fldLock="1"/>
      </w:r>
      <w:r w:rsidR="00CB6C32">
        <w:instrText xml:space="preserve">ADDIN Mendeley Bibliography CSL_BIBLIOGRAPHY </w:instrText>
      </w:r>
      <w:r>
        <w:fldChar w:fldCharType="separate"/>
      </w:r>
      <w:r w:rsidR="00716BD6" w:rsidRPr="00716BD6">
        <w:rPr>
          <w:rFonts w:ascii="Calibri" w:hAnsi="Calibri"/>
          <w:noProof/>
          <w:sz w:val="22"/>
        </w:rPr>
        <w:t xml:space="preserve">Anderson, T.J.C., Patel, J. &amp; Ferdig, M.T., 2009. Gene copy number and malaria biology. </w:t>
      </w:r>
      <w:r w:rsidR="00716BD6" w:rsidRPr="00716BD6">
        <w:rPr>
          <w:rFonts w:ascii="Calibri" w:hAnsi="Calibri"/>
          <w:i/>
          <w:iCs/>
          <w:noProof/>
          <w:sz w:val="22"/>
        </w:rPr>
        <w:t>Trends in parasitology</w:t>
      </w:r>
      <w:r w:rsidR="00716BD6" w:rsidRPr="00716BD6">
        <w:rPr>
          <w:rFonts w:ascii="Calibri" w:hAnsi="Calibri"/>
          <w:noProof/>
          <w:sz w:val="22"/>
        </w:rPr>
        <w:t>, 25(7), pp.336–43. Available at: http://www.pubmedcentral.nih.gov/articlerender.fcgi?artid=2839409&amp;tool=pmcentrez&amp;rendertype=abstract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Ariey, F. et al., 2014. A molecular marker of artemisinin-resistant Plasmodium falciparum malaria. </w:t>
      </w:r>
      <w:r w:rsidRPr="00716BD6">
        <w:rPr>
          <w:rFonts w:ascii="Calibri" w:hAnsi="Calibri"/>
          <w:i/>
          <w:iCs/>
          <w:noProof/>
          <w:sz w:val="22"/>
        </w:rPr>
        <w:t>Nature</w:t>
      </w:r>
      <w:r w:rsidRPr="00716BD6">
        <w:rPr>
          <w:rFonts w:ascii="Calibri" w:hAnsi="Calibri"/>
          <w:noProof/>
          <w:sz w:val="22"/>
        </w:rPr>
        <w:t>, 505(7481), pp.50–5. Available at: http://www.ncbi.nlm.nih.gov/pubmed/24352242 [Accessed July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Ashley, E.A. et al., 2014. Spread of Artemisinin Resistance in Plasmodium falciparum Malaria. </w:t>
      </w:r>
      <w:r w:rsidRPr="00716BD6">
        <w:rPr>
          <w:rFonts w:ascii="Calibri" w:hAnsi="Calibri"/>
          <w:i/>
          <w:iCs/>
          <w:noProof/>
          <w:sz w:val="22"/>
        </w:rPr>
        <w:t>New England Journal of Medicine</w:t>
      </w:r>
      <w:r w:rsidRPr="00716BD6">
        <w:rPr>
          <w:rFonts w:ascii="Calibri" w:hAnsi="Calibri"/>
          <w:noProof/>
          <w:sz w:val="22"/>
        </w:rPr>
        <w:t>, 371(5), pp.411–423. Available at: http://www.ncbi.nlm.nih.gov/pubmed/25075834 [Accessed July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Van der Auwera, G.A. et al., 2013. </w:t>
      </w:r>
      <w:r w:rsidRPr="00716BD6">
        <w:rPr>
          <w:rFonts w:ascii="Calibri" w:hAnsi="Calibri"/>
          <w:i/>
          <w:iCs/>
          <w:noProof/>
          <w:sz w:val="22"/>
        </w:rPr>
        <w:t>Current Protocols in Bioinformatics</w:t>
      </w:r>
      <w:r w:rsidRPr="00716BD6">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Baudat, F. &amp; de Massy, B., 2007. Regulating double-stranded DNA break repair towards crossover or non-crossover during mammalian meiosis. </w:t>
      </w:r>
      <w:r w:rsidRPr="00716BD6">
        <w:rPr>
          <w:rFonts w:ascii="Calibri" w:hAnsi="Calibri"/>
          <w:i/>
          <w:iCs/>
          <w:noProof/>
          <w:sz w:val="22"/>
        </w:rPr>
        <w:t>Chromosome research : an international journal on the molecular, supramolecular and evolutionary aspects of chromosome biology</w:t>
      </w:r>
      <w:r w:rsidRPr="00716BD6">
        <w:rPr>
          <w:rFonts w:ascii="Calibri" w:hAnsi="Calibri"/>
          <w:noProof/>
          <w:sz w:val="22"/>
        </w:rPr>
        <w:t>, 15(5), pp.565–77. Available at: http://www.ncbi.nlm.nih.gov/pubmed/17674146 [Accessed December 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Birren, B. et al., 2006. Plasmodium falciparum HB3, whole genome shotgun sequencing project. Available at: http://www.ncbi.nlm.nih.gov/nuccore/AANS00000000.</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Bopp, S.E.R. et al., 2013. Mitotic evolution of Plasmodium falciparum shows a stable core genome but recombination in antigen families. N. Maizels, ed. </w:t>
      </w:r>
      <w:r w:rsidRPr="00716BD6">
        <w:rPr>
          <w:rFonts w:ascii="Calibri" w:hAnsi="Calibri"/>
          <w:i/>
          <w:iCs/>
          <w:noProof/>
          <w:sz w:val="22"/>
        </w:rPr>
        <w:t>PLoS genetics</w:t>
      </w:r>
      <w:r w:rsidRPr="00716BD6">
        <w:rPr>
          <w:rFonts w:ascii="Calibri" w:hAnsi="Calibri"/>
          <w:noProof/>
          <w:sz w:val="22"/>
        </w:rPr>
        <w:t>, 9(2), p.e1003293. Available at: http://dx.plos.org/10.1371/journal.pgen.1003293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Brick, K., Watanabe, J. &amp; Pizzi, E., 2008. Core promoters are predicted by their distinct physicochemical properties in the genome of Plasmodium falciparum. </w:t>
      </w:r>
      <w:r w:rsidRPr="00716BD6">
        <w:rPr>
          <w:rFonts w:ascii="Calibri" w:hAnsi="Calibri"/>
          <w:i/>
          <w:iCs/>
          <w:noProof/>
          <w:sz w:val="22"/>
        </w:rPr>
        <w:t>Genome biology</w:t>
      </w:r>
      <w:r w:rsidRPr="00716BD6">
        <w:rPr>
          <w:rFonts w:ascii="Calibri" w:hAnsi="Calibri"/>
          <w:noProof/>
          <w:sz w:val="22"/>
        </w:rPr>
        <w:t>, 9(12), p.R178. Available at: http://genomebiology.com/2008/9/12/R178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Chen, J.-Q. et al., 2009. Variation in the ratio of nucleotide substitution and indel rates across genomes in mammals and bacteria. </w:t>
      </w:r>
      <w:r w:rsidRPr="00716BD6">
        <w:rPr>
          <w:rFonts w:ascii="Calibri" w:hAnsi="Calibri"/>
          <w:i/>
          <w:iCs/>
          <w:noProof/>
          <w:sz w:val="22"/>
        </w:rPr>
        <w:t>Molecular biology and evolution</w:t>
      </w:r>
      <w:r w:rsidRPr="00716BD6">
        <w:rPr>
          <w:rFonts w:ascii="Calibri" w:hAnsi="Calibri"/>
          <w:noProof/>
          <w:sz w:val="22"/>
        </w:rPr>
        <w:t>, 26(7), pp.1523–31. Available at: http://www.ncbi.nlm.nih.gov/pubmed/19329651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Claessens, A. et al., 2014. Generation of antigenic diversity in Plasmodium falciparum by structured rearrangement of var genes during mitosis K. Deitsch, ed. </w:t>
      </w:r>
      <w:r w:rsidRPr="00716BD6">
        <w:rPr>
          <w:rFonts w:ascii="Calibri" w:hAnsi="Calibri"/>
          <w:i/>
          <w:iCs/>
          <w:noProof/>
          <w:sz w:val="22"/>
        </w:rPr>
        <w:t>PLoS genetics</w:t>
      </w:r>
      <w:r w:rsidRPr="00716BD6">
        <w:rPr>
          <w:rFonts w:ascii="Calibri" w:hAnsi="Calibri"/>
          <w:noProof/>
          <w:sz w:val="22"/>
        </w:rPr>
        <w:t>, 10(12), p.e1004812. Available at: http://journals.plos.org/plosgenetics/article?id=10.1371/journal.pgen.1004812 [Accessed December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16BD6">
        <w:rPr>
          <w:rFonts w:ascii="Calibri" w:hAnsi="Calibri"/>
          <w:i/>
          <w:iCs/>
          <w:noProof/>
          <w:sz w:val="22"/>
        </w:rPr>
        <w:t>Proceedings of the National Academy of Sciences of the United States of America</w:t>
      </w:r>
      <w:r w:rsidRPr="00716BD6">
        <w:rPr>
          <w:rFonts w:ascii="Calibri" w:hAnsi="Calibri"/>
          <w:noProof/>
          <w:sz w:val="22"/>
        </w:rPr>
        <w:t>, 91(3), pp.1143–7. Available at: http://www.pubmedcentral.nih.gov/articlerender.fcgi?artid=521470&amp;tool=pmcentrez&amp;rendertype=abstract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et al., 2011. A framework for variation discovery and genotyping using next-generation DNA sequencing data. </w:t>
      </w:r>
      <w:r w:rsidRPr="00716BD6">
        <w:rPr>
          <w:rFonts w:ascii="Calibri" w:hAnsi="Calibri"/>
          <w:i/>
          <w:iCs/>
          <w:noProof/>
          <w:sz w:val="22"/>
        </w:rPr>
        <w:t>Nature genetics</w:t>
      </w:r>
      <w:r w:rsidRPr="00716BD6">
        <w:rPr>
          <w:rFonts w:ascii="Calibri" w:hAnsi="Calibri"/>
          <w:noProof/>
          <w:sz w:val="22"/>
        </w:rPr>
        <w:t>, 43(5), pp.491–8. Available at: http://www.pubmedcentral.nih.gov/articlerender.fcgi?artid=3083463&amp;tool=pmcentrez&amp;rendertype=abstract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Zilversmit, M.M. &amp; Hartl, D.L., 2006. On the abundance, amino acid composition, and evolutionary dynamics of low-complexity regions in proteins. </w:t>
      </w:r>
      <w:r w:rsidRPr="00716BD6">
        <w:rPr>
          <w:rFonts w:ascii="Calibri" w:hAnsi="Calibri"/>
          <w:i/>
          <w:iCs/>
          <w:noProof/>
          <w:sz w:val="22"/>
        </w:rPr>
        <w:t>Gene</w:t>
      </w:r>
      <w:r w:rsidRPr="00716BD6">
        <w:rPr>
          <w:rFonts w:ascii="Calibri" w:hAnsi="Calibri"/>
          <w:noProof/>
          <w:sz w:val="22"/>
        </w:rPr>
        <w:t>, 378, pp.19–30. Available at: http://www.ncbi.nlm.nih.gov/pubmed/16806741 [Accessed November 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Fang, H. et al., 2014. Reducing INDEL calling errors in whole genome and exome sequencing data. </w:t>
      </w:r>
      <w:r w:rsidRPr="00716BD6">
        <w:rPr>
          <w:rFonts w:ascii="Calibri" w:hAnsi="Calibri"/>
          <w:i/>
          <w:iCs/>
          <w:noProof/>
          <w:sz w:val="22"/>
        </w:rPr>
        <w:t>Genome medicine</w:t>
      </w:r>
      <w:r w:rsidRPr="00716BD6">
        <w:rPr>
          <w:rFonts w:ascii="Calibri" w:hAnsi="Calibri"/>
          <w:noProof/>
          <w:sz w:val="22"/>
        </w:rPr>
        <w:t xml:space="preserve">, 6(10), p.89. Available at: </w:t>
      </w:r>
      <w:r w:rsidRPr="00716BD6">
        <w:rPr>
          <w:rFonts w:ascii="Calibri" w:hAnsi="Calibri"/>
          <w:noProof/>
          <w:sz w:val="22"/>
        </w:rPr>
        <w:lastRenderedPageBreak/>
        <w:t>http://www.pubmedcentral.nih.gov/articlerender.fcgi?artid=4240813&amp;tool=pmcentrez&amp;rendertype=abstract [Accessed January 15,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Ferreira, M.U. et al., 2003. Sequence diversity and evolution of the malaria vaccine candidate merozoite surface protein-1 (MSP-1) of Plasmodium falciparum. </w:t>
      </w:r>
      <w:r w:rsidRPr="00716BD6">
        <w:rPr>
          <w:rFonts w:ascii="Calibri" w:hAnsi="Calibri"/>
          <w:i/>
          <w:iCs/>
          <w:noProof/>
          <w:sz w:val="22"/>
        </w:rPr>
        <w:t>Gene</w:t>
      </w:r>
      <w:r w:rsidRPr="00716BD6">
        <w:rPr>
          <w:rFonts w:ascii="Calibri" w:hAnsi="Calibri"/>
          <w:noProof/>
          <w:sz w:val="22"/>
        </w:rPr>
        <w:t>, 304, pp.65–75. Available at: http://www.ncbi.nlm.nih.gov/pubmed/12568716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Flueck, C. et al., 2009. Plasmodium falciparum heterochromatin protein 1 marks genomic loci linked to phenotypic variation of exported virulence factors. </w:t>
      </w:r>
      <w:r w:rsidRPr="00716BD6">
        <w:rPr>
          <w:rFonts w:ascii="Calibri" w:hAnsi="Calibri"/>
          <w:i/>
          <w:iCs/>
          <w:noProof/>
          <w:sz w:val="22"/>
        </w:rPr>
        <w:t>PLoS pathogens</w:t>
      </w:r>
      <w:r w:rsidRPr="00716BD6">
        <w:rPr>
          <w:rFonts w:ascii="Calibri" w:hAnsi="Calibri"/>
          <w:noProof/>
          <w:sz w:val="22"/>
        </w:rPr>
        <w:t>, 5(9), p.e1000569. Available at: http://www.pubmedcentral.nih.gov/articlerender.fcgi?artid=2731224&amp;tool=pmcentrez&amp;rendertype=abstract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Freitas-Junior, L.H. et al., 2000. Frequent ectopic recombination of virulence factor genes in telomeric chromosome clusters of P. falciparum. </w:t>
      </w:r>
      <w:r w:rsidRPr="00716BD6">
        <w:rPr>
          <w:rFonts w:ascii="Calibri" w:hAnsi="Calibri"/>
          <w:i/>
          <w:iCs/>
          <w:noProof/>
          <w:sz w:val="22"/>
        </w:rPr>
        <w:t>Nature</w:t>
      </w:r>
      <w:r w:rsidRPr="00716BD6">
        <w:rPr>
          <w:rFonts w:ascii="Calibri" w:hAnsi="Calibri"/>
          <w:noProof/>
          <w:sz w:val="22"/>
        </w:rPr>
        <w:t>, 407(6807), pp.1018–22. Available at: http://www.ncbi.nlm.nih.gov/pubmed/11069183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Gardner, M.J. et al., 2002. Genome sequence of the human malaria parasite Plasmodium falciparum. </w:t>
      </w:r>
      <w:r w:rsidRPr="00716BD6">
        <w:rPr>
          <w:rFonts w:ascii="Calibri" w:hAnsi="Calibri"/>
          <w:i/>
          <w:iCs/>
          <w:noProof/>
          <w:sz w:val="22"/>
        </w:rPr>
        <w:t>Nature</w:t>
      </w:r>
      <w:r w:rsidRPr="00716BD6">
        <w:rPr>
          <w:rFonts w:ascii="Calibri" w:hAnsi="Calibri"/>
          <w:noProof/>
          <w:sz w:val="22"/>
        </w:rPr>
        <w:t>, 419(6906), pp.498–511. Available at: http://www.pubmedcentral.nih.gov/articlerender.fcgi?artid=3836256&amp;tool=pmcentrez&amp;rendertype=abstract [Accessed October 22,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Gonzales, J.M. et al., 2008. Regulatory hotspots in the malaria parasite genome dictate transcriptional variation. </w:t>
      </w:r>
      <w:r w:rsidRPr="00716BD6">
        <w:rPr>
          <w:rFonts w:ascii="Calibri" w:hAnsi="Calibri"/>
          <w:i/>
          <w:iCs/>
          <w:noProof/>
          <w:sz w:val="22"/>
        </w:rPr>
        <w:t>PLoS biology</w:t>
      </w:r>
      <w:r w:rsidRPr="00716BD6">
        <w:rPr>
          <w:rFonts w:ascii="Calibri" w:hAnsi="Calibri"/>
          <w:noProof/>
          <w:sz w:val="22"/>
        </w:rPr>
        <w:t>, 6(9), p.e238. Available at: http://www.pubmedcentral.nih.gov/articlerender.fcgi?artid=2553844&amp;tool=pmcentrez&amp;rendertype=abstract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Haerty, W. &amp; Golding, G.B., 2011. Increased polymorphism near low-complexity sequences across the genomes of Plasmodium falciparum isolates. </w:t>
      </w:r>
      <w:r w:rsidRPr="00716BD6">
        <w:rPr>
          <w:rFonts w:ascii="Calibri" w:hAnsi="Calibri"/>
          <w:i/>
          <w:iCs/>
          <w:noProof/>
          <w:sz w:val="22"/>
        </w:rPr>
        <w:t>Genome biology and evolution</w:t>
      </w:r>
      <w:r w:rsidRPr="00716BD6">
        <w:rPr>
          <w:rFonts w:ascii="Calibri" w:hAnsi="Calibri"/>
          <w:noProof/>
          <w:sz w:val="22"/>
        </w:rPr>
        <w:t>, 3, pp.539–50. Available at: http://www.pubmedcentral.nih.gov/articlerender.fcgi?artid=3140889&amp;tool=pmcentrez&amp;rendertype=abstract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Hastings, P.J., 1992. Mechanism and control of recombination in fungi. </w:t>
      </w:r>
      <w:r w:rsidRPr="00716BD6">
        <w:rPr>
          <w:rFonts w:ascii="Calibri" w:hAnsi="Calibri"/>
          <w:i/>
          <w:iCs/>
          <w:noProof/>
          <w:sz w:val="22"/>
        </w:rPr>
        <w:t>Mutation research</w:t>
      </w:r>
      <w:r w:rsidRPr="00716BD6">
        <w:rPr>
          <w:rFonts w:ascii="Calibri" w:hAnsi="Calibri"/>
          <w:noProof/>
          <w:sz w:val="22"/>
        </w:rPr>
        <w:t>, 284(1), pp.97–110. Available at: http://www.ncbi.nlm.nih.gov/pubmed/1279396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Hayton, K. et al., 2008. Erythrocyte binding protein PfRH5 polymorphisms determine species-specific pathways of Plasmodium falciparum invasion. </w:t>
      </w:r>
      <w:r w:rsidRPr="00716BD6">
        <w:rPr>
          <w:rFonts w:ascii="Calibri" w:hAnsi="Calibri"/>
          <w:i/>
          <w:iCs/>
          <w:noProof/>
          <w:sz w:val="22"/>
        </w:rPr>
        <w:t>Cell host &amp; microbe</w:t>
      </w:r>
      <w:r w:rsidRPr="00716BD6">
        <w:rPr>
          <w:rFonts w:ascii="Calibri" w:hAnsi="Calibri"/>
          <w:noProof/>
          <w:sz w:val="22"/>
        </w:rPr>
        <w:t>, 4(1), pp.40–51. Available at: http://www.pubmedcentral.nih.gov/articlerender.fcgi?artid=2677973&amp;tool=pmcentrez&amp;rendertype=abstract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Heinberg, A. et al., 2013. Direct evidence for the adaptive role of copy number variation on antifolate susceptibility in Plasmodium falciparum. </w:t>
      </w:r>
      <w:r w:rsidRPr="00716BD6">
        <w:rPr>
          <w:rFonts w:ascii="Calibri" w:hAnsi="Calibri"/>
          <w:i/>
          <w:iCs/>
          <w:noProof/>
          <w:sz w:val="22"/>
        </w:rPr>
        <w:t>Molecular microbiology</w:t>
      </w:r>
      <w:r w:rsidRPr="00716BD6">
        <w:rPr>
          <w:rFonts w:ascii="Calibri" w:hAnsi="Calibri"/>
          <w:noProof/>
          <w:sz w:val="22"/>
        </w:rPr>
        <w:t>, 88(4), pp.702–12. Available at: http://www.pubmedcentral.nih.gov/articlerender.fcgi?artid=3654098&amp;tool=pmcentrez&amp;rendertype=abstract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Hilliker, A.J. et al., 1994. Meiotic gene conversion tract length distribution within the rosy locus of Drosophila melanogaster. </w:t>
      </w:r>
      <w:r w:rsidRPr="00716BD6">
        <w:rPr>
          <w:rFonts w:ascii="Calibri" w:hAnsi="Calibri"/>
          <w:i/>
          <w:iCs/>
          <w:noProof/>
          <w:sz w:val="22"/>
        </w:rPr>
        <w:t>Genetics</w:t>
      </w:r>
      <w:r w:rsidRPr="00716BD6">
        <w:rPr>
          <w:rFonts w:ascii="Calibri" w:hAnsi="Calibri"/>
          <w:noProof/>
          <w:sz w:val="22"/>
        </w:rPr>
        <w:t xml:space="preserve">, 137(4), pp.1019–26. Available at: </w:t>
      </w:r>
      <w:r w:rsidRPr="00716BD6">
        <w:rPr>
          <w:rFonts w:ascii="Calibri" w:hAnsi="Calibri"/>
          <w:noProof/>
          <w:sz w:val="22"/>
        </w:rPr>
        <w:lastRenderedPageBreak/>
        <w:t>http://www.pubmedcentral.nih.gov/articlerender.fcgi?artid=1206049&amp;tool=pmcentrez&amp;rendertype=abstract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Iqbal, Z. et al., 2012. De novo assembly and genotyping of variants using colored de Bruijn graphs. </w:t>
      </w:r>
      <w:r w:rsidRPr="00716BD6">
        <w:rPr>
          <w:rFonts w:ascii="Calibri" w:hAnsi="Calibri"/>
          <w:i/>
          <w:iCs/>
          <w:noProof/>
          <w:sz w:val="22"/>
        </w:rPr>
        <w:t>Nature genetics</w:t>
      </w:r>
      <w:r w:rsidRPr="00716BD6">
        <w:rPr>
          <w:rFonts w:ascii="Calibri" w:hAnsi="Calibri"/>
          <w:noProof/>
          <w:sz w:val="22"/>
        </w:rPr>
        <w:t>, 44(2), pp.226–32. Available at: http://dx.doi.org/10.1038/ng.1028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Jeffares, D.C. et al., 2007. Genome variation and evolution of the malaria parasite Plasmodium falciparum. </w:t>
      </w:r>
      <w:r w:rsidRPr="00716BD6">
        <w:rPr>
          <w:rFonts w:ascii="Calibri" w:hAnsi="Calibri"/>
          <w:i/>
          <w:iCs/>
          <w:noProof/>
          <w:sz w:val="22"/>
        </w:rPr>
        <w:t>Nature genetics</w:t>
      </w:r>
      <w:r w:rsidRPr="00716BD6">
        <w:rPr>
          <w:rFonts w:ascii="Calibri" w:hAnsi="Calibri"/>
          <w:noProof/>
          <w:sz w:val="22"/>
        </w:rPr>
        <w:t>, 39(1), pp.120–5. Available at: http://www.pubmedcentral.nih.gov/articlerender.fcgi?artid=2663918&amp;tool=pmcentrez&amp;rendertype=abstract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Jeffreys, A.J. &amp; May, C.A., 2004. Intense and highly localized gene conversion activity in human meiotic crossover hot spots. </w:t>
      </w:r>
      <w:r w:rsidRPr="00716BD6">
        <w:rPr>
          <w:rFonts w:ascii="Calibri" w:hAnsi="Calibri"/>
          <w:i/>
          <w:iCs/>
          <w:noProof/>
          <w:sz w:val="22"/>
        </w:rPr>
        <w:t>Nature genetics</w:t>
      </w:r>
      <w:r w:rsidRPr="00716BD6">
        <w:rPr>
          <w:rFonts w:ascii="Calibri" w:hAnsi="Calibri"/>
          <w:noProof/>
          <w:sz w:val="22"/>
        </w:rPr>
        <w:t>, 36(2), pp.151–6. Available at: http://www.ncbi.nlm.nih.gov/pubmed/14704667 [Accessed December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Jiang, H. et al., 2011. High recombination rates and hotspots in a Plasmodium falciparum genetic cross. </w:t>
      </w:r>
      <w:r w:rsidRPr="00716BD6">
        <w:rPr>
          <w:rFonts w:ascii="Calibri" w:hAnsi="Calibri"/>
          <w:i/>
          <w:iCs/>
          <w:noProof/>
          <w:sz w:val="22"/>
        </w:rPr>
        <w:t>Genome biology</w:t>
      </w:r>
      <w:r w:rsidRPr="00716BD6">
        <w:rPr>
          <w:rFonts w:ascii="Calibri" w:hAnsi="Calibri"/>
          <w:noProof/>
          <w:sz w:val="22"/>
        </w:rPr>
        <w:t>, 12(4), p.R33. Available at: http://genomebiology.com/2011/12/4/R33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Kerr, P.J., Ranford-Cartwright, L.C. &amp; Walliker, D., 1994. Proof of intragenic recombination in Plasmodium falciparum. </w:t>
      </w:r>
      <w:r w:rsidRPr="00716BD6">
        <w:rPr>
          <w:rFonts w:ascii="Calibri" w:hAnsi="Calibri"/>
          <w:i/>
          <w:iCs/>
          <w:noProof/>
          <w:sz w:val="22"/>
        </w:rPr>
        <w:t>Molecular and biochemical parasitology</w:t>
      </w:r>
      <w:r w:rsidRPr="00716BD6">
        <w:rPr>
          <w:rFonts w:ascii="Calibri" w:hAnsi="Calibri"/>
          <w:noProof/>
          <w:sz w:val="22"/>
        </w:rPr>
        <w:t>, 66(2), pp.241–8. Available at: http://www.ncbi.nlm.nih.gov/pubmed/7808474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Kidgell, C. et al., 2006. A systematic map of genetic variation in Plasmodium falciparum. </w:t>
      </w:r>
      <w:r w:rsidRPr="00716BD6">
        <w:rPr>
          <w:rFonts w:ascii="Calibri" w:hAnsi="Calibri"/>
          <w:i/>
          <w:iCs/>
          <w:noProof/>
          <w:sz w:val="22"/>
        </w:rPr>
        <w:t>PLoS pathogens</w:t>
      </w:r>
      <w:r w:rsidRPr="00716BD6">
        <w:rPr>
          <w:rFonts w:ascii="Calibri" w:hAnsi="Calibri"/>
          <w:noProof/>
          <w:sz w:val="22"/>
        </w:rPr>
        <w:t>, 2(6), p.e57. Available at: http://www.pubmedcentral.nih.gov/articlerender.fcgi?artid=1480597&amp;tool=pmcentrez&amp;rendertype=abstract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Kondrashov, F.A., 2012. Gene duplication as a mechanism of genomic adaptation to a changing environment. </w:t>
      </w:r>
      <w:r w:rsidRPr="00716BD6">
        <w:rPr>
          <w:rFonts w:ascii="Calibri" w:hAnsi="Calibri"/>
          <w:i/>
          <w:iCs/>
          <w:noProof/>
          <w:sz w:val="22"/>
        </w:rPr>
        <w:t>Proceedings. Biological sciences / The Royal Society</w:t>
      </w:r>
      <w:r w:rsidRPr="00716BD6">
        <w:rPr>
          <w:rFonts w:ascii="Calibri" w:hAnsi="Calibri"/>
          <w:noProof/>
          <w:sz w:val="22"/>
        </w:rPr>
        <w:t>, 279(1749), pp.5048–57. Available at: http://www.pubmedcentral.nih.gov/articlerender.fcgi?artid=3497230&amp;tool=pmcentrez&amp;rendertype=abstract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Kozarewa, I. et al., 2009. Amplification-free Illumina sequencing-library preparation facilitates improved mapping and assembly of (G+C)-biased genomes. </w:t>
      </w:r>
      <w:r w:rsidRPr="00716BD6">
        <w:rPr>
          <w:rFonts w:ascii="Calibri" w:hAnsi="Calibri"/>
          <w:i/>
          <w:iCs/>
          <w:noProof/>
          <w:sz w:val="22"/>
        </w:rPr>
        <w:t>Nature methods</w:t>
      </w:r>
      <w:r w:rsidRPr="00716BD6">
        <w:rPr>
          <w:rFonts w:ascii="Calibri" w:hAnsi="Calibri"/>
          <w:noProof/>
          <w:sz w:val="22"/>
        </w:rPr>
        <w:t>, 6(4), pp.291–5. Available at: http://dx.doi.org/10.1038/nmeth.1311 [Accessed October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Lasonder, E. et al., 2008. Proteomic profiling of Plasmodium sporozoite maturation identifies new proteins essential for parasite development and infectivity. D. E. Goldberg, ed. </w:t>
      </w:r>
      <w:r w:rsidRPr="00716BD6">
        <w:rPr>
          <w:rFonts w:ascii="Calibri" w:hAnsi="Calibri"/>
          <w:i/>
          <w:iCs/>
          <w:noProof/>
          <w:sz w:val="22"/>
        </w:rPr>
        <w:t>PLoS pathogens</w:t>
      </w:r>
      <w:r w:rsidRPr="00716BD6">
        <w:rPr>
          <w:rFonts w:ascii="Calibri" w:hAnsi="Calibri"/>
          <w:noProof/>
          <w:sz w:val="22"/>
        </w:rPr>
        <w:t>, 4(10), p.e1000195. Available at: http://dx.plos.org/10.1371/journal.ppat.1000195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H. &amp; Durbin, R., 2009. Fast and accurate short read alignment with Burrows-Wheeler transform. </w:t>
      </w:r>
      <w:r w:rsidRPr="00716BD6">
        <w:rPr>
          <w:rFonts w:ascii="Calibri" w:hAnsi="Calibri"/>
          <w:i/>
          <w:iCs/>
          <w:noProof/>
          <w:sz w:val="22"/>
        </w:rPr>
        <w:t>Bioinformatics (Oxford, England)</w:t>
      </w:r>
      <w:r w:rsidRPr="00716BD6">
        <w:rPr>
          <w:rFonts w:ascii="Calibri" w:hAnsi="Calibri"/>
          <w:noProof/>
          <w:sz w:val="22"/>
        </w:rPr>
        <w:t>, 25(14), pp.1754–60. Available at: http://www.pubmedcentral.nih.gov/articlerender.fcgi?artid=2705234&amp;tool=pmcentrez&amp;rendertype=abstract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Li, Y.-C. et al., 2002. Microsatellites: genomic distribution, putative functions and mutational mechanisms: a review. </w:t>
      </w:r>
      <w:r w:rsidRPr="00716BD6">
        <w:rPr>
          <w:rFonts w:ascii="Calibri" w:hAnsi="Calibri"/>
          <w:i/>
          <w:iCs/>
          <w:noProof/>
          <w:sz w:val="22"/>
        </w:rPr>
        <w:t>Molecular ecology</w:t>
      </w:r>
      <w:r w:rsidRPr="00716BD6">
        <w:rPr>
          <w:rFonts w:ascii="Calibri" w:hAnsi="Calibri"/>
          <w:noProof/>
          <w:sz w:val="22"/>
        </w:rPr>
        <w:t>, 11(12), pp.2453–65. Available at: http://www.ncbi.nlm.nih.gov/pubmed/12453231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Lovett, S.T., 2004. Encoded errors: mutations and rearrangements mediated by misalignment at repetitive DNA sequences. </w:t>
      </w:r>
      <w:r w:rsidRPr="00716BD6">
        <w:rPr>
          <w:rFonts w:ascii="Calibri" w:hAnsi="Calibri"/>
          <w:i/>
          <w:iCs/>
          <w:noProof/>
          <w:sz w:val="22"/>
        </w:rPr>
        <w:t>Molecular microbiology</w:t>
      </w:r>
      <w:r w:rsidRPr="00716BD6">
        <w:rPr>
          <w:rFonts w:ascii="Calibri" w:hAnsi="Calibri"/>
          <w:noProof/>
          <w:sz w:val="22"/>
        </w:rPr>
        <w:t>, 52(5), pp.1243–53. Available at: http://www.ncbi.nlm.nih.gov/pubmed/15165229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Mancera, E. et al., 2008. High-resolution mapping of meiotic crossovers and non-crossovers in yeast. </w:t>
      </w:r>
      <w:r w:rsidRPr="00716BD6">
        <w:rPr>
          <w:rFonts w:ascii="Calibri" w:hAnsi="Calibri"/>
          <w:i/>
          <w:iCs/>
          <w:noProof/>
          <w:sz w:val="22"/>
        </w:rPr>
        <w:t>Nature</w:t>
      </w:r>
      <w:r w:rsidRPr="00716BD6">
        <w:rPr>
          <w:rFonts w:ascii="Calibri" w:hAnsi="Calibri"/>
          <w:noProof/>
          <w:sz w:val="22"/>
        </w:rPr>
        <w:t>, 454(7203), pp.479–85. Available at: http://www.pubmedcentral.nih.gov/articlerender.fcgi?artid=2780006&amp;tool=pmcentrez&amp;rendertype=abstract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H.M. &amp; Kwiatkowski, D.P., 2009. LookSeq: a browser-based viewer for deep sequencing data. </w:t>
      </w:r>
      <w:r w:rsidRPr="00716BD6">
        <w:rPr>
          <w:rFonts w:ascii="Calibri" w:hAnsi="Calibri"/>
          <w:i/>
          <w:iCs/>
          <w:noProof/>
          <w:sz w:val="22"/>
        </w:rPr>
        <w:t>Genome research</w:t>
      </w:r>
      <w:r w:rsidRPr="00716BD6">
        <w:rPr>
          <w:rFonts w:ascii="Calibri" w:hAnsi="Calibri"/>
          <w:noProof/>
          <w:sz w:val="22"/>
        </w:rPr>
        <w:t>, 19(11), pp.2125–32. Available at: http://www.pubmedcentral.nih.gov/articlerender.fcgi?artid=2775587&amp;tool=pmcentrez&amp;rendertype=abstract [Accessed December 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M. et al., 2012. Analysis of Plasmodium falciparum diversity in natural infections by deep sequencing. </w:t>
      </w:r>
      <w:r w:rsidRPr="00716BD6">
        <w:rPr>
          <w:rFonts w:ascii="Calibri" w:hAnsi="Calibri"/>
          <w:i/>
          <w:iCs/>
          <w:noProof/>
          <w:sz w:val="22"/>
        </w:rPr>
        <w:t>Nature</w:t>
      </w:r>
      <w:r w:rsidRPr="00716BD6">
        <w:rPr>
          <w:rFonts w:ascii="Calibri" w:hAnsi="Calibri"/>
          <w:noProof/>
          <w:sz w:val="22"/>
        </w:rPr>
        <w:t>, 487(7407), pp.375–9. Available at: http://www.pubmedcentral.nih.gov/articlerender.fcgi?artid=3738909&amp;tool=pmcentrez&amp;rendertype=abstract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Martinez-Perez, E. &amp; Colaiácovo, M.P., 2009. Distribution of meiotic recombination events: talking to your neighbors. </w:t>
      </w:r>
      <w:r w:rsidRPr="00716BD6">
        <w:rPr>
          <w:rFonts w:ascii="Calibri" w:hAnsi="Calibri"/>
          <w:i/>
          <w:iCs/>
          <w:noProof/>
          <w:sz w:val="22"/>
        </w:rPr>
        <w:t>Current opinion in genetics &amp; development</w:t>
      </w:r>
      <w:r w:rsidRPr="00716BD6">
        <w:rPr>
          <w:rFonts w:ascii="Calibri" w:hAnsi="Calibri"/>
          <w:noProof/>
          <w:sz w:val="22"/>
        </w:rPr>
        <w:t>, 19(2), pp.105–12. Available at: http://www.pubmedcentral.nih.gov/articlerender.fcgi?artid=2729281&amp;tool=pmcentrez&amp;rendertype=abstract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McKenna, A. et al., 2010. The Genome Analysis Toolkit: a MapReduce framework for analyzing next-generation DNA sequencing data. </w:t>
      </w:r>
      <w:r w:rsidRPr="00716BD6">
        <w:rPr>
          <w:rFonts w:ascii="Calibri" w:hAnsi="Calibri"/>
          <w:i/>
          <w:iCs/>
          <w:noProof/>
          <w:sz w:val="22"/>
        </w:rPr>
        <w:t>Genome research</w:t>
      </w:r>
      <w:r w:rsidRPr="00716BD6">
        <w:rPr>
          <w:rFonts w:ascii="Calibri" w:hAnsi="Calibri"/>
          <w:noProof/>
          <w:sz w:val="22"/>
        </w:rPr>
        <w:t>, 20(9), pp.1297–303. Available at: http://www.pubmedcentral.nih.gov/articlerender.fcgi?artid=2928508&amp;tool=pmcentrez&amp;rendertype=abstract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Miotto, O. et al., 2013. Multiple populations of artemisinin-resistant Plasmodium falciparum in Cambodia. </w:t>
      </w:r>
      <w:r w:rsidRPr="00716BD6">
        <w:rPr>
          <w:rFonts w:ascii="Calibri" w:hAnsi="Calibri"/>
          <w:i/>
          <w:iCs/>
          <w:noProof/>
          <w:sz w:val="22"/>
        </w:rPr>
        <w:t>Nature genetics</w:t>
      </w:r>
      <w:r w:rsidRPr="00716BD6">
        <w:rPr>
          <w:rFonts w:ascii="Calibri" w:hAnsi="Calibri"/>
          <w:noProof/>
          <w:sz w:val="22"/>
        </w:rPr>
        <w:t>, 45(6), pp.648–55. Available at: http://www.pubmedcentral.nih.gov/articlerender.fcgi?artid=3807790&amp;tool=pmcentrez&amp;rendertype=abstract [Accessed September 30,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Mira-Martínez, S. et al., 2013. Epigenetic switches in clag3 genes mediate blasticidin S resistance in malaria parasites. </w:t>
      </w:r>
      <w:r w:rsidRPr="00716BD6">
        <w:rPr>
          <w:rFonts w:ascii="Calibri" w:hAnsi="Calibri"/>
          <w:i/>
          <w:iCs/>
          <w:noProof/>
          <w:sz w:val="22"/>
        </w:rPr>
        <w:t>Cellular microbiology</w:t>
      </w:r>
      <w:r w:rsidRPr="00716BD6">
        <w:rPr>
          <w:rFonts w:ascii="Calibri" w:hAnsi="Calibri"/>
          <w:noProof/>
          <w:sz w:val="22"/>
        </w:rPr>
        <w:t>, 15(11), pp.1913–23. Available at: http://www.ncbi.nlm.nih.gov/pubmed/23819786 [Accessed December 10,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Mok, S. et al., 2014. Structural polymorphism in the promoter of pfmrp2 confers Plasmodium falciparum tolerance to quinoline drugs. </w:t>
      </w:r>
      <w:r w:rsidRPr="00716BD6">
        <w:rPr>
          <w:rFonts w:ascii="Calibri" w:hAnsi="Calibri"/>
          <w:i/>
          <w:iCs/>
          <w:noProof/>
          <w:sz w:val="22"/>
        </w:rPr>
        <w:t>Molecular microbiology</w:t>
      </w:r>
      <w:r w:rsidRPr="00716BD6">
        <w:rPr>
          <w:rFonts w:ascii="Calibri" w:hAnsi="Calibri"/>
          <w:noProof/>
          <w:sz w:val="22"/>
        </w:rPr>
        <w:t>, 91(5), pp.918–34. Available at: http://www.ncbi.nlm.nih.gov/pubmed/24372851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Montgomery, S.B. et al., 2013. The origin, evolution, and functional impact of short insertion-deletion variants identified in 179 human genomes. </w:t>
      </w:r>
      <w:r w:rsidRPr="00716BD6">
        <w:rPr>
          <w:rFonts w:ascii="Calibri" w:hAnsi="Calibri"/>
          <w:i/>
          <w:iCs/>
          <w:noProof/>
          <w:sz w:val="22"/>
        </w:rPr>
        <w:t>Genome research</w:t>
      </w:r>
      <w:r w:rsidRPr="00716BD6">
        <w:rPr>
          <w:rFonts w:ascii="Calibri" w:hAnsi="Calibri"/>
          <w:noProof/>
          <w:sz w:val="22"/>
        </w:rPr>
        <w:t>, 23(5), pp.749–61. Available at: http://www.pubmedcentral.nih.gov/articlerender.fcgi?artid=3638132&amp;tool=pmcentrez&amp;rendertype=abstract [Accessed August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Muralidharan, V. &amp; Goldberg, D.E., 2013. Asparagine repeats in Plasmodium falciparum proteins: good for nothing? L. J. Knoll, ed. </w:t>
      </w:r>
      <w:r w:rsidRPr="00716BD6">
        <w:rPr>
          <w:rFonts w:ascii="Calibri" w:hAnsi="Calibri"/>
          <w:i/>
          <w:iCs/>
          <w:noProof/>
          <w:sz w:val="22"/>
        </w:rPr>
        <w:t>PLoS pathogens</w:t>
      </w:r>
      <w:r w:rsidRPr="00716BD6">
        <w:rPr>
          <w:rFonts w:ascii="Calibri" w:hAnsi="Calibri"/>
          <w:noProof/>
          <w:sz w:val="22"/>
        </w:rPr>
        <w:t>, 9(8), p.e1003488. Available at: http://dx.plos.org/10.1371/journal.ppat.1003488 [Accessed December 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Muzzey, D. et al., 2013. Assembly of a phased diploid Candida albicans genome facilitates allele-specific measurements and provides a simple model for repeat and indel structure. </w:t>
      </w:r>
      <w:r w:rsidRPr="00716BD6">
        <w:rPr>
          <w:rFonts w:ascii="Calibri" w:hAnsi="Calibri"/>
          <w:i/>
          <w:iCs/>
          <w:noProof/>
          <w:sz w:val="22"/>
        </w:rPr>
        <w:t>Genome biology</w:t>
      </w:r>
      <w:r w:rsidRPr="00716BD6">
        <w:rPr>
          <w:rFonts w:ascii="Calibri" w:hAnsi="Calibri"/>
          <w:noProof/>
          <w:sz w:val="22"/>
        </w:rPr>
        <w:t>, 14(9), p.R97. Available at: http://genomebiology.com/2013/14/9/R97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Myers, S. et al., 2005. A fine-scale map of recombination rates and hotspots across the human genome. </w:t>
      </w:r>
      <w:r w:rsidRPr="00716BD6">
        <w:rPr>
          <w:rFonts w:ascii="Calibri" w:hAnsi="Calibri"/>
          <w:i/>
          <w:iCs/>
          <w:noProof/>
          <w:sz w:val="22"/>
        </w:rPr>
        <w:t>Science (New York, N.Y.)</w:t>
      </w:r>
      <w:r w:rsidRPr="00716BD6">
        <w:rPr>
          <w:rFonts w:ascii="Calibri" w:hAnsi="Calibri"/>
          <w:noProof/>
          <w:sz w:val="22"/>
        </w:rPr>
        <w:t>, 310(5746), pp.321–4. Available at: http://www.sciencemag.org/content/310/5746/321 [Accessed July 23,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2008. Adaptive copy number evolution in malaria parasites. </w:t>
      </w:r>
      <w:r w:rsidRPr="00716BD6">
        <w:rPr>
          <w:rFonts w:ascii="Calibri" w:hAnsi="Calibri"/>
          <w:i/>
          <w:iCs/>
          <w:noProof/>
          <w:sz w:val="22"/>
        </w:rPr>
        <w:t>PLoS genetics</w:t>
      </w:r>
      <w:r w:rsidRPr="00716BD6">
        <w:rPr>
          <w:rFonts w:ascii="Calibri" w:hAnsi="Calibri"/>
          <w:noProof/>
          <w:sz w:val="22"/>
        </w:rPr>
        <w:t>, 4(10), p.e1000243. Available at: http://www.pubmedcentral.nih.gov/articlerender.fcgi?artid=2570623&amp;tool=pmcentrez&amp;rendertype=abstract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2007. Recurrent gene amplification and soft selective sweeps during evolution of multidrug resistance in malaria parasites. </w:t>
      </w:r>
      <w:r w:rsidRPr="00716BD6">
        <w:rPr>
          <w:rFonts w:ascii="Calibri" w:hAnsi="Calibri"/>
          <w:i/>
          <w:iCs/>
          <w:noProof/>
          <w:sz w:val="22"/>
        </w:rPr>
        <w:t>Molecular biology and evolution</w:t>
      </w:r>
      <w:r w:rsidRPr="00716BD6">
        <w:rPr>
          <w:rFonts w:ascii="Calibri" w:hAnsi="Calibri"/>
          <w:noProof/>
          <w:sz w:val="22"/>
        </w:rPr>
        <w:t>, 24(2), pp.562–73. Available at: http://www.ncbi.nlm.nih.gov/pubmed/17124182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Ranford-Cartwright, L.C. &amp; Mwangi, J.M., 2012. Analysis of malaria parasite phenotypes using experimental genetic crosses of Plasmodium falciparum. </w:t>
      </w:r>
      <w:r w:rsidRPr="00716BD6">
        <w:rPr>
          <w:rFonts w:ascii="Calibri" w:hAnsi="Calibri"/>
          <w:i/>
          <w:iCs/>
          <w:noProof/>
          <w:sz w:val="22"/>
        </w:rPr>
        <w:t>International journal for parasitology</w:t>
      </w:r>
      <w:r w:rsidRPr="00716BD6">
        <w:rPr>
          <w:rFonts w:ascii="Calibri" w:hAnsi="Calibri"/>
          <w:noProof/>
          <w:sz w:val="22"/>
        </w:rPr>
        <w:t>, 42(6), pp.529–34. Available at: http://www.pubmedcentral.nih.gov/articlerender.fcgi?artid=4039998&amp;tool=pmcentrez&amp;rendertype=abstract [Accessed November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Robasky, K., Lewis, N.E. &amp; Church, G.M., 2014. The role of replicates for error mitigation in next-generation sequencing. </w:t>
      </w:r>
      <w:r w:rsidRPr="00716BD6">
        <w:rPr>
          <w:rFonts w:ascii="Calibri" w:hAnsi="Calibri"/>
          <w:i/>
          <w:iCs/>
          <w:noProof/>
          <w:sz w:val="22"/>
        </w:rPr>
        <w:t>Nature reviews. Genetics</w:t>
      </w:r>
      <w:r w:rsidRPr="00716BD6">
        <w:rPr>
          <w:rFonts w:ascii="Calibri" w:hAnsi="Calibri"/>
          <w:noProof/>
          <w:sz w:val="22"/>
        </w:rPr>
        <w:t>, 15(1), pp.56–62. Available at: http://dx.doi.org/10.1038/nrg3655 [Accessed July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Rosenthal, P.J., 2013. The interplay between drug resistance and fitness in malaria parasites. </w:t>
      </w:r>
      <w:r w:rsidRPr="00716BD6">
        <w:rPr>
          <w:rFonts w:ascii="Calibri" w:hAnsi="Calibri"/>
          <w:i/>
          <w:iCs/>
          <w:noProof/>
          <w:sz w:val="22"/>
        </w:rPr>
        <w:t>Molecular microbiology</w:t>
      </w:r>
      <w:r w:rsidRPr="00716BD6">
        <w:rPr>
          <w:rFonts w:ascii="Calibri" w:hAnsi="Calibri"/>
          <w:noProof/>
          <w:sz w:val="22"/>
        </w:rPr>
        <w:t>, 89(6), pp.1025–38. Available at: http://www.pubmedcentral.nih.gov/articlerender.fcgi?artid=3792794&amp;tool=pmcentrez&amp;rendertype=abstract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Roy, S.W., Ferreira, M.U. &amp; Hartl, D.L., 2008. Evolution of allelic dimorphism in malarial surface antigens. </w:t>
      </w:r>
      <w:r w:rsidRPr="00716BD6">
        <w:rPr>
          <w:rFonts w:ascii="Calibri" w:hAnsi="Calibri"/>
          <w:i/>
          <w:iCs/>
          <w:noProof/>
          <w:sz w:val="22"/>
        </w:rPr>
        <w:t>Heredity</w:t>
      </w:r>
      <w:r w:rsidRPr="00716BD6">
        <w:rPr>
          <w:rFonts w:ascii="Calibri" w:hAnsi="Calibri"/>
          <w:noProof/>
          <w:sz w:val="22"/>
        </w:rPr>
        <w:t>, 100(2), pp.103–10. Available at: http://www.ncbi.nlm.nih.gov/pubmed/17021615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Samarakoon, U., Regier, A., et al., 2011. High-throughput 454 resequencing for allele discovery and recombination mapping in Plasmodium falciparum. </w:t>
      </w:r>
      <w:r w:rsidRPr="00716BD6">
        <w:rPr>
          <w:rFonts w:ascii="Calibri" w:hAnsi="Calibri"/>
          <w:i/>
          <w:iCs/>
          <w:noProof/>
          <w:sz w:val="22"/>
        </w:rPr>
        <w:t>BMC genomics</w:t>
      </w:r>
      <w:r w:rsidRPr="00716BD6">
        <w:rPr>
          <w:rFonts w:ascii="Calibri" w:hAnsi="Calibri"/>
          <w:noProof/>
          <w:sz w:val="22"/>
        </w:rPr>
        <w:t>, 12, p.116. Available at: http://www.pubmedcentral.nih.gov/articlerender.fcgi?artid=3055840&amp;tool=pmcentrez&amp;rendertype=abstract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Samarakoon, U., Gonzales, J.M., et al., 2011. The landscape of inherited and de novo copy number variants in a Plasmodium falciparum genetic cross. </w:t>
      </w:r>
      <w:r w:rsidRPr="00716BD6">
        <w:rPr>
          <w:rFonts w:ascii="Calibri" w:hAnsi="Calibri"/>
          <w:i/>
          <w:iCs/>
          <w:noProof/>
          <w:sz w:val="22"/>
        </w:rPr>
        <w:t>BMC genomics</w:t>
      </w:r>
      <w:r w:rsidRPr="00716BD6">
        <w:rPr>
          <w:rFonts w:ascii="Calibri" w:hAnsi="Calibri"/>
          <w:noProof/>
          <w:sz w:val="22"/>
        </w:rPr>
        <w:t>, 12, p.457. Available at: http://www.pubmedcentral.nih.gov/articlerender.fcgi?artid=3191341&amp;tool=pmcentrez&amp;rendertype=abstract [Accessed October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Saunders, I.W., Brohede, J. &amp; Hannan, G.N., 2007. Estimating genotyping error rates from Mendelian errors in SNP array genotypes and their impact on inference. </w:t>
      </w:r>
      <w:r w:rsidRPr="00716BD6">
        <w:rPr>
          <w:rFonts w:ascii="Calibri" w:hAnsi="Calibri"/>
          <w:i/>
          <w:iCs/>
          <w:noProof/>
          <w:sz w:val="22"/>
        </w:rPr>
        <w:t>Genomics</w:t>
      </w:r>
      <w:r w:rsidRPr="00716BD6">
        <w:rPr>
          <w:rFonts w:ascii="Calibri" w:hAnsi="Calibri"/>
          <w:noProof/>
          <w:sz w:val="22"/>
        </w:rPr>
        <w:t>, 90(3), pp.291–6. Available at: http://www.sciencedirect.com/science/article/pii/S088875430700136X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Sepúlveda, N. et al., 2013. A Poisson hierarchical modelling approach to detecting copy number variation in sequence coverage data. </w:t>
      </w:r>
      <w:r w:rsidRPr="00716BD6">
        <w:rPr>
          <w:rFonts w:ascii="Calibri" w:hAnsi="Calibri"/>
          <w:i/>
          <w:iCs/>
          <w:noProof/>
          <w:sz w:val="22"/>
        </w:rPr>
        <w:t>BMC genomics</w:t>
      </w:r>
      <w:r w:rsidRPr="00716BD6">
        <w:rPr>
          <w:rFonts w:ascii="Calibri" w:hAnsi="Calibri"/>
          <w:noProof/>
          <w:sz w:val="22"/>
        </w:rPr>
        <w:t>, 14, p.128. Available at: http://www.pubmedcentral.nih.gov/articlerender.fcgi?artid=3679970&amp;tool=pmcentrez&amp;rendertype=abstract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et al., 1999. A genetic map and recombination parameters of the human malaria parasite Plasmodium falciparum. </w:t>
      </w:r>
      <w:r w:rsidRPr="00716BD6">
        <w:rPr>
          <w:rFonts w:ascii="Calibri" w:hAnsi="Calibri"/>
          <w:i/>
          <w:iCs/>
          <w:noProof/>
          <w:sz w:val="22"/>
        </w:rPr>
        <w:t>Science (New York, N.Y.)</w:t>
      </w:r>
      <w:r w:rsidRPr="00716BD6">
        <w:rPr>
          <w:rFonts w:ascii="Calibri" w:hAnsi="Calibri"/>
          <w:noProof/>
          <w:sz w:val="22"/>
        </w:rPr>
        <w:t>, 286(5443), pp.1351–3. Available at: http://www.ncbi.nlm.nih.gov/pubmed/10558988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Hayton, K. &amp; Wellems, T.E., 2007. Genetic linkage and association analyses for trait mapping in Plasmodium falciparum. </w:t>
      </w:r>
      <w:r w:rsidRPr="00716BD6">
        <w:rPr>
          <w:rFonts w:ascii="Calibri" w:hAnsi="Calibri"/>
          <w:i/>
          <w:iCs/>
          <w:noProof/>
          <w:sz w:val="22"/>
        </w:rPr>
        <w:t>Nature reviews. Genetics</w:t>
      </w:r>
      <w:r w:rsidRPr="00716BD6">
        <w:rPr>
          <w:rFonts w:ascii="Calibri" w:hAnsi="Calibri"/>
          <w:noProof/>
          <w:sz w:val="22"/>
        </w:rPr>
        <w:t>, 8(7), pp.497–506. Available at: http://dx.doi.org/10.1038/nrg2126 [Accessed January 20,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Tan, J.C. et al., 2010. Variable numbers of tandem repeats in Plasmodium falciparum genes. </w:t>
      </w:r>
      <w:r w:rsidRPr="00716BD6">
        <w:rPr>
          <w:rFonts w:ascii="Calibri" w:hAnsi="Calibri"/>
          <w:i/>
          <w:iCs/>
          <w:noProof/>
          <w:sz w:val="22"/>
        </w:rPr>
        <w:t>Journal of molecular evolution</w:t>
      </w:r>
      <w:r w:rsidRPr="00716BD6">
        <w:rPr>
          <w:rFonts w:ascii="Calibri" w:hAnsi="Calibri"/>
          <w:noProof/>
          <w:sz w:val="22"/>
        </w:rPr>
        <w:t>, 71(4), pp.268–78. Available at: http://www.pubmedcentral.nih.gov/articlerender.fcgi?artid=3205454&amp;tool=pmcentrez&amp;rendertype=abstract [Accessed November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Valli, A., López-Moya, J.J. &amp; García, J.A., 2007. Recombination and gene duplication in the evolutionary diversification of P1 proteins in the family Potyviridae. </w:t>
      </w:r>
      <w:r w:rsidRPr="00716BD6">
        <w:rPr>
          <w:rFonts w:ascii="Calibri" w:hAnsi="Calibri"/>
          <w:i/>
          <w:iCs/>
          <w:noProof/>
          <w:sz w:val="22"/>
        </w:rPr>
        <w:t>The Journal of general virology</w:t>
      </w:r>
      <w:r w:rsidRPr="00716BD6">
        <w:rPr>
          <w:rFonts w:ascii="Calibri" w:hAnsi="Calibri"/>
          <w:noProof/>
          <w:sz w:val="22"/>
        </w:rPr>
        <w:t>, 88(Pt 3), pp.1016–28. Available at: http://www.ncbi.nlm.nih.gov/pubmed/17325376 [Accessed May 12,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Vaughan, A.M. et al., 2015. Plasmodium falciparum genetic crosses in a humanized mouse model. </w:t>
      </w:r>
      <w:r w:rsidRPr="00716BD6">
        <w:rPr>
          <w:rFonts w:ascii="Calibri" w:hAnsi="Calibri"/>
          <w:i/>
          <w:iCs/>
          <w:noProof/>
          <w:sz w:val="22"/>
        </w:rPr>
        <w:t>Nature methods</w:t>
      </w:r>
      <w:r w:rsidRPr="00716BD6">
        <w:rPr>
          <w:rFonts w:ascii="Calibri" w:hAnsi="Calibri"/>
          <w:noProof/>
          <w:sz w:val="22"/>
        </w:rPr>
        <w:t>, 12(7), pp.631–633. Available at: http://dx.doi.org/10.1038/nmeth.3432 [Accessed June 29,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Völker, M. et al., 2010. Copy number variation, chromosome rearrangement, and their association with recombination during avian evolution. </w:t>
      </w:r>
      <w:r w:rsidRPr="00716BD6">
        <w:rPr>
          <w:rFonts w:ascii="Calibri" w:hAnsi="Calibri"/>
          <w:i/>
          <w:iCs/>
          <w:noProof/>
          <w:sz w:val="22"/>
        </w:rPr>
        <w:t>Genome research</w:t>
      </w:r>
      <w:r w:rsidRPr="00716BD6">
        <w:rPr>
          <w:rFonts w:ascii="Calibri" w:hAnsi="Calibri"/>
          <w:noProof/>
          <w:sz w:val="22"/>
        </w:rPr>
        <w:t>, 20(4), pp.503–11. Available at: http://genome.cshlp.org/content/20/4/503.full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Walker-Jonah, A. et al., 1992. An RFLP map of the Plasmodium falciparum genome, recombination rates and favored linkage groups in a genetic cross. </w:t>
      </w:r>
      <w:r w:rsidRPr="00716BD6">
        <w:rPr>
          <w:rFonts w:ascii="Calibri" w:hAnsi="Calibri"/>
          <w:i/>
          <w:iCs/>
          <w:noProof/>
          <w:sz w:val="22"/>
        </w:rPr>
        <w:t>Molecular and biochemical parasitology</w:t>
      </w:r>
      <w:r w:rsidRPr="00716BD6">
        <w:rPr>
          <w:rFonts w:ascii="Calibri" w:hAnsi="Calibri"/>
          <w:noProof/>
          <w:sz w:val="22"/>
        </w:rPr>
        <w:t>, 51(2), pp.313–20. Available at: http://www.ncbi.nlm.nih.gov/pubmed/1349423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Walliker, D. et al., 1987. Genetic analysis of the human malaria parasite Plasmodium falciparum. </w:t>
      </w:r>
      <w:r w:rsidRPr="00716BD6">
        <w:rPr>
          <w:rFonts w:ascii="Calibri" w:hAnsi="Calibri"/>
          <w:i/>
          <w:iCs/>
          <w:noProof/>
          <w:sz w:val="22"/>
        </w:rPr>
        <w:t>Science (New York, N.Y.)</w:t>
      </w:r>
      <w:r w:rsidRPr="00716BD6">
        <w:rPr>
          <w:rFonts w:ascii="Calibri" w:hAnsi="Calibri"/>
          <w:noProof/>
          <w:sz w:val="22"/>
        </w:rPr>
        <w:t>, 236(4809), pp.1661–6. Available at: http://www.ncbi.nlm.nih.gov/pubmed/3299700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et al., 1990. Chloroquine resistance not linked to mdr-like genes in a Plasmodium falciparum cross. </w:t>
      </w:r>
      <w:r w:rsidRPr="00716BD6">
        <w:rPr>
          <w:rFonts w:ascii="Calibri" w:hAnsi="Calibri"/>
          <w:i/>
          <w:iCs/>
          <w:noProof/>
          <w:sz w:val="22"/>
        </w:rPr>
        <w:t>Nature</w:t>
      </w:r>
      <w:r w:rsidRPr="00716BD6">
        <w:rPr>
          <w:rFonts w:ascii="Calibri" w:hAnsi="Calibri"/>
          <w:noProof/>
          <w:sz w:val="22"/>
        </w:rPr>
        <w:t>, 345(6272), pp.253–5. Available at: http://www.ncbi.nlm.nih.gov/pubmed/1970614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Walker-Jonah, A. &amp; Panton, L.J., 1991. Genetic mapping of the chloroquine-resistance locus on Plasmodium falciparum chromosome 7. </w:t>
      </w:r>
      <w:r w:rsidRPr="00716BD6">
        <w:rPr>
          <w:rFonts w:ascii="Calibri" w:hAnsi="Calibri"/>
          <w:i/>
          <w:iCs/>
          <w:noProof/>
          <w:sz w:val="22"/>
        </w:rPr>
        <w:t xml:space="preserve">Proceedings of the National Academy of </w:t>
      </w:r>
      <w:r w:rsidRPr="00716BD6">
        <w:rPr>
          <w:rFonts w:ascii="Calibri" w:hAnsi="Calibri"/>
          <w:i/>
          <w:iCs/>
          <w:noProof/>
          <w:sz w:val="22"/>
        </w:rPr>
        <w:lastRenderedPageBreak/>
        <w:t>Sciences of the United States of America</w:t>
      </w:r>
      <w:r w:rsidRPr="00716BD6">
        <w:rPr>
          <w:rFonts w:ascii="Calibri" w:hAnsi="Calibri"/>
          <w:noProof/>
          <w:sz w:val="22"/>
        </w:rPr>
        <w:t>, 88(8), pp.3382–6. Available at: http://www.pubmedcentral.nih.gov/articlerender.fcgi?artid=51451&amp;tool=pmcentrez&amp;rendertype=abstract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Youds, J.L. &amp; Boulton, S.J., 2011. The choice in meiosis - defining the factors that influence crossover or non-crossover formation. </w:t>
      </w:r>
      <w:r w:rsidRPr="00716BD6">
        <w:rPr>
          <w:rFonts w:ascii="Calibri" w:hAnsi="Calibri"/>
          <w:i/>
          <w:iCs/>
          <w:noProof/>
          <w:sz w:val="22"/>
        </w:rPr>
        <w:t>Journal of cell science</w:t>
      </w:r>
      <w:r w:rsidRPr="00716BD6">
        <w:rPr>
          <w:rFonts w:ascii="Calibri" w:hAnsi="Calibri"/>
          <w:noProof/>
          <w:sz w:val="22"/>
        </w:rPr>
        <w:t>, 124(Pt 4), pp.501–13. Available at: http://www.ncbi.nlm.nih.gov/pubmed/21282472 [Accessed December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Zilversmit, M.M. et al., 2010. Low-complexity regions in Plasmodium falciparum: missing links in the evolution of an extreme genome. </w:t>
      </w:r>
      <w:r w:rsidRPr="00716BD6">
        <w:rPr>
          <w:rFonts w:ascii="Calibri" w:hAnsi="Calibri"/>
          <w:i/>
          <w:iCs/>
          <w:noProof/>
          <w:sz w:val="22"/>
        </w:rPr>
        <w:t>Molecular biology and evolution</w:t>
      </w:r>
      <w:r w:rsidRPr="00716BD6">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16BD6">
      <w:pPr>
        <w:pStyle w:val="NormalWeb"/>
        <w:ind w:left="480" w:hanging="480"/>
        <w:divId w:val="985088373"/>
      </w:pPr>
      <w:r>
        <w:fldChar w:fldCharType="end"/>
      </w:r>
    </w:p>
    <w:sectPr w:rsidR="009E1600" w:rsidRPr="009E1600" w:rsidSect="00355A6C">
      <w:footerReference w:type="default" r:id="rId20"/>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D92" w:rsidRDefault="00D06D92" w:rsidP="008B66D9">
      <w:pPr>
        <w:spacing w:after="0" w:line="240" w:lineRule="auto"/>
      </w:pPr>
      <w:r>
        <w:separator/>
      </w:r>
    </w:p>
  </w:endnote>
  <w:endnote w:type="continuationSeparator" w:id="0">
    <w:p w:rsidR="00D06D92" w:rsidRDefault="00D06D92"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359936"/>
      <w:docPartObj>
        <w:docPartGallery w:val="Page Numbers (Bottom of Page)"/>
        <w:docPartUnique/>
      </w:docPartObj>
    </w:sdtPr>
    <w:sdtEndPr>
      <w:rPr>
        <w:noProof/>
      </w:rPr>
    </w:sdtEndPr>
    <w:sdtContent>
      <w:p w:rsidR="008A0546" w:rsidRDefault="008A0546">
        <w:pPr>
          <w:pStyle w:val="Footer"/>
          <w:jc w:val="center"/>
        </w:pPr>
        <w:r>
          <w:fldChar w:fldCharType="begin"/>
        </w:r>
        <w:r>
          <w:instrText xml:space="preserve"> PAGE   \* MERGEFORMAT </w:instrText>
        </w:r>
        <w:r>
          <w:fldChar w:fldCharType="separate"/>
        </w:r>
        <w:r w:rsidR="00BA2C42">
          <w:rPr>
            <w:noProof/>
          </w:rPr>
          <w:t>1</w:t>
        </w:r>
        <w:r>
          <w:rPr>
            <w:noProof/>
          </w:rPr>
          <w:fldChar w:fldCharType="end"/>
        </w:r>
      </w:p>
    </w:sdtContent>
  </w:sdt>
  <w:p w:rsidR="008A0546" w:rsidRDefault="008A0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D92" w:rsidRDefault="00D06D92" w:rsidP="008B66D9">
      <w:pPr>
        <w:spacing w:after="0" w:line="240" w:lineRule="auto"/>
      </w:pPr>
      <w:r>
        <w:separator/>
      </w:r>
    </w:p>
  </w:footnote>
  <w:footnote w:type="continuationSeparator" w:id="0">
    <w:p w:rsidR="00D06D92" w:rsidRDefault="00D06D92" w:rsidP="008B66D9">
      <w:pPr>
        <w:spacing w:after="0" w:line="240" w:lineRule="auto"/>
      </w:pPr>
      <w:r>
        <w:continuationSeparator/>
      </w:r>
    </w:p>
  </w:footnote>
  <w:footnote w:id="1">
    <w:p w:rsidR="008A0546" w:rsidRDefault="008A0546">
      <w:pPr>
        <w:pStyle w:val="FootnoteText"/>
      </w:pPr>
      <w:r>
        <w:rPr>
          <w:rStyle w:val="FootnoteReference"/>
        </w:rPr>
        <w:footnoteRef/>
      </w:r>
      <w:r>
        <w:t xml:space="preserve"> MRC Centre for Genomics and Global Health, University of Oxford, Oxford, UK</w:t>
      </w:r>
    </w:p>
  </w:footnote>
  <w:footnote w:id="2">
    <w:p w:rsidR="008A0546" w:rsidRDefault="008A0546">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A0546" w:rsidRDefault="008A0546">
      <w:pPr>
        <w:pStyle w:val="FootnoteText"/>
      </w:pPr>
      <w:r>
        <w:rPr>
          <w:rStyle w:val="FootnoteReference"/>
        </w:rPr>
        <w:footnoteRef/>
      </w:r>
      <w:r>
        <w:t xml:space="preserve"> Wellcome Trust Centre for Human Genetics, University of Oxford, Oxford, UK</w:t>
      </w:r>
    </w:p>
  </w:footnote>
  <w:footnote w:id="4">
    <w:p w:rsidR="008A0546" w:rsidRDefault="008A0546">
      <w:pPr>
        <w:pStyle w:val="FootnoteText"/>
      </w:pPr>
      <w:r>
        <w:rPr>
          <w:rStyle w:val="FootnoteReference"/>
        </w:rPr>
        <w:footnoteRef/>
      </w:r>
      <w:r>
        <w:t xml:space="preserve"> Bowdoin College, Brunswick, Maine, USA</w:t>
      </w:r>
    </w:p>
  </w:footnote>
  <w:footnote w:id="5">
    <w:p w:rsidR="008A0546" w:rsidRDefault="008A0546">
      <w:pPr>
        <w:pStyle w:val="FootnoteText"/>
      </w:pPr>
      <w:r>
        <w:rPr>
          <w:rStyle w:val="FootnoteReference"/>
        </w:rPr>
        <w:footnoteRef/>
      </w:r>
      <w:r>
        <w:t xml:space="preserve"> Broad Institute of Harvard and MIT, Cambridge, Massachusetts, USA</w:t>
      </w:r>
    </w:p>
  </w:footnote>
  <w:footnote w:id="6">
    <w:p w:rsidR="008A0546" w:rsidRDefault="008A0546">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A0546" w:rsidRDefault="008A0546">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A0546" w:rsidRDefault="008A0546">
      <w:pPr>
        <w:pStyle w:val="FootnoteText"/>
      </w:pPr>
      <w:r>
        <w:rPr>
          <w:rStyle w:val="FootnoteReference"/>
        </w:rPr>
        <w:footnoteRef/>
      </w:r>
      <w:r>
        <w:t xml:space="preserve"> Eck Institute for Global Health, Department of Biological Sciences, University of Notre Dame, Notre Dame, Indiana, USA</w:t>
      </w:r>
    </w:p>
  </w:footnote>
  <w:footnote w:id="9">
    <w:p w:rsidR="008A0546" w:rsidRDefault="008A0546">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A0546" w:rsidRDefault="008A0546">
      <w:pPr>
        <w:pStyle w:val="FootnoteText"/>
      </w:pPr>
      <w:r>
        <w:rPr>
          <w:rStyle w:val="FootnoteReference"/>
        </w:rPr>
        <w:footnoteRef/>
      </w:r>
      <w:r>
        <w:t xml:space="preserve"> Department of Statistics, University of Oxford, Oxford, UK</w:t>
      </w:r>
    </w:p>
  </w:footnote>
  <w:footnote w:id="11">
    <w:p w:rsidR="008A0546" w:rsidRDefault="008A0546" w:rsidP="0083016F">
      <w:pPr>
        <w:pStyle w:val="FootnoteText"/>
      </w:pPr>
      <w:r>
        <w:rPr>
          <w:rStyle w:val="FootnoteReference"/>
        </w:rPr>
        <w:footnoteRef/>
      </w:r>
      <w:r>
        <w:t xml:space="preserve"> ftp://ngs.sanger.ac.uk/production/pf-crosses/1.0/</w:t>
      </w:r>
    </w:p>
  </w:footnote>
  <w:footnote w:id="12">
    <w:p w:rsidR="008A0546" w:rsidRDefault="008A0546">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A0546" w:rsidRDefault="008A0546">
      <w:pPr>
        <w:pStyle w:val="FootnoteText"/>
      </w:pPr>
      <w:r>
        <w:rPr>
          <w:rStyle w:val="FootnoteReference"/>
        </w:rPr>
        <w:footnoteRef/>
      </w:r>
      <w:r>
        <w:t xml:space="preserve"> https://github.com/alimanfoo/pysamstats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4BF"/>
    <w:rsid w:val="00012D16"/>
    <w:rsid w:val="00013797"/>
    <w:rsid w:val="00015727"/>
    <w:rsid w:val="00016DA9"/>
    <w:rsid w:val="00022BF0"/>
    <w:rsid w:val="0004180F"/>
    <w:rsid w:val="00043C58"/>
    <w:rsid w:val="0005220C"/>
    <w:rsid w:val="000645D6"/>
    <w:rsid w:val="00065004"/>
    <w:rsid w:val="00071215"/>
    <w:rsid w:val="00077681"/>
    <w:rsid w:val="00081BCE"/>
    <w:rsid w:val="000840C7"/>
    <w:rsid w:val="00084E8A"/>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2B62"/>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20D6"/>
    <w:rsid w:val="001F6267"/>
    <w:rsid w:val="001F7E29"/>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5529B"/>
    <w:rsid w:val="00263A8B"/>
    <w:rsid w:val="00264F25"/>
    <w:rsid w:val="00266665"/>
    <w:rsid w:val="002759C7"/>
    <w:rsid w:val="00291C00"/>
    <w:rsid w:val="00293AC3"/>
    <w:rsid w:val="00295C75"/>
    <w:rsid w:val="002A031E"/>
    <w:rsid w:val="002A236A"/>
    <w:rsid w:val="002A2BE8"/>
    <w:rsid w:val="002A5154"/>
    <w:rsid w:val="002B4174"/>
    <w:rsid w:val="002B5CBF"/>
    <w:rsid w:val="002C092B"/>
    <w:rsid w:val="002C3E4D"/>
    <w:rsid w:val="002D236F"/>
    <w:rsid w:val="002F7A46"/>
    <w:rsid w:val="0031069D"/>
    <w:rsid w:val="00316BAD"/>
    <w:rsid w:val="00320409"/>
    <w:rsid w:val="00320E71"/>
    <w:rsid w:val="003224B9"/>
    <w:rsid w:val="00324626"/>
    <w:rsid w:val="00325FF3"/>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347F"/>
    <w:rsid w:val="003C55CB"/>
    <w:rsid w:val="003C6843"/>
    <w:rsid w:val="003C72B7"/>
    <w:rsid w:val="003D0F25"/>
    <w:rsid w:val="003D1E9D"/>
    <w:rsid w:val="003D3144"/>
    <w:rsid w:val="003D5E66"/>
    <w:rsid w:val="003D7F87"/>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1284"/>
    <w:rsid w:val="004332D4"/>
    <w:rsid w:val="00434D88"/>
    <w:rsid w:val="004357C6"/>
    <w:rsid w:val="00436C33"/>
    <w:rsid w:val="004403DA"/>
    <w:rsid w:val="004412FA"/>
    <w:rsid w:val="00442FA6"/>
    <w:rsid w:val="00446F45"/>
    <w:rsid w:val="00450E72"/>
    <w:rsid w:val="004531F4"/>
    <w:rsid w:val="004533B9"/>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1753"/>
    <w:rsid w:val="005E4F41"/>
    <w:rsid w:val="005E4F4C"/>
    <w:rsid w:val="005E5FE9"/>
    <w:rsid w:val="005F02B9"/>
    <w:rsid w:val="005F76A4"/>
    <w:rsid w:val="005F7D85"/>
    <w:rsid w:val="005F7DD3"/>
    <w:rsid w:val="0060093E"/>
    <w:rsid w:val="00601883"/>
    <w:rsid w:val="006018E2"/>
    <w:rsid w:val="00605B08"/>
    <w:rsid w:val="006065AE"/>
    <w:rsid w:val="00607AA0"/>
    <w:rsid w:val="0061637F"/>
    <w:rsid w:val="0062071D"/>
    <w:rsid w:val="00622DB4"/>
    <w:rsid w:val="00622F1D"/>
    <w:rsid w:val="00624AF9"/>
    <w:rsid w:val="00630078"/>
    <w:rsid w:val="00635AD4"/>
    <w:rsid w:val="0063600E"/>
    <w:rsid w:val="006469F3"/>
    <w:rsid w:val="0065235B"/>
    <w:rsid w:val="00653393"/>
    <w:rsid w:val="0066222C"/>
    <w:rsid w:val="0066428C"/>
    <w:rsid w:val="00666208"/>
    <w:rsid w:val="00666B61"/>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3DDF"/>
    <w:rsid w:val="006C6A25"/>
    <w:rsid w:val="006D6FCD"/>
    <w:rsid w:val="006E6764"/>
    <w:rsid w:val="006E7EA9"/>
    <w:rsid w:val="006F1FCC"/>
    <w:rsid w:val="00716BD6"/>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C7B84"/>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0546"/>
    <w:rsid w:val="008A5CF4"/>
    <w:rsid w:val="008B2CF9"/>
    <w:rsid w:val="008B66D9"/>
    <w:rsid w:val="008C03B4"/>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5FFB"/>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036"/>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1774"/>
    <w:rsid w:val="00AF5355"/>
    <w:rsid w:val="00B037B8"/>
    <w:rsid w:val="00B05A9F"/>
    <w:rsid w:val="00B11DF3"/>
    <w:rsid w:val="00B1349E"/>
    <w:rsid w:val="00B139F3"/>
    <w:rsid w:val="00B1727B"/>
    <w:rsid w:val="00B241EF"/>
    <w:rsid w:val="00B25677"/>
    <w:rsid w:val="00B2594B"/>
    <w:rsid w:val="00B32D1F"/>
    <w:rsid w:val="00B339B7"/>
    <w:rsid w:val="00B34836"/>
    <w:rsid w:val="00B37C66"/>
    <w:rsid w:val="00B50155"/>
    <w:rsid w:val="00B513E5"/>
    <w:rsid w:val="00B537A3"/>
    <w:rsid w:val="00B53E0D"/>
    <w:rsid w:val="00B65E4B"/>
    <w:rsid w:val="00B6677C"/>
    <w:rsid w:val="00B7595D"/>
    <w:rsid w:val="00BA0FA8"/>
    <w:rsid w:val="00BA2C42"/>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1D10"/>
    <w:rsid w:val="00C32810"/>
    <w:rsid w:val="00C333D0"/>
    <w:rsid w:val="00C37853"/>
    <w:rsid w:val="00C37D76"/>
    <w:rsid w:val="00C42374"/>
    <w:rsid w:val="00C4455E"/>
    <w:rsid w:val="00C44746"/>
    <w:rsid w:val="00C47636"/>
    <w:rsid w:val="00C50688"/>
    <w:rsid w:val="00C51B90"/>
    <w:rsid w:val="00C53090"/>
    <w:rsid w:val="00C5471C"/>
    <w:rsid w:val="00C63023"/>
    <w:rsid w:val="00C67381"/>
    <w:rsid w:val="00C73348"/>
    <w:rsid w:val="00C7335B"/>
    <w:rsid w:val="00C8137E"/>
    <w:rsid w:val="00C818E0"/>
    <w:rsid w:val="00C81D5D"/>
    <w:rsid w:val="00C82549"/>
    <w:rsid w:val="00C95BB5"/>
    <w:rsid w:val="00C97C07"/>
    <w:rsid w:val="00CA3E0D"/>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6D92"/>
    <w:rsid w:val="00D07F33"/>
    <w:rsid w:val="00D1018D"/>
    <w:rsid w:val="00D1140B"/>
    <w:rsid w:val="00D14426"/>
    <w:rsid w:val="00D16D18"/>
    <w:rsid w:val="00D246DE"/>
    <w:rsid w:val="00D24847"/>
    <w:rsid w:val="00D24B5A"/>
    <w:rsid w:val="00D270D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2607"/>
    <w:rsid w:val="00D96060"/>
    <w:rsid w:val="00DA1B2C"/>
    <w:rsid w:val="00DA3665"/>
    <w:rsid w:val="00DA6F10"/>
    <w:rsid w:val="00DB2FDB"/>
    <w:rsid w:val="00DC21CA"/>
    <w:rsid w:val="00DC386C"/>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C7A42"/>
    <w:rsid w:val="00ED0992"/>
    <w:rsid w:val="00ED25D2"/>
    <w:rsid w:val="00ED4067"/>
    <w:rsid w:val="00EE0300"/>
    <w:rsid w:val="00EE1931"/>
    <w:rsid w:val="00EE4AC6"/>
    <w:rsid w:val="00EE5A51"/>
    <w:rsid w:val="00EF2C90"/>
    <w:rsid w:val="00EF319F"/>
    <w:rsid w:val="00EF6779"/>
    <w:rsid w:val="00F04EAF"/>
    <w:rsid w:val="00F07E0D"/>
    <w:rsid w:val="00F11424"/>
    <w:rsid w:val="00F12BE6"/>
    <w:rsid w:val="00F1438E"/>
    <w:rsid w:val="00F230BE"/>
    <w:rsid w:val="00F23B0D"/>
    <w:rsid w:val="00F2574B"/>
    <w:rsid w:val="00F422C1"/>
    <w:rsid w:val="00F428AA"/>
    <w:rsid w:val="00F551F4"/>
    <w:rsid w:val="00F57A57"/>
    <w:rsid w:val="00F67755"/>
    <w:rsid w:val="00F70B94"/>
    <w:rsid w:val="00F7616C"/>
    <w:rsid w:val="00F77C67"/>
    <w:rsid w:val="00F803F5"/>
    <w:rsid w:val="00F81315"/>
    <w:rsid w:val="00F831E6"/>
    <w:rsid w:val="00F931FB"/>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299C"/>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 w:type="paragraph" w:styleId="Caption">
    <w:name w:val="caption"/>
    <w:basedOn w:val="Normal"/>
    <w:next w:val="Normal"/>
    <w:uiPriority w:val="35"/>
    <w:unhideWhenUsed/>
    <w:qFormat/>
    <w:rsid w:val="00EF319F"/>
    <w:pPr>
      <w:spacing w:line="240" w:lineRule="auto"/>
    </w:pPr>
    <w:rPr>
      <w:b/>
      <w:bCs/>
      <w:color w:val="4F81BD" w:themeColor="accent1"/>
      <w:sz w:val="18"/>
      <w:szCs w:val="18"/>
    </w:rPr>
  </w:style>
  <w:style w:type="paragraph" w:styleId="Header">
    <w:name w:val="header"/>
    <w:basedOn w:val="Normal"/>
    <w:link w:val="HeaderChar"/>
    <w:uiPriority w:val="99"/>
    <w:unhideWhenUsed/>
    <w:rsid w:val="00A42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036"/>
  </w:style>
  <w:style w:type="paragraph" w:styleId="Footer">
    <w:name w:val="footer"/>
    <w:basedOn w:val="Normal"/>
    <w:link w:val="FooterChar"/>
    <w:uiPriority w:val="99"/>
    <w:unhideWhenUsed/>
    <w:rsid w:val="00A42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sChild>
                                                                                                                                                                                                                                                                                                                                                                                                                                                                                                                                                                                                                                                                                                                                                                                                                                                                    <w:div w:id="12991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tair.miles@well.ox.ac.uk" TargetMode="External"/><Relationship Id="rId13" Type="http://schemas.openxmlformats.org/officeDocument/2006/relationships/image" Target="media/image3.jpeg"/><Relationship Id="rId18" Type="http://schemas.openxmlformats.org/officeDocument/2006/relationships/hyperlink" Target="ftp://ngs.sanger.ac.uk/production/malaria/pf-crosses/1.0/"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malariagen.net/apps/pf-crosses/"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19" Type="http://schemas.openxmlformats.org/officeDocument/2006/relationships/hyperlink" Target="http://www.malariagen.net/apps/pf-crosses/1.0/"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B83BE-4A09-4CE9-BE14-62890E880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7033</TotalTime>
  <Pages>37</Pages>
  <Words>79461</Words>
  <Characters>452933</Characters>
  <Application>Microsoft Office Word</Application>
  <DocSecurity>0</DocSecurity>
  <Lines>3774</Lines>
  <Paragraphs>1062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363</cp:revision>
  <cp:lastPrinted>2015-12-22T23:19:00Z</cp:lastPrinted>
  <dcterms:created xsi:type="dcterms:W3CDTF">2014-11-21T18:07:00Z</dcterms:created>
  <dcterms:modified xsi:type="dcterms:W3CDTF">2015-12-22T23:19:00Z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