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C9DD" w14:textId="46EDC318" w:rsidR="00F53FED" w:rsidRPr="00E21F6C" w:rsidRDefault="00F53FED" w:rsidP="00F53FED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E21F6C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Overview and Purpose of the Project</w:t>
      </w:r>
    </w:p>
    <w:p w14:paraId="6672DEBB" w14:textId="5687C894" w:rsidR="0071460B" w:rsidRPr="00E21F6C" w:rsidRDefault="00F53FED" w:rsidP="00F53FED">
      <w:pPr>
        <w:spacing w:before="300" w:after="225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project aims to illuminate relevant data trends by analyzing and organizing a </w:t>
      </w:r>
      <w:r w:rsidR="0071460B"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crowdfunding </w:t>
      </w:r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database </w:t>
      </w:r>
      <w:r w:rsidR="009129E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comprising 1,000 campaigns launched at different months within a given year concerning</w:t>
      </w:r>
      <w:r w:rsidR="0071460B"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funding goals and </w:t>
      </w:r>
      <w:r w:rsidR="009129E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</w:t>
      </w:r>
      <w:r w:rsidR="0071460B"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number of backers or donors. </w:t>
      </w:r>
    </w:p>
    <w:p w14:paraId="5A69EBB7" w14:textId="08B675F0" w:rsidR="00962B8F" w:rsidRPr="00E21F6C" w:rsidRDefault="0071460B" w:rsidP="00962B8F">
      <w:pPr>
        <w:spacing w:before="300" w:after="225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project will consist of </w:t>
      </w:r>
      <w:r w:rsidR="00962B8F"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>four</w:t>
      </w:r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visuals titled </w:t>
      </w:r>
      <w:r w:rsidRPr="00E21F6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Outcomes based on launch date, Outcomes based on category, Outcomes based on subcategory</w:t>
      </w:r>
      <w:r w:rsidR="00962B8F" w:rsidRPr="00E21F6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, and Outcomes based on initial goal</w:t>
      </w:r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r w:rsidR="00962B8F"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Descriptive statistics of the successful campaigns will also be explored. </w:t>
      </w:r>
    </w:p>
    <w:p w14:paraId="79A436FD" w14:textId="4830A273" w:rsidR="00962B8F" w:rsidRPr="00E21F6C" w:rsidRDefault="00962B8F" w:rsidP="00962B8F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E21F6C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Analysis </w:t>
      </w:r>
    </w:p>
    <w:p w14:paraId="36BD18AA" w14:textId="4ADA143E" w:rsidR="00F53FED" w:rsidRPr="00E21F6C" w:rsidRDefault="00962B8F" w:rsidP="00E21F6C">
      <w:pPr>
        <w:spacing w:before="300" w:after="225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Four analyses with corresponding visuals are performed as described below. </w:t>
      </w:r>
      <w:r w:rsidRPr="00E21F6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Outcomes based on launch </w:t>
      </w:r>
      <w:r w:rsidR="00854584" w:rsidRPr="00E21F6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date</w:t>
      </w:r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gramStart"/>
      <w:r w:rsidRPr="00E21F6C">
        <w:rPr>
          <w:rFonts w:ascii="Arial" w:eastAsia="Times New Roman" w:hAnsi="Arial" w:cs="Arial"/>
          <w:kern w:val="0"/>
          <w:sz w:val="24"/>
          <w:szCs w:val="24"/>
          <w14:ligatures w14:val="none"/>
        </w:rPr>
        <w:t>i</w:t>
      </w:r>
      <w:r w:rsidRPr="00E21F6C">
        <w:rPr>
          <w:rFonts w:ascii="Arial" w:hAnsi="Arial" w:cs="Arial"/>
          <w:color w:val="24292F"/>
          <w:shd w:val="clear" w:color="auto" w:fill="FFFFFF"/>
        </w:rPr>
        <w:t>s</w:t>
      </w:r>
      <w:proofErr w:type="gramEnd"/>
      <w:r w:rsidRPr="00E21F6C">
        <w:rPr>
          <w:rFonts w:ascii="Arial" w:hAnsi="Arial" w:cs="Arial"/>
          <w:color w:val="24292F"/>
          <w:shd w:val="clear" w:color="auto" w:fill="FFFFFF"/>
        </w:rPr>
        <w:t xml:space="preserve"> constructed by creating a pivot table from the raw dataset </w:t>
      </w:r>
      <w:r w:rsidRPr="00E21F6C">
        <w:rPr>
          <w:rStyle w:val="Emphasis"/>
          <w:rFonts w:ascii="Arial" w:hAnsi="Arial" w:cs="Arial"/>
          <w:color w:val="24292F"/>
          <w:shd w:val="clear" w:color="auto" w:fill="FFFFFF"/>
        </w:rPr>
        <w:t>Crowdfunding</w:t>
      </w:r>
      <w:r w:rsidRPr="00E21F6C">
        <w:rPr>
          <w:rFonts w:ascii="Arial" w:hAnsi="Arial" w:cs="Arial"/>
          <w:color w:val="24292F"/>
          <w:shd w:val="clear" w:color="auto" w:fill="FFFFFF"/>
        </w:rPr>
        <w:t> and by graphing a line chart to see the correlation between campaign outcomes and launch dates. Date defined by months is plotted on the x-axis</w:t>
      </w:r>
      <w:r w:rsidR="009129E8">
        <w:rPr>
          <w:rFonts w:ascii="Arial" w:hAnsi="Arial" w:cs="Arial"/>
          <w:color w:val="24292F"/>
          <w:shd w:val="clear" w:color="auto" w:fill="FFFFFF"/>
        </w:rPr>
        <w:t>,</w:t>
      </w:r>
      <w:r w:rsidRPr="00E21F6C">
        <w:rPr>
          <w:rFonts w:ascii="Arial" w:hAnsi="Arial" w:cs="Arial"/>
          <w:color w:val="24292F"/>
          <w:shd w:val="clear" w:color="auto" w:fill="FFFFFF"/>
        </w:rPr>
        <w:t xml:space="preserve"> and the count of total successful, failed, and canceled outcomes are plotted on the y-axis. </w:t>
      </w:r>
      <w:r w:rsidR="00854584" w:rsidRPr="00E21F6C">
        <w:rPr>
          <w:rFonts w:ascii="Arial" w:hAnsi="Arial" w:cs="Arial"/>
          <w:b/>
          <w:bCs/>
          <w:color w:val="24292F"/>
          <w:shd w:val="clear" w:color="auto" w:fill="FFFFFF"/>
        </w:rPr>
        <w:t>Outcomes based on funding goals</w:t>
      </w:r>
      <w:r w:rsidR="00854584" w:rsidRPr="00E21F6C">
        <w:rPr>
          <w:rFonts w:ascii="Arial" w:hAnsi="Arial" w:cs="Arial"/>
          <w:color w:val="24292F"/>
          <w:shd w:val="clear" w:color="auto" w:fill="FFFFFF"/>
        </w:rPr>
        <w:t xml:space="preserve"> obtained by pooling raw data and computing the percentage of successful, failed, and canceled projects on the Y-axis and </w:t>
      </w:r>
      <w:r w:rsidR="009129E8">
        <w:rPr>
          <w:rFonts w:ascii="Arial" w:hAnsi="Arial" w:cs="Arial"/>
          <w:color w:val="24292F"/>
          <w:shd w:val="clear" w:color="auto" w:fill="FFFFFF"/>
        </w:rPr>
        <w:t xml:space="preserve">the </w:t>
      </w:r>
      <w:r w:rsidR="00854584" w:rsidRPr="00E21F6C">
        <w:rPr>
          <w:rFonts w:ascii="Arial" w:hAnsi="Arial" w:cs="Arial"/>
          <w:color w:val="24292F"/>
          <w:shd w:val="clear" w:color="auto" w:fill="FFFFFF"/>
        </w:rPr>
        <w:t xml:space="preserve">range of funding goals on the X-axis by a factor of $5,000. Similarity, </w:t>
      </w:r>
      <w:r w:rsidR="00854584" w:rsidRPr="00E21F6C">
        <w:rPr>
          <w:rFonts w:ascii="Arial" w:hAnsi="Arial" w:cs="Arial"/>
          <w:b/>
          <w:bCs/>
          <w:color w:val="24292F"/>
          <w:shd w:val="clear" w:color="auto" w:fill="FFFFFF"/>
        </w:rPr>
        <w:t>Outcomes based on category</w:t>
      </w:r>
      <w:r w:rsidR="00854584" w:rsidRPr="00E21F6C">
        <w:rPr>
          <w:rFonts w:ascii="Arial" w:hAnsi="Arial" w:cs="Arial"/>
          <w:color w:val="24292F"/>
          <w:shd w:val="clear" w:color="auto" w:fill="FFFFFF"/>
        </w:rPr>
        <w:t xml:space="preserve">, and </w:t>
      </w:r>
      <w:r w:rsidR="00854584" w:rsidRPr="00E21F6C">
        <w:rPr>
          <w:rFonts w:ascii="Arial" w:hAnsi="Arial" w:cs="Arial"/>
          <w:b/>
          <w:bCs/>
          <w:color w:val="24292F"/>
          <w:shd w:val="clear" w:color="auto" w:fill="FFFFFF"/>
        </w:rPr>
        <w:t>Outcomes based on subcategory</w:t>
      </w:r>
      <w:r w:rsidR="00854584" w:rsidRPr="00E21F6C">
        <w:rPr>
          <w:rFonts w:ascii="Arial" w:hAnsi="Arial" w:cs="Arial"/>
          <w:color w:val="24292F"/>
          <w:shd w:val="clear" w:color="auto" w:fill="FFFFFF"/>
        </w:rPr>
        <w:t xml:space="preserve">, are analyzed by creating a stacked-column pivot chart from the Crowdfunding dataset. </w:t>
      </w:r>
      <w:r w:rsidR="009129E8" w:rsidRPr="009129E8">
        <w:rPr>
          <w:rFonts w:ascii="Arial" w:hAnsi="Arial" w:cs="Arial"/>
          <w:b/>
          <w:bCs/>
          <w:color w:val="24292F"/>
          <w:shd w:val="clear" w:color="auto" w:fill="FFFFFF"/>
        </w:rPr>
        <w:t>The r</w:t>
      </w:r>
      <w:r w:rsidR="00A23A21" w:rsidRPr="009129E8">
        <w:rPr>
          <w:rFonts w:ascii="Arial" w:hAnsi="Arial" w:cs="Arial"/>
          <w:b/>
          <w:bCs/>
          <w:color w:val="24292F"/>
          <w:shd w:val="clear" w:color="auto" w:fill="FFFFFF"/>
        </w:rPr>
        <w:t xml:space="preserve">esults are below. </w:t>
      </w:r>
    </w:p>
    <w:p w14:paraId="3581EA61" w14:textId="719304B6" w:rsidR="000C03AF" w:rsidRPr="00E21F6C" w:rsidRDefault="000C03AF" w:rsidP="00F53FED">
      <w:pPr>
        <w:pStyle w:val="NormalWeb"/>
        <w:spacing w:before="150" w:beforeAutospacing="0" w:after="0" w:afterAutospacing="0"/>
        <w:rPr>
          <w:rFonts w:ascii="Arial" w:hAnsi="Arial" w:cs="Arial"/>
          <w:b/>
          <w:bCs/>
          <w:color w:val="2B2B2B"/>
          <w:sz w:val="28"/>
          <w:szCs w:val="28"/>
        </w:rPr>
      </w:pPr>
      <w:r w:rsidRPr="00E21F6C">
        <w:rPr>
          <w:rFonts w:ascii="Arial" w:hAnsi="Arial" w:cs="Arial"/>
          <w:b/>
          <w:bCs/>
          <w:color w:val="2B2B2B"/>
          <w:sz w:val="28"/>
          <w:szCs w:val="28"/>
        </w:rPr>
        <w:t>Results</w:t>
      </w:r>
    </w:p>
    <w:p w14:paraId="3028A5F1" w14:textId="77777777" w:rsidR="00E21F6C" w:rsidRPr="00E21F6C" w:rsidRDefault="00E21F6C" w:rsidP="00F53FED">
      <w:pPr>
        <w:pStyle w:val="NormalWeb"/>
        <w:spacing w:before="150" w:beforeAutospacing="0" w:after="0" w:afterAutospacing="0"/>
        <w:rPr>
          <w:rFonts w:ascii="Arial" w:hAnsi="Arial" w:cs="Arial"/>
          <w:b/>
          <w:bCs/>
          <w:color w:val="2B2B2B"/>
          <w:sz w:val="28"/>
          <w:szCs w:val="28"/>
        </w:rPr>
      </w:pPr>
    </w:p>
    <w:p w14:paraId="5BA79B7A" w14:textId="1EF24000" w:rsidR="000C03AF" w:rsidRPr="00E21F6C" w:rsidRDefault="000C03AF" w:rsidP="000C03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E21F6C">
        <w:rPr>
          <w:rFonts w:ascii="Arial" w:hAnsi="Arial" w:cs="Arial"/>
          <w:color w:val="24292F"/>
        </w:rPr>
        <w:t>Based on the analysis of </w:t>
      </w:r>
      <w:r w:rsidRPr="00E21F6C">
        <w:rPr>
          <w:rStyle w:val="Strong"/>
          <w:rFonts w:ascii="Arial" w:hAnsi="Arial" w:cs="Arial"/>
          <w:color w:val="24292F"/>
        </w:rPr>
        <w:t>Outcomes based on launch Date</w:t>
      </w:r>
      <w:r w:rsidRPr="00E21F6C">
        <w:rPr>
          <w:rFonts w:ascii="Arial" w:hAnsi="Arial" w:cs="Arial"/>
          <w:color w:val="24292F"/>
        </w:rPr>
        <w:t xml:space="preserve">, </w:t>
      </w:r>
      <w:r w:rsidR="009129E8">
        <w:rPr>
          <w:rFonts w:ascii="Arial" w:hAnsi="Arial" w:cs="Arial"/>
          <w:color w:val="24292F"/>
        </w:rPr>
        <w:t>July appears to feature the most successful campaigns, while</w:t>
      </w:r>
      <w:r w:rsidRPr="00E21F6C">
        <w:rPr>
          <w:rFonts w:ascii="Arial" w:hAnsi="Arial" w:cs="Arial"/>
          <w:color w:val="24292F"/>
        </w:rPr>
        <w:t xml:space="preserve"> January and August feature the most failed campaigns. One should consider launching a campaign between the months of May-July as the trend of successful campaigns increases within those months. </w:t>
      </w:r>
    </w:p>
    <w:p w14:paraId="41A16910" w14:textId="0B402DA8" w:rsidR="000C03AF" w:rsidRPr="00E21F6C" w:rsidRDefault="000C03AF" w:rsidP="00E21F6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E21F6C">
        <w:rPr>
          <w:rFonts w:ascii="Arial" w:hAnsi="Arial" w:cs="Arial"/>
          <w:color w:val="24292F"/>
        </w:rPr>
        <w:t>Based on the analysis of </w:t>
      </w:r>
      <w:r w:rsidRPr="00E21F6C">
        <w:rPr>
          <w:rStyle w:val="Strong"/>
          <w:rFonts w:ascii="Arial" w:hAnsi="Arial" w:cs="Arial"/>
          <w:color w:val="24292F"/>
        </w:rPr>
        <w:t>Outcomes based on goals</w:t>
      </w:r>
      <w:r w:rsidRPr="00E21F6C">
        <w:rPr>
          <w:rFonts w:ascii="Arial" w:hAnsi="Arial" w:cs="Arial"/>
          <w:color w:val="24292F"/>
        </w:rPr>
        <w:t xml:space="preserve">, campaigns that aimed to raise between </w:t>
      </w:r>
      <w:r w:rsidR="006E250D" w:rsidRPr="00E21F6C">
        <w:rPr>
          <w:rFonts w:ascii="Arial" w:hAnsi="Arial" w:cs="Arial"/>
          <w:color w:val="24292F"/>
        </w:rPr>
        <w:t>15</w:t>
      </w:r>
      <w:r w:rsidRPr="00E21F6C">
        <w:rPr>
          <w:rFonts w:ascii="Arial" w:hAnsi="Arial" w:cs="Arial"/>
          <w:color w:val="24292F"/>
        </w:rPr>
        <w:t>K-</w:t>
      </w:r>
      <w:r w:rsidR="006E250D" w:rsidRPr="00E21F6C">
        <w:rPr>
          <w:rFonts w:ascii="Arial" w:hAnsi="Arial" w:cs="Arial"/>
          <w:color w:val="24292F"/>
        </w:rPr>
        <w:t>25</w:t>
      </w:r>
      <w:r w:rsidRPr="00E21F6C">
        <w:rPr>
          <w:rFonts w:ascii="Arial" w:hAnsi="Arial" w:cs="Arial"/>
          <w:color w:val="24292F"/>
        </w:rPr>
        <w:t xml:space="preserve">K </w:t>
      </w:r>
      <w:r w:rsidR="009129E8">
        <w:rPr>
          <w:rFonts w:ascii="Arial" w:hAnsi="Arial" w:cs="Arial"/>
          <w:color w:val="24292F"/>
        </w:rPr>
        <w:t>we</w:t>
      </w:r>
      <w:r w:rsidRPr="00E21F6C">
        <w:rPr>
          <w:rFonts w:ascii="Arial" w:hAnsi="Arial" w:cs="Arial"/>
          <w:color w:val="24292F"/>
        </w:rPr>
        <w:t xml:space="preserve">re </w:t>
      </w:r>
      <w:r w:rsidR="006E250D" w:rsidRPr="00E21F6C">
        <w:rPr>
          <w:rFonts w:ascii="Arial" w:hAnsi="Arial" w:cs="Arial"/>
          <w:color w:val="24292F"/>
        </w:rPr>
        <w:t xml:space="preserve">the most </w:t>
      </w:r>
      <w:r w:rsidRPr="00E21F6C">
        <w:rPr>
          <w:rFonts w:ascii="Arial" w:hAnsi="Arial" w:cs="Arial"/>
          <w:color w:val="24292F"/>
        </w:rPr>
        <w:t>successful</w:t>
      </w:r>
      <w:r w:rsidR="006E250D" w:rsidRPr="00E21F6C">
        <w:rPr>
          <w:rFonts w:ascii="Arial" w:hAnsi="Arial" w:cs="Arial"/>
          <w:color w:val="24292F"/>
        </w:rPr>
        <w:t xml:space="preserve"> (100%)</w:t>
      </w:r>
      <w:r w:rsidRPr="00E21F6C">
        <w:rPr>
          <w:rFonts w:ascii="Arial" w:hAnsi="Arial" w:cs="Arial"/>
          <w:color w:val="24292F"/>
        </w:rPr>
        <w:t xml:space="preserve">, while campaigns that aimed to raise </w:t>
      </w:r>
      <w:r w:rsidR="006E250D" w:rsidRPr="00E21F6C">
        <w:rPr>
          <w:rFonts w:ascii="Arial" w:hAnsi="Arial" w:cs="Arial"/>
          <w:color w:val="24292F"/>
        </w:rPr>
        <w:t xml:space="preserve">between 1K – 5K </w:t>
      </w:r>
      <w:r w:rsidR="009129E8">
        <w:rPr>
          <w:rFonts w:ascii="Arial" w:hAnsi="Arial" w:cs="Arial"/>
          <w:color w:val="24292F"/>
        </w:rPr>
        <w:t>we</w:t>
      </w:r>
      <w:r w:rsidR="006E250D" w:rsidRPr="00E21F6C">
        <w:rPr>
          <w:rFonts w:ascii="Arial" w:hAnsi="Arial" w:cs="Arial"/>
          <w:color w:val="24292F"/>
        </w:rPr>
        <w:t xml:space="preserve">re 83% successful. </w:t>
      </w:r>
      <w:r w:rsidR="009129E8">
        <w:rPr>
          <w:rFonts w:ascii="Arial" w:hAnsi="Arial" w:cs="Arial"/>
          <w:color w:val="24292F"/>
        </w:rPr>
        <w:t>Simultaneously</w:t>
      </w:r>
      <w:r w:rsidRPr="00E21F6C">
        <w:rPr>
          <w:rFonts w:ascii="Arial" w:hAnsi="Arial" w:cs="Arial"/>
          <w:color w:val="24292F"/>
        </w:rPr>
        <w:t>, campaigns that aimed to raise</w:t>
      </w:r>
      <w:r w:rsidR="006E250D" w:rsidRPr="00E21F6C">
        <w:rPr>
          <w:rFonts w:ascii="Arial" w:hAnsi="Arial" w:cs="Arial"/>
          <w:color w:val="24292F"/>
        </w:rPr>
        <w:t xml:space="preserve"> between 10K – 15K </w:t>
      </w:r>
      <w:r w:rsidR="009129E8">
        <w:rPr>
          <w:rFonts w:ascii="Arial" w:hAnsi="Arial" w:cs="Arial"/>
          <w:color w:val="24292F"/>
        </w:rPr>
        <w:t>we</w:t>
      </w:r>
      <w:r w:rsidR="006E250D" w:rsidRPr="00E21F6C">
        <w:rPr>
          <w:rFonts w:ascii="Arial" w:hAnsi="Arial" w:cs="Arial"/>
          <w:color w:val="24292F"/>
        </w:rPr>
        <w:t xml:space="preserve">re the least successful. </w:t>
      </w:r>
    </w:p>
    <w:p w14:paraId="4A3C4647" w14:textId="0B8DFD94" w:rsidR="000C03AF" w:rsidRPr="00E21F6C" w:rsidRDefault="004B4175" w:rsidP="00F53FED">
      <w:pPr>
        <w:pStyle w:val="NormalWeb"/>
        <w:spacing w:before="150" w:beforeAutospacing="0" w:after="0" w:afterAutospacing="0"/>
        <w:rPr>
          <w:rStyle w:val="Strong"/>
          <w:rFonts w:ascii="Arial" w:hAnsi="Arial" w:cs="Arial"/>
          <w:b w:val="0"/>
          <w:bCs w:val="0"/>
          <w:color w:val="24292F"/>
        </w:rPr>
      </w:pPr>
      <w:r w:rsidRPr="00E21F6C">
        <w:rPr>
          <w:rFonts w:ascii="Arial" w:hAnsi="Arial" w:cs="Arial"/>
          <w:color w:val="24292F"/>
        </w:rPr>
        <w:t>Based on the analysis of </w:t>
      </w:r>
      <w:r w:rsidRPr="00E21F6C">
        <w:rPr>
          <w:rStyle w:val="Strong"/>
          <w:rFonts w:ascii="Arial" w:hAnsi="Arial" w:cs="Arial"/>
          <w:color w:val="24292F"/>
        </w:rPr>
        <w:t xml:space="preserve">Outcomes based on </w:t>
      </w:r>
      <w:r w:rsidR="007B7816" w:rsidRPr="00E21F6C">
        <w:rPr>
          <w:rStyle w:val="Strong"/>
          <w:rFonts w:ascii="Arial" w:hAnsi="Arial" w:cs="Arial"/>
          <w:color w:val="24292F"/>
        </w:rPr>
        <w:t>category and Outcomes based on subcategory,</w:t>
      </w:r>
      <w:r w:rsidR="007B7816"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 the</w:t>
      </w:r>
      <w:r w:rsidR="007B7816" w:rsidRPr="00E21F6C">
        <w:rPr>
          <w:rStyle w:val="Strong"/>
          <w:rFonts w:ascii="Arial" w:hAnsi="Arial" w:cs="Arial"/>
          <w:color w:val="24292F"/>
        </w:rPr>
        <w:t xml:space="preserve"> </w:t>
      </w:r>
      <w:r w:rsidRPr="00E21F6C">
        <w:rPr>
          <w:rStyle w:val="Strong"/>
          <w:rFonts w:ascii="Arial" w:hAnsi="Arial" w:cs="Arial"/>
          <w:color w:val="24292F"/>
        </w:rPr>
        <w:t>technology</w:t>
      </w:r>
      <w:r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 </w:t>
      </w:r>
      <w:r w:rsidR="007B7816"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category with a subcategory of </w:t>
      </w:r>
      <w:r w:rsidR="007B7816" w:rsidRPr="00E21F6C">
        <w:rPr>
          <w:rStyle w:val="Strong"/>
          <w:rFonts w:ascii="Arial" w:hAnsi="Arial" w:cs="Arial"/>
          <w:color w:val="24292F"/>
        </w:rPr>
        <w:t>web</w:t>
      </w:r>
      <w:r w:rsidR="007B7816"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 </w:t>
      </w:r>
      <w:r w:rsidRPr="00E21F6C">
        <w:rPr>
          <w:rStyle w:val="Strong"/>
          <w:rFonts w:ascii="Arial" w:hAnsi="Arial" w:cs="Arial"/>
          <w:b w:val="0"/>
          <w:bCs w:val="0"/>
          <w:color w:val="24292F"/>
        </w:rPr>
        <w:t>appears to be the most successful</w:t>
      </w:r>
      <w:r w:rsidR="009427C8">
        <w:rPr>
          <w:rStyle w:val="Strong"/>
          <w:rFonts w:ascii="Arial" w:hAnsi="Arial" w:cs="Arial"/>
          <w:b w:val="0"/>
          <w:bCs w:val="0"/>
          <w:color w:val="24292F"/>
        </w:rPr>
        <w:t>,</w:t>
      </w:r>
      <w:r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 with a ratio of 2:1 between successful (including live) to failed (including canceled) </w:t>
      </w:r>
      <w:r w:rsidR="007B7816"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technology </w:t>
      </w:r>
      <w:r w:rsidRPr="00E21F6C">
        <w:rPr>
          <w:rStyle w:val="Strong"/>
          <w:rFonts w:ascii="Arial" w:hAnsi="Arial" w:cs="Arial"/>
          <w:b w:val="0"/>
          <w:bCs w:val="0"/>
          <w:color w:val="24292F"/>
        </w:rPr>
        <w:t>campaigns</w:t>
      </w:r>
      <w:r w:rsidR="007B7816"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, and a ratio of almost 3:1 between successful and failed web subcategory campaigns. </w:t>
      </w:r>
      <w:r w:rsidR="009427C8">
        <w:rPr>
          <w:rStyle w:val="Strong"/>
          <w:rFonts w:ascii="Arial" w:hAnsi="Arial" w:cs="Arial"/>
          <w:b w:val="0"/>
          <w:bCs w:val="0"/>
          <w:color w:val="24292F"/>
        </w:rPr>
        <w:t>In contrast,</w:t>
      </w:r>
      <w:r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 </w:t>
      </w:r>
      <w:r w:rsidR="009341DB" w:rsidRPr="00E21F6C">
        <w:rPr>
          <w:rStyle w:val="Strong"/>
          <w:rFonts w:ascii="Arial" w:hAnsi="Arial" w:cs="Arial"/>
          <w:b w:val="0"/>
          <w:bCs w:val="0"/>
          <w:color w:val="24292F"/>
        </w:rPr>
        <w:t>food campaigns are the least successful</w:t>
      </w:r>
      <w:r w:rsidR="009427C8">
        <w:rPr>
          <w:rStyle w:val="Strong"/>
          <w:rFonts w:ascii="Arial" w:hAnsi="Arial" w:cs="Arial"/>
          <w:b w:val="0"/>
          <w:bCs w:val="0"/>
          <w:color w:val="24292F"/>
        </w:rPr>
        <w:t>,</w:t>
      </w:r>
      <w:r w:rsidR="009341DB" w:rsidRPr="00E21F6C">
        <w:rPr>
          <w:rStyle w:val="Strong"/>
          <w:rFonts w:ascii="Arial" w:hAnsi="Arial" w:cs="Arial"/>
          <w:b w:val="0"/>
          <w:bCs w:val="0"/>
          <w:color w:val="24292F"/>
        </w:rPr>
        <w:t xml:space="preserve"> where more than half of the launched campaigns failed with a ratio of 0.91. </w:t>
      </w:r>
    </w:p>
    <w:p w14:paraId="6D4D0C54" w14:textId="77777777" w:rsidR="007B7816" w:rsidRPr="00E21F6C" w:rsidRDefault="007B7816" w:rsidP="00F53FED">
      <w:pPr>
        <w:pStyle w:val="NormalWeb"/>
        <w:spacing w:before="150" w:beforeAutospacing="0" w:after="0" w:afterAutospacing="0"/>
        <w:rPr>
          <w:rFonts w:ascii="Arial" w:hAnsi="Arial" w:cs="Arial"/>
          <w:color w:val="24292F"/>
        </w:rPr>
      </w:pPr>
    </w:p>
    <w:p w14:paraId="70F1E665" w14:textId="4504F20F" w:rsidR="000C03AF" w:rsidRPr="00E21F6C" w:rsidRDefault="000C03AF" w:rsidP="00F53FED">
      <w:pPr>
        <w:pStyle w:val="NormalWeb"/>
        <w:spacing w:before="150" w:beforeAutospacing="0" w:after="0" w:afterAutospacing="0"/>
        <w:rPr>
          <w:rFonts w:ascii="Arial" w:hAnsi="Arial" w:cs="Arial"/>
          <w:b/>
          <w:bCs/>
          <w:color w:val="2B2B2B"/>
          <w:sz w:val="28"/>
          <w:szCs w:val="28"/>
        </w:rPr>
      </w:pPr>
      <w:r w:rsidRPr="00E21F6C">
        <w:rPr>
          <w:rFonts w:ascii="Arial" w:hAnsi="Arial" w:cs="Arial"/>
          <w:b/>
          <w:bCs/>
          <w:color w:val="2B2B2B"/>
          <w:sz w:val="28"/>
          <w:szCs w:val="28"/>
        </w:rPr>
        <w:lastRenderedPageBreak/>
        <w:t>Limitations</w:t>
      </w:r>
    </w:p>
    <w:p w14:paraId="39046691" w14:textId="4CF9835E" w:rsidR="009341DB" w:rsidRPr="00E21F6C" w:rsidRDefault="000C03AF" w:rsidP="00F53FED">
      <w:pPr>
        <w:pStyle w:val="NormalWeb"/>
        <w:spacing w:before="150" w:beforeAutospacing="0" w:after="0" w:afterAutospacing="0"/>
        <w:rPr>
          <w:rFonts w:ascii="Arial" w:hAnsi="Arial" w:cs="Arial"/>
          <w:color w:val="24292F"/>
          <w:shd w:val="clear" w:color="auto" w:fill="FFFFFF"/>
        </w:rPr>
      </w:pPr>
      <w:r w:rsidRPr="00E21F6C">
        <w:rPr>
          <w:rFonts w:ascii="Arial" w:hAnsi="Arial" w:cs="Arial"/>
          <w:color w:val="2B2B2B"/>
        </w:rPr>
        <w:t xml:space="preserve">Data does not measure or report the </w:t>
      </w:r>
      <w:r w:rsidRPr="00E21F6C">
        <w:rPr>
          <w:rFonts w:ascii="Arial" w:hAnsi="Arial" w:cs="Arial"/>
          <w:color w:val="24292F"/>
          <w:shd w:val="clear" w:color="auto" w:fill="FFFFFF"/>
        </w:rPr>
        <w:t xml:space="preserve">staffers hired nor the process behind securing pledges to fund campaigns. Understanding such external factors can help </w:t>
      </w:r>
      <w:r w:rsidR="009427C8">
        <w:rPr>
          <w:rFonts w:ascii="Arial" w:hAnsi="Arial" w:cs="Arial"/>
          <w:color w:val="24292F"/>
          <w:shd w:val="clear" w:color="auto" w:fill="FFFFFF"/>
        </w:rPr>
        <w:t>control mediating factors using statistical computations, minimizing</w:t>
      </w:r>
      <w:r w:rsidRPr="00E21F6C">
        <w:rPr>
          <w:rFonts w:ascii="Arial" w:hAnsi="Arial" w:cs="Arial"/>
          <w:color w:val="24292F"/>
          <w:shd w:val="clear" w:color="auto" w:fill="FFFFFF"/>
        </w:rPr>
        <w:t xml:space="preserve"> the chances of a Type I error. </w:t>
      </w:r>
    </w:p>
    <w:p w14:paraId="632CDB64" w14:textId="37EA4823" w:rsidR="007B7816" w:rsidRPr="00E21F6C" w:rsidRDefault="007B7816" w:rsidP="00F53FED">
      <w:pPr>
        <w:pStyle w:val="NormalWeb"/>
        <w:spacing w:before="150" w:beforeAutospacing="0" w:after="0" w:afterAutospacing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  <w:r w:rsidRPr="00E21F6C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Other Possibilities</w:t>
      </w:r>
    </w:p>
    <w:p w14:paraId="337225DF" w14:textId="309FE192" w:rsidR="009341DB" w:rsidRPr="00AD5BC8" w:rsidRDefault="007B7816" w:rsidP="00F53FED">
      <w:pPr>
        <w:pStyle w:val="NormalWeb"/>
        <w:spacing w:before="150" w:beforeAutospacing="0" w:after="0" w:afterAutospacing="0"/>
        <w:rPr>
          <w:rFonts w:ascii="Arial" w:hAnsi="Arial" w:cs="Arial"/>
          <w:color w:val="24292F"/>
          <w:shd w:val="clear" w:color="auto" w:fill="FFFFFF"/>
        </w:rPr>
      </w:pPr>
      <w:r w:rsidRPr="00E21F6C">
        <w:rPr>
          <w:rFonts w:ascii="Arial" w:hAnsi="Arial" w:cs="Arial"/>
          <w:color w:val="24292F"/>
          <w:shd w:val="clear" w:color="auto" w:fill="FFFFFF"/>
        </w:rPr>
        <w:t xml:space="preserve">Possible graphs that can be helpful are </w:t>
      </w:r>
      <w:r w:rsidR="00E21F6C" w:rsidRPr="00E21F6C">
        <w:rPr>
          <w:rFonts w:ascii="Arial" w:hAnsi="Arial" w:cs="Arial"/>
          <w:color w:val="24292F"/>
          <w:shd w:val="clear" w:color="auto" w:fill="FFFFFF"/>
        </w:rPr>
        <w:t>the number</w:t>
      </w:r>
      <w:r w:rsidRPr="00E21F6C">
        <w:rPr>
          <w:rFonts w:ascii="Arial" w:hAnsi="Arial" w:cs="Arial"/>
          <w:color w:val="24292F"/>
          <w:shd w:val="clear" w:color="auto" w:fill="FFFFFF"/>
        </w:rPr>
        <w:t xml:space="preserve"> of backers based on outcomes</w:t>
      </w:r>
      <w:r w:rsidR="000D0C1D">
        <w:rPr>
          <w:rFonts w:ascii="Arial" w:hAnsi="Arial" w:cs="Arial"/>
          <w:color w:val="24292F"/>
          <w:shd w:val="clear" w:color="auto" w:fill="FFFFFF"/>
        </w:rPr>
        <w:t xml:space="preserve">, </w:t>
      </w:r>
      <w:r w:rsidR="009427C8">
        <w:rPr>
          <w:rFonts w:ascii="Arial" w:hAnsi="Arial" w:cs="Arial"/>
          <w:color w:val="24292F"/>
          <w:shd w:val="clear" w:color="auto" w:fill="FFFFFF"/>
        </w:rPr>
        <w:t xml:space="preserve">the </w:t>
      </w:r>
      <w:r w:rsidRPr="00E21F6C">
        <w:rPr>
          <w:rFonts w:ascii="Arial" w:hAnsi="Arial" w:cs="Arial"/>
          <w:color w:val="24292F"/>
          <w:shd w:val="clear" w:color="auto" w:fill="FFFFFF"/>
        </w:rPr>
        <w:t>number of backers based on pledges funds/goals</w:t>
      </w:r>
      <w:r w:rsidR="000D0C1D">
        <w:rPr>
          <w:rFonts w:ascii="Arial" w:hAnsi="Arial" w:cs="Arial"/>
          <w:color w:val="24292F"/>
          <w:shd w:val="clear" w:color="auto" w:fill="FFFFFF"/>
        </w:rPr>
        <w:t>, and outcomes based on country, coupled with outcomes based on category and subcategory</w:t>
      </w:r>
      <w:r w:rsidR="00D954B8">
        <w:rPr>
          <w:rFonts w:ascii="Arial" w:hAnsi="Arial" w:cs="Arial"/>
          <w:color w:val="24292F"/>
          <w:shd w:val="clear" w:color="auto" w:fill="FFFFFF"/>
        </w:rPr>
        <w:t>. These</w:t>
      </w:r>
      <w:r w:rsidR="000D0C1D">
        <w:rPr>
          <w:rFonts w:ascii="Arial" w:hAnsi="Arial" w:cs="Arial"/>
          <w:color w:val="24292F"/>
          <w:shd w:val="clear" w:color="auto" w:fill="FFFFFF"/>
        </w:rPr>
        <w:t xml:space="preserve"> graphs or analys</w:t>
      </w:r>
      <w:r w:rsidR="009427C8">
        <w:rPr>
          <w:rFonts w:ascii="Arial" w:hAnsi="Arial" w:cs="Arial"/>
          <w:color w:val="24292F"/>
          <w:shd w:val="clear" w:color="auto" w:fill="FFFFFF"/>
        </w:rPr>
        <w:t>e</w:t>
      </w:r>
      <w:r w:rsidR="000D0C1D">
        <w:rPr>
          <w:rFonts w:ascii="Arial" w:hAnsi="Arial" w:cs="Arial"/>
          <w:color w:val="24292F"/>
          <w:shd w:val="clear" w:color="auto" w:fill="FFFFFF"/>
        </w:rPr>
        <w:t xml:space="preserve">s can provide further insight </w:t>
      </w:r>
      <w:r w:rsidR="009427C8">
        <w:rPr>
          <w:rFonts w:ascii="Arial" w:hAnsi="Arial" w:cs="Arial"/>
          <w:color w:val="24292F"/>
          <w:shd w:val="clear" w:color="auto" w:fill="FFFFFF"/>
        </w:rPr>
        <w:t>into</w:t>
      </w:r>
      <w:r w:rsidR="000D0C1D">
        <w:rPr>
          <w:rFonts w:ascii="Arial" w:hAnsi="Arial" w:cs="Arial"/>
          <w:color w:val="24292F"/>
          <w:shd w:val="clear" w:color="auto" w:fill="FFFFFF"/>
        </w:rPr>
        <w:t xml:space="preserve"> how campaigns perform within each country and the ideal number of backers needed to reach </w:t>
      </w:r>
      <w:r w:rsidR="00AD5BC8">
        <w:rPr>
          <w:rFonts w:ascii="Arial" w:hAnsi="Arial" w:cs="Arial"/>
          <w:color w:val="24292F"/>
          <w:shd w:val="clear" w:color="auto" w:fill="FFFFFF"/>
        </w:rPr>
        <w:t>the initial</w:t>
      </w:r>
      <w:r w:rsidR="000D0C1D">
        <w:rPr>
          <w:rFonts w:ascii="Arial" w:hAnsi="Arial" w:cs="Arial"/>
          <w:color w:val="24292F"/>
          <w:shd w:val="clear" w:color="auto" w:fill="FFFFFF"/>
        </w:rPr>
        <w:t xml:space="preserve"> goal within a given time frame. </w:t>
      </w:r>
    </w:p>
    <w:p w14:paraId="02F5C3AB" w14:textId="68C30BE3" w:rsidR="00AD5BC8" w:rsidRDefault="00AD5BC8" w:rsidP="000D0C1D">
      <w:pPr>
        <w:pStyle w:val="NormalWeb"/>
        <w:spacing w:before="150" w:beforeAutospacing="0" w:after="0" w:afterAutospacing="0"/>
        <w:rPr>
          <w:rFonts w:ascii="Arial" w:hAnsi="Arial" w:cs="Arial"/>
          <w:b/>
          <w:bCs/>
          <w:color w:val="2B2B2B"/>
          <w:sz w:val="30"/>
          <w:szCs w:val="30"/>
        </w:rPr>
      </w:pPr>
      <w:r w:rsidRPr="00AD5BC8">
        <w:rPr>
          <w:rFonts w:ascii="Arial" w:hAnsi="Arial" w:cs="Arial"/>
          <w:b/>
          <w:bCs/>
          <w:color w:val="2B2B2B"/>
          <w:sz w:val="30"/>
          <w:szCs w:val="30"/>
        </w:rPr>
        <w:t xml:space="preserve">Summary statistics </w:t>
      </w:r>
    </w:p>
    <w:p w14:paraId="69B0BCDB" w14:textId="73C66775" w:rsidR="00AD5BC8" w:rsidRDefault="00AD5BC8" w:rsidP="000D0C1D">
      <w:pPr>
        <w:pStyle w:val="NormalWeb"/>
        <w:spacing w:before="150" w:beforeAutospacing="0" w:after="0" w:afterAutospacing="0"/>
        <w:rPr>
          <w:rFonts w:ascii="Arial" w:hAnsi="Arial" w:cs="Arial"/>
          <w:color w:val="2B2B2B"/>
        </w:rPr>
      </w:pPr>
      <w:r w:rsidRPr="00AD5BC8">
        <w:rPr>
          <w:rFonts w:ascii="Arial" w:hAnsi="Arial" w:cs="Arial"/>
          <w:color w:val="2B2B2B"/>
        </w:rPr>
        <w:t xml:space="preserve">A descriptive summary of the number of successful campaign backers </w:t>
      </w:r>
      <w:r>
        <w:rPr>
          <w:rFonts w:ascii="Arial" w:hAnsi="Arial" w:cs="Arial"/>
          <w:color w:val="2B2B2B"/>
        </w:rPr>
        <w:t xml:space="preserve">vs the number of failed campaign backers can be explored for further quantitative metrics. </w:t>
      </w:r>
    </w:p>
    <w:p w14:paraId="1D7BFAAD" w14:textId="384C8C66" w:rsidR="00AD5BC8" w:rsidRDefault="00AD5BC8" w:rsidP="000D0C1D">
      <w:pPr>
        <w:pStyle w:val="NormalWeb"/>
        <w:spacing w:before="150" w:beforeAutospacing="0" w:after="0" w:afterAutospacing="0"/>
        <w:rPr>
          <w:rFonts w:ascii="Arial" w:hAnsi="Arial" w:cs="Arial"/>
          <w:color w:val="2B2B2B"/>
        </w:rPr>
      </w:pPr>
    </w:p>
    <w:tbl>
      <w:tblPr>
        <w:tblStyle w:val="PlainTable5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951"/>
        <w:gridCol w:w="1043"/>
        <w:gridCol w:w="630"/>
        <w:gridCol w:w="750"/>
        <w:gridCol w:w="1110"/>
        <w:gridCol w:w="1351"/>
        <w:gridCol w:w="1377"/>
        <w:gridCol w:w="1190"/>
      </w:tblGrid>
      <w:tr w:rsidR="002F36E5" w14:paraId="13EBA537" w14:textId="4AB83EA0" w:rsidTr="002F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9" w:type="dxa"/>
          </w:tcPr>
          <w:p w14:paraId="6BC68D74" w14:textId="579A1F3C" w:rsidR="002F36E5" w:rsidRPr="00E13ADE" w:rsidRDefault="002F36E5" w:rsidP="000D0C1D">
            <w:pPr>
              <w:pStyle w:val="NormalWeb"/>
              <w:spacing w:before="150" w:beforeAutospacing="0" w:after="0" w:afterAutospacing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Outcome</w:t>
            </w:r>
          </w:p>
        </w:tc>
        <w:tc>
          <w:tcPr>
            <w:tcW w:w="901" w:type="dxa"/>
          </w:tcPr>
          <w:p w14:paraId="3B2D805F" w14:textId="070257B3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Mean</w:t>
            </w:r>
          </w:p>
        </w:tc>
        <w:tc>
          <w:tcPr>
            <w:tcW w:w="987" w:type="dxa"/>
          </w:tcPr>
          <w:p w14:paraId="5BA27F45" w14:textId="6F341175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Median</w:t>
            </w:r>
          </w:p>
        </w:tc>
        <w:tc>
          <w:tcPr>
            <w:tcW w:w="602" w:type="dxa"/>
          </w:tcPr>
          <w:p w14:paraId="03F97434" w14:textId="11FC9CED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Min</w:t>
            </w:r>
          </w:p>
        </w:tc>
        <w:tc>
          <w:tcPr>
            <w:tcW w:w="714" w:type="dxa"/>
          </w:tcPr>
          <w:p w14:paraId="2BF546B7" w14:textId="03CA05F7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Max</w:t>
            </w:r>
          </w:p>
        </w:tc>
        <w:tc>
          <w:tcPr>
            <w:tcW w:w="1050" w:type="dxa"/>
          </w:tcPr>
          <w:p w14:paraId="7BA6AD46" w14:textId="4A81F178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proofErr w:type="spellStart"/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Std.Dev</w:t>
            </w:r>
            <w:proofErr w:type="spellEnd"/>
          </w:p>
        </w:tc>
        <w:tc>
          <w:tcPr>
            <w:tcW w:w="1274" w:type="dxa"/>
          </w:tcPr>
          <w:p w14:paraId="44524B9E" w14:textId="3D3774C7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Variance</w:t>
            </w:r>
          </w:p>
        </w:tc>
        <w:tc>
          <w:tcPr>
            <w:tcW w:w="1299" w:type="dxa"/>
          </w:tcPr>
          <w:p w14:paraId="194761C2" w14:textId="296E4A76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Skewness</w:t>
            </w:r>
          </w:p>
        </w:tc>
        <w:tc>
          <w:tcPr>
            <w:tcW w:w="1489" w:type="dxa"/>
          </w:tcPr>
          <w:p w14:paraId="627E1CF3" w14:textId="6DC7396A" w:rsidR="002F36E5" w:rsidRPr="00E13ADE" w:rsidRDefault="002F36E5" w:rsidP="000D0C1D">
            <w:pPr>
              <w:pStyle w:val="NormalWeb"/>
              <w:spacing w:before="15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Kurtosis</w:t>
            </w:r>
          </w:p>
        </w:tc>
      </w:tr>
      <w:tr w:rsidR="002F36E5" w14:paraId="52D03C79" w14:textId="7A6C07BE" w:rsidTr="002F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shd w:val="clear" w:color="auto" w:fill="F2F2F2" w:themeFill="background1" w:themeFillShade="F2"/>
          </w:tcPr>
          <w:p w14:paraId="522DFCE8" w14:textId="2A54BD85" w:rsidR="002F36E5" w:rsidRPr="00E13ADE" w:rsidRDefault="002F36E5" w:rsidP="000D0C1D">
            <w:pPr>
              <w:pStyle w:val="NormalWeb"/>
              <w:spacing w:before="150" w:beforeAutospacing="0" w:after="0" w:afterAutospacing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Successful</w:t>
            </w:r>
          </w:p>
        </w:tc>
        <w:tc>
          <w:tcPr>
            <w:tcW w:w="901" w:type="dxa"/>
          </w:tcPr>
          <w:p w14:paraId="494C2686" w14:textId="6F7FB6CB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851.15</w:t>
            </w:r>
          </w:p>
        </w:tc>
        <w:tc>
          <w:tcPr>
            <w:tcW w:w="987" w:type="dxa"/>
          </w:tcPr>
          <w:p w14:paraId="096EBF25" w14:textId="088EF2B2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201</w:t>
            </w:r>
          </w:p>
        </w:tc>
        <w:tc>
          <w:tcPr>
            <w:tcW w:w="602" w:type="dxa"/>
          </w:tcPr>
          <w:p w14:paraId="78A7A775" w14:textId="1D3033A7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16</w:t>
            </w:r>
          </w:p>
        </w:tc>
        <w:tc>
          <w:tcPr>
            <w:tcW w:w="714" w:type="dxa"/>
          </w:tcPr>
          <w:p w14:paraId="1A2B6EF6" w14:textId="4FFA4C33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7295</w:t>
            </w:r>
          </w:p>
        </w:tc>
        <w:tc>
          <w:tcPr>
            <w:tcW w:w="1050" w:type="dxa"/>
          </w:tcPr>
          <w:p w14:paraId="0F4C8BB7" w14:textId="5CD5EF11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1267.36</w:t>
            </w:r>
          </w:p>
        </w:tc>
        <w:tc>
          <w:tcPr>
            <w:tcW w:w="1274" w:type="dxa"/>
          </w:tcPr>
          <w:p w14:paraId="0698B5BD" w14:textId="075599F9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1606216.6</w:t>
            </w:r>
          </w:p>
        </w:tc>
        <w:tc>
          <w:tcPr>
            <w:tcW w:w="1299" w:type="dxa"/>
          </w:tcPr>
          <w:p w14:paraId="1D71FB9D" w14:textId="0E1A86A0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2.18</w:t>
            </w:r>
          </w:p>
        </w:tc>
        <w:tc>
          <w:tcPr>
            <w:tcW w:w="1489" w:type="dxa"/>
          </w:tcPr>
          <w:p w14:paraId="38CE659E" w14:textId="5BFB2EC0" w:rsidR="002F36E5" w:rsidRDefault="002F36E5" w:rsidP="000D0C1D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4.97</w:t>
            </w:r>
          </w:p>
        </w:tc>
      </w:tr>
      <w:tr w:rsidR="002F36E5" w14:paraId="1ED753A1" w14:textId="228DBE29" w:rsidTr="002F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9ACC94C" w14:textId="040AE4D7" w:rsidR="002F36E5" w:rsidRPr="00E13ADE" w:rsidRDefault="002F36E5" w:rsidP="002F36E5">
            <w:pPr>
              <w:pStyle w:val="NormalWeb"/>
              <w:spacing w:before="150" w:beforeAutospacing="0" w:after="0" w:afterAutospacing="0"/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</w:pPr>
            <w:r w:rsidRPr="00E13ADE">
              <w:rPr>
                <w:rFonts w:ascii="Arial" w:hAnsi="Arial" w:cs="Arial"/>
                <w:b/>
                <w:bCs/>
                <w:i w:val="0"/>
                <w:iCs w:val="0"/>
                <w:color w:val="2B2B2B"/>
              </w:rPr>
              <w:t>Failed</w:t>
            </w:r>
          </w:p>
        </w:tc>
        <w:tc>
          <w:tcPr>
            <w:tcW w:w="901" w:type="dxa"/>
          </w:tcPr>
          <w:p w14:paraId="14B32C33" w14:textId="4BB42699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585.62</w:t>
            </w:r>
          </w:p>
        </w:tc>
        <w:tc>
          <w:tcPr>
            <w:tcW w:w="987" w:type="dxa"/>
          </w:tcPr>
          <w:p w14:paraId="38B34DDC" w14:textId="06FFF837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114.5</w:t>
            </w:r>
          </w:p>
        </w:tc>
        <w:tc>
          <w:tcPr>
            <w:tcW w:w="602" w:type="dxa"/>
          </w:tcPr>
          <w:p w14:paraId="51BEC6A4" w14:textId="24E2032A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0</w:t>
            </w:r>
          </w:p>
        </w:tc>
        <w:tc>
          <w:tcPr>
            <w:tcW w:w="714" w:type="dxa"/>
          </w:tcPr>
          <w:p w14:paraId="1DE5FC07" w14:textId="63056F38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6080</w:t>
            </w:r>
          </w:p>
        </w:tc>
        <w:tc>
          <w:tcPr>
            <w:tcW w:w="1050" w:type="dxa"/>
          </w:tcPr>
          <w:p w14:paraId="1B0267E5" w14:textId="6FF4E62D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961.31</w:t>
            </w:r>
          </w:p>
        </w:tc>
        <w:tc>
          <w:tcPr>
            <w:tcW w:w="1274" w:type="dxa"/>
          </w:tcPr>
          <w:p w14:paraId="46587D61" w14:textId="49A766BE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924113.46</w:t>
            </w:r>
          </w:p>
        </w:tc>
        <w:tc>
          <w:tcPr>
            <w:tcW w:w="1299" w:type="dxa"/>
          </w:tcPr>
          <w:p w14:paraId="32C4E1E5" w14:textId="0DDAF982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2.70</w:t>
            </w:r>
          </w:p>
        </w:tc>
        <w:tc>
          <w:tcPr>
            <w:tcW w:w="1489" w:type="dxa"/>
          </w:tcPr>
          <w:p w14:paraId="461ACE1B" w14:textId="34B841F3" w:rsidR="002F36E5" w:rsidRDefault="002F36E5" w:rsidP="002F36E5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2B2B2B"/>
              </w:rPr>
              <w:t>8.80</w:t>
            </w:r>
          </w:p>
        </w:tc>
      </w:tr>
    </w:tbl>
    <w:p w14:paraId="6BB2FED1" w14:textId="3A871732" w:rsidR="00AD5BC8" w:rsidRPr="006F570D" w:rsidRDefault="006F570D" w:rsidP="000D0C1D">
      <w:pPr>
        <w:pStyle w:val="NormalWeb"/>
        <w:spacing w:before="150" w:beforeAutospacing="0" w:after="0" w:afterAutospacing="0"/>
        <w:rPr>
          <w:rFonts w:ascii="Arial" w:hAnsi="Arial" w:cs="Arial"/>
          <w:i/>
          <w:iCs/>
          <w:color w:val="2B2B2B"/>
          <w:sz w:val="20"/>
          <w:szCs w:val="20"/>
        </w:rPr>
      </w:pPr>
      <w:r w:rsidRPr="006F570D">
        <w:rPr>
          <w:rFonts w:ascii="Arial" w:hAnsi="Arial" w:cs="Arial"/>
          <w:b/>
          <w:bCs/>
          <w:i/>
          <w:iCs/>
          <w:color w:val="2B2B2B"/>
          <w:sz w:val="20"/>
          <w:szCs w:val="20"/>
        </w:rPr>
        <w:t>Table 1</w:t>
      </w:r>
      <w:r w:rsidRPr="006F570D">
        <w:rPr>
          <w:rFonts w:ascii="Arial" w:hAnsi="Arial" w:cs="Arial"/>
          <w:i/>
          <w:iCs/>
          <w:color w:val="2B2B2B"/>
          <w:sz w:val="20"/>
          <w:szCs w:val="20"/>
        </w:rPr>
        <w:t>. Descriptive statistics of the number of successful and failed campaign backers</w:t>
      </w:r>
    </w:p>
    <w:p w14:paraId="3B0B503B" w14:textId="6B919A0D" w:rsidR="000D0C1D" w:rsidRDefault="000D0C1D" w:rsidP="000D0C1D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30"/>
          <w:szCs w:val="30"/>
        </w:rPr>
      </w:pPr>
    </w:p>
    <w:p w14:paraId="4BCFCA1A" w14:textId="009D5D82" w:rsidR="006F570D" w:rsidRPr="00FF0C1F" w:rsidRDefault="00927A20" w:rsidP="000D0C1D">
      <w:pPr>
        <w:pStyle w:val="NormalWeb"/>
        <w:spacing w:before="150" w:beforeAutospacing="0" w:after="0" w:afterAutospacing="0"/>
        <w:rPr>
          <w:rFonts w:ascii="Arial" w:hAnsi="Arial" w:cs="Arial"/>
          <w:color w:val="2B2B2B"/>
        </w:rPr>
      </w:pPr>
      <w:r w:rsidRPr="00FF0C1F">
        <w:rPr>
          <w:rFonts w:ascii="Arial" w:hAnsi="Arial" w:cs="Arial"/>
          <w:color w:val="2B2B2B"/>
        </w:rPr>
        <w:t xml:space="preserve">The Skewness and Kurtosis values of both outcomes [2.18 Skew/ 4.97 Kurt, </w:t>
      </w:r>
      <w:r w:rsidRPr="00FF0C1F">
        <w:rPr>
          <w:rFonts w:ascii="Arial" w:hAnsi="Arial" w:cs="Arial"/>
          <w:b/>
          <w:bCs/>
          <w:color w:val="2B2B2B"/>
        </w:rPr>
        <w:t>successful</w:t>
      </w:r>
      <w:r w:rsidRPr="00FF0C1F">
        <w:rPr>
          <w:rFonts w:ascii="Arial" w:hAnsi="Arial" w:cs="Arial"/>
          <w:color w:val="2B2B2B"/>
        </w:rPr>
        <w:t xml:space="preserve">: 2.70 Skew/8.80 Kurt, </w:t>
      </w:r>
      <w:r w:rsidRPr="00FF0C1F">
        <w:rPr>
          <w:rFonts w:ascii="Arial" w:hAnsi="Arial" w:cs="Arial"/>
          <w:b/>
          <w:bCs/>
          <w:color w:val="2B2B2B"/>
        </w:rPr>
        <w:t>failed</w:t>
      </w:r>
      <w:r w:rsidRPr="00FF0C1F">
        <w:rPr>
          <w:rFonts w:ascii="Arial" w:hAnsi="Arial" w:cs="Arial"/>
          <w:color w:val="2B2B2B"/>
        </w:rPr>
        <w:t xml:space="preserve">] indicates that the dataset is not normally distributed but is rather positively skewed with high Kurtosis or </w:t>
      </w:r>
      <w:r w:rsidR="002F259C">
        <w:rPr>
          <w:rFonts w:ascii="Arial" w:hAnsi="Arial" w:cs="Arial"/>
          <w:color w:val="2B2B2B"/>
        </w:rPr>
        <w:t xml:space="preserve">a </w:t>
      </w:r>
      <w:r w:rsidRPr="00FF0C1F">
        <w:rPr>
          <w:rFonts w:ascii="Arial" w:hAnsi="Arial" w:cs="Arial"/>
          <w:color w:val="2B2B2B"/>
        </w:rPr>
        <w:t xml:space="preserve">“pointy” curve. </w:t>
      </w:r>
      <w:r w:rsidR="00941F65" w:rsidRPr="00FF0C1F">
        <w:rPr>
          <w:rFonts w:ascii="Arial" w:hAnsi="Arial" w:cs="Arial"/>
          <w:color w:val="2B2B2B"/>
        </w:rPr>
        <w:t xml:space="preserve">Therefore, the </w:t>
      </w:r>
      <w:r w:rsidR="00941F65" w:rsidRPr="00FF0C1F">
        <w:rPr>
          <w:rFonts w:ascii="Arial" w:hAnsi="Arial" w:cs="Arial"/>
          <w:b/>
          <w:bCs/>
          <w:color w:val="2B2B2B"/>
        </w:rPr>
        <w:t>median</w:t>
      </w:r>
      <w:r w:rsidR="00941F65" w:rsidRPr="00FF0C1F">
        <w:rPr>
          <w:rFonts w:ascii="Arial" w:hAnsi="Arial" w:cs="Arial"/>
          <w:color w:val="2B2B2B"/>
        </w:rPr>
        <w:t xml:space="preserve"> would better summarize the data since it is less affected by outliers and skewed data. </w:t>
      </w:r>
    </w:p>
    <w:p w14:paraId="24AFE118" w14:textId="48063006" w:rsidR="00241191" w:rsidRPr="00B57786" w:rsidRDefault="002F259C" w:rsidP="00B57786">
      <w:pPr>
        <w:pStyle w:val="NormalWeb"/>
        <w:spacing w:before="150" w:beforeAutospacing="0" w:after="0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 median values of successful and failed outcome backers are 201 </w:t>
      </w:r>
      <w:r w:rsidRPr="00B57786">
        <w:rPr>
          <w:rFonts w:ascii="Arial" w:hAnsi="Arial" w:cs="Arial"/>
          <w:color w:val="2B2B2B"/>
        </w:rPr>
        <w:t>and 114.5</w:t>
      </w:r>
      <w:r w:rsidR="009427C8">
        <w:rPr>
          <w:rFonts w:ascii="Arial" w:hAnsi="Arial" w:cs="Arial"/>
          <w:color w:val="2B2B2B"/>
        </w:rPr>
        <w:t>,</w:t>
      </w:r>
      <w:r w:rsidRPr="00B57786">
        <w:rPr>
          <w:rFonts w:ascii="Arial" w:hAnsi="Arial" w:cs="Arial"/>
          <w:color w:val="2B2B2B"/>
        </w:rPr>
        <w:t xml:space="preserve"> respectively. </w:t>
      </w:r>
    </w:p>
    <w:p w14:paraId="0ADEF90C" w14:textId="654FCE9D" w:rsidR="00941F65" w:rsidRPr="00B57786" w:rsidRDefault="00941F65" w:rsidP="009E1BCF">
      <w:pPr>
        <w:spacing w:before="240"/>
        <w:rPr>
          <w:rFonts w:ascii="Arial" w:hAnsi="Arial" w:cs="Arial"/>
          <w:sz w:val="24"/>
          <w:szCs w:val="24"/>
        </w:rPr>
      </w:pPr>
      <w:r w:rsidRPr="00B57786">
        <w:rPr>
          <w:rFonts w:ascii="Arial" w:hAnsi="Arial" w:cs="Arial"/>
          <w:sz w:val="24"/>
          <w:szCs w:val="24"/>
        </w:rPr>
        <w:t xml:space="preserve">There </w:t>
      </w:r>
      <w:r w:rsidR="009427C8">
        <w:rPr>
          <w:rFonts w:ascii="Arial" w:hAnsi="Arial" w:cs="Arial"/>
          <w:sz w:val="24"/>
          <w:szCs w:val="24"/>
        </w:rPr>
        <w:t>is</w:t>
      </w:r>
      <w:r w:rsidRPr="00B57786">
        <w:rPr>
          <w:rFonts w:ascii="Arial" w:hAnsi="Arial" w:cs="Arial"/>
          <w:sz w:val="24"/>
          <w:szCs w:val="24"/>
        </w:rPr>
        <w:t xml:space="preserve"> more variability with successful </w:t>
      </w:r>
      <w:r w:rsidR="002F259C" w:rsidRPr="00B57786">
        <w:rPr>
          <w:rFonts w:ascii="Arial" w:hAnsi="Arial" w:cs="Arial"/>
          <w:sz w:val="24"/>
          <w:szCs w:val="24"/>
        </w:rPr>
        <w:t>campaigns</w:t>
      </w:r>
      <w:r w:rsidR="009E1BCF" w:rsidRPr="00B57786">
        <w:rPr>
          <w:rFonts w:ascii="Arial" w:hAnsi="Arial" w:cs="Arial"/>
          <w:sz w:val="24"/>
          <w:szCs w:val="24"/>
        </w:rPr>
        <w:t xml:space="preserve"> because the variance (</w:t>
      </w:r>
      <w:r w:rsidR="009E1BCF" w:rsidRPr="00B5778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σ</w:t>
      </w:r>
      <w:proofErr w:type="gramStart"/>
      <w:r w:rsidR="009E1BCF" w:rsidRPr="00B5778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vertAlign w:val="superscript"/>
        </w:rPr>
        <w:t xml:space="preserve">2 </w:t>
      </w:r>
      <w:r w:rsidR="009E1BCF" w:rsidRPr="00B5778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)</w:t>
      </w:r>
      <w:proofErr w:type="gramEnd"/>
      <w:r w:rsidR="009E1BCF" w:rsidRPr="00B5778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9E1BCF" w:rsidRPr="00B57786">
        <w:rPr>
          <w:rFonts w:ascii="Arial" w:hAnsi="Arial" w:cs="Arial"/>
          <w:sz w:val="24"/>
          <w:szCs w:val="24"/>
        </w:rPr>
        <w:t xml:space="preserve">of successful outcome backers is greater than the variance of failed outcome backers [ </w:t>
      </w:r>
      <w:r w:rsidR="009E1BCF" w:rsidRPr="00B57786">
        <w:rPr>
          <w:rFonts w:ascii="Arial" w:hAnsi="Arial" w:cs="Arial"/>
          <w:color w:val="2B2B2B"/>
          <w:sz w:val="24"/>
          <w:szCs w:val="24"/>
        </w:rPr>
        <w:t xml:space="preserve">1606216.6 </w:t>
      </w:r>
      <w:r w:rsidR="009E1BCF" w:rsidRPr="00B5778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&gt; </w:t>
      </w:r>
      <w:r w:rsidR="009E1BCF" w:rsidRPr="00B57786">
        <w:rPr>
          <w:rFonts w:ascii="Arial" w:hAnsi="Arial" w:cs="Arial"/>
          <w:color w:val="2B2B2B"/>
          <w:sz w:val="24"/>
          <w:szCs w:val="24"/>
        </w:rPr>
        <w:t>924113.46 ]</w:t>
      </w:r>
      <w:r w:rsidR="00B57786" w:rsidRPr="00B57786">
        <w:rPr>
          <w:rFonts w:ascii="Arial" w:hAnsi="Arial" w:cs="Arial"/>
          <w:color w:val="2B2B2B"/>
          <w:sz w:val="24"/>
          <w:szCs w:val="24"/>
        </w:rPr>
        <w:t xml:space="preserve"> because the number of backers that funded successful campaigns varied greatly as opposed to backers that funded failed campaigns. </w:t>
      </w:r>
    </w:p>
    <w:p w14:paraId="3F7C1490" w14:textId="77777777" w:rsidR="007B6340" w:rsidRDefault="007B6340"/>
    <w:sectPr w:rsidR="007B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5281"/>
    <w:multiLevelType w:val="multilevel"/>
    <w:tmpl w:val="C2A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E40C8"/>
    <w:multiLevelType w:val="multilevel"/>
    <w:tmpl w:val="0D9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57059">
    <w:abstractNumId w:val="0"/>
  </w:num>
  <w:num w:numId="2" w16cid:durableId="62778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LU0NDQ2NTY0MjBT0lEKTi0uzszPAykwqgUAnIkClCwAAAA="/>
  </w:docVars>
  <w:rsids>
    <w:rsidRoot w:val="00286C11"/>
    <w:rsid w:val="000C03AF"/>
    <w:rsid w:val="000D0C1D"/>
    <w:rsid w:val="001B33CA"/>
    <w:rsid w:val="00233F1A"/>
    <w:rsid w:val="00241191"/>
    <w:rsid w:val="00241842"/>
    <w:rsid w:val="00286C11"/>
    <w:rsid w:val="002F259C"/>
    <w:rsid w:val="002F36E5"/>
    <w:rsid w:val="003941F1"/>
    <w:rsid w:val="004B1C03"/>
    <w:rsid w:val="004B4175"/>
    <w:rsid w:val="006E250D"/>
    <w:rsid w:val="006F570D"/>
    <w:rsid w:val="0071460B"/>
    <w:rsid w:val="0074590C"/>
    <w:rsid w:val="007B6340"/>
    <w:rsid w:val="007B7816"/>
    <w:rsid w:val="00854584"/>
    <w:rsid w:val="00874949"/>
    <w:rsid w:val="00897E3F"/>
    <w:rsid w:val="009129E8"/>
    <w:rsid w:val="00927A20"/>
    <w:rsid w:val="009341DB"/>
    <w:rsid w:val="00941F65"/>
    <w:rsid w:val="009427C8"/>
    <w:rsid w:val="00962B8F"/>
    <w:rsid w:val="009E1BCF"/>
    <w:rsid w:val="00A23A21"/>
    <w:rsid w:val="00AD5BC8"/>
    <w:rsid w:val="00B57786"/>
    <w:rsid w:val="00D954B8"/>
    <w:rsid w:val="00E13ADE"/>
    <w:rsid w:val="00E21F6C"/>
    <w:rsid w:val="00F53FED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ABB5"/>
  <w15:chartTrackingRefBased/>
  <w15:docId w15:val="{862DB76A-4830-4FCE-864F-4D1ED51C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3F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3F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962B8F"/>
    <w:rPr>
      <w:i/>
      <w:iCs/>
    </w:rPr>
  </w:style>
  <w:style w:type="table" w:styleId="TableGrid">
    <w:name w:val="Table Grid"/>
    <w:basedOn w:val="TableNormal"/>
    <w:uiPriority w:val="39"/>
    <w:rsid w:val="00AD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13A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13A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13A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Woyni</dc:creator>
  <cp:keywords/>
  <dc:description/>
  <cp:lastModifiedBy>Woyni</cp:lastModifiedBy>
  <cp:revision>26</cp:revision>
  <dcterms:created xsi:type="dcterms:W3CDTF">2023-02-26T17:25:00Z</dcterms:created>
  <dcterms:modified xsi:type="dcterms:W3CDTF">2023-02-26T20:24:00Z</dcterms:modified>
</cp:coreProperties>
</file>