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40CD" w14:textId="6AA3B6F6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lastRenderedPageBreak/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lastRenderedPageBreak/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7B8AF3BC" w:rsidR="00A960E8" w:rsidRDefault="00A960E8" w:rsidP="00D921A6">
      <w:r>
        <w:t xml:space="preserve">Ale o to co chcesz powiedziec .. </w:t>
      </w:r>
    </w:p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  <w:num w:numId="4" w16cid:durableId="1095889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3D46A0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A0B12"/>
    <w:rsid w:val="007F505C"/>
    <w:rsid w:val="00841FBB"/>
    <w:rsid w:val="008445D3"/>
    <w:rsid w:val="008A28A0"/>
    <w:rsid w:val="008A4F7D"/>
    <w:rsid w:val="008F5D79"/>
    <w:rsid w:val="009303F6"/>
    <w:rsid w:val="00A141E2"/>
    <w:rsid w:val="00A20770"/>
    <w:rsid w:val="00A21D67"/>
    <w:rsid w:val="00A464B4"/>
    <w:rsid w:val="00A568B7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55</cp:revision>
  <dcterms:created xsi:type="dcterms:W3CDTF">2023-02-05T13:53:00Z</dcterms:created>
  <dcterms:modified xsi:type="dcterms:W3CDTF">2023-03-08T21:58:00Z</dcterms:modified>
</cp:coreProperties>
</file>